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2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H ANNANDALE</w:t>
            </w:r>
          </w:p>
          <w:p>
            <w:pPr>
              <w:spacing w:after="150" w:before="0" w:line="240"/>
            </w:pPr>
            <w:r>
              <w:rPr>
                <w:rFonts w:ascii="Arial" w:cs="Arial" w:eastAsia="Arial" w:hAnsi="Arial"/>
                <w:color w:val="B58C4B"/>
                <w:spacing w:val="80"/>
                <w:sz w:val="11"/>
                <w:szCs w:val="11"/>
              </w:rPr>
              <w:t xml:space="preserve">ATTORNEYS INC.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21 August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[Company / VAT reg. no.]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300"/>
        <w:gridCol w:w="49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Terms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1.  This invoice is payable on presentation unless otherwise agreed in writing.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2.  Third-party registration and subscription costs are recovered at cost; supporting invoices are available on request.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3.  Any query on this account must be raised within 30 days of the date of invoice.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4.  Ownership of any design work supplied passes to the client on receipt of payment in full.</w:t>
            </w:r>
          </w:p>
        </w:tc>
      </w:tr>
    </w:tbl>
    <w:p>
      <w:pPr>
        <w:spacing w:after="2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H Annandale Attorneys Inc.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Reg. no. </w:t>
      </w:r>
      <w:r>
        <w:rPr>
          <w:rFonts w:ascii="Arial" w:cs="Arial" w:eastAsia="Arial" w:hAnsi="Arial"/>
          <w:i/>
          <w:iCs/>
          <w:color w:val="9AA6B6"/>
          <w:sz w:val="13"/>
          <w:szCs w:val="13"/>
        </w:rPr>
        <w:t xml:space="preserve">[Company reg. no.]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2026-08-21T05:55:58.320Z</dcterms:created>
  <dcterms:modified xsi:type="dcterms:W3CDTF">2026-08-21T05:55:58.320Z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