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3.png" ContentType="image/png"/>
  <Override PartName="/word/media/rId9.png" ContentType="image/png"/>
  <Override PartName="/word/media/zooki-logo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Espacio"/>
        <w:spacing w:before="3800" w:after="0"/>
      </w:pPr>
    </w:p>
    <w:p>
      <w:pPr>
        <w:pStyle w:val="PortadaTitulo"/>
      </w:pPr>
      <w:r>
        <w:t xml:space="preserve">Modelo Entidad-Relación (MER)</w:t>
      </w:r>
    </w:p>
    <w:p>
      <w:pPr>
        <w:pStyle w:val="PortadaProyecto"/>
      </w:pPr>
      <w:r>
        <w:t xml:space="preserve">Proyecto: Zooki v2.0</w:t>
      </w:r>
    </w:p>
    <w:p>
      <w:pPr>
        <w:pStyle w:val="PortadaAutoria"/>
        <w:spacing w:before="0" w:after="200"/>
      </w:pPr>
    </w:p>
    <w:p>
      <w:pPr>
        <w:pStyle w:val="PortadaAutoria"/>
      </w:pPr>
      <w:r>
        <w:t xml:space="preserve">Elaborado por: Juan Sebastián Carvajal Home</w:t>
      </w:r>
    </w:p>
    <w:p>
      <w:pPr>
        <w:pStyle w:val="PortadaAutoria"/>
      </w:pPr>
      <w:r>
        <w:t xml:space="preserve">Instructor: Oscar Eduardo Yanguas</w:t>
      </w:r>
    </w:p>
    <w:p>
      <w:pPr>
        <w:pStyle w:val="PortadaAutoria"/>
      </w:pPr>
      <w:r>
        <w:t xml:space="preserve">Tecnología en Análisis y Desarrollo de Software (ADSO) · Ficha 3142784</w:t>
      </w:r>
    </w:p>
    <w:p>
      <w:pPr>
        <w:pStyle w:val="PortadaAutoria"/>
      </w:pPr>
      <w:r>
        <w:t xml:space="preserve">Servicio Nacional de Aprendizaje (SENA) · Centro Tecnológico de la Amazonia</w:t>
      </w:r>
    </w:p>
    <w:p>
      <w:pPr>
        <w:pStyle w:val="PortadaAutoria"/>
      </w:pPr>
      <w:r>
        <w:t xml:space="preserve">Florencia, Caquetá</w:t>
      </w:r>
    </w:p>
    <w:p>
      <w:pPr>
        <w:pStyle w:val="PortadaEspacio"/>
        <w:spacing w:before="2600" w:after="0"/>
      </w:pPr>
    </w:p>
    <w:p>
      <w:pPr>
        <w:pStyle w:val="PortadaPie"/>
      </w:pPr>
      <w:r>
        <w:drawing>
          <wp:inline>
            <wp:extent cx="395999" cy="40550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esktop\Zooki\public\img\icon_blu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32"/>
          <w:color w:val="1565C0"/>
        </w:rPr>
        <w:t xml:space="preserve"> Zooki</w:t>
      </w:r>
      <w:r>
        <w:tab/>
      </w:r>
      <w:r>
        <w:t xml:space="preserve">Octubre de 2026</w:t>
      </w:r>
    </w:p>
    <w:p>
      <w:pPr>
        <w:pStyle w:val="TituloSeccion"/>
      </w:pPr>
      <w:r>
        <w:t xml:space="preserve">Ficha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4569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Revisión</w:t>
            </w:r>
          </w:p>
        </w:tc>
        <w:tc>
          <w:tcPr/>
          <w:p>
            <w:pPr>
              <w:pStyle w:val="Celda"/>
            </w:pPr>
            <w:r>
              <w:t xml:space="preserve">Autor</w:t>
            </w:r>
          </w:p>
        </w:tc>
      </w:tr>
      <w:tr>
        <w:tc>
          <w:tcPr/>
          <w:p>
            <w:pPr>
              <w:pStyle w:val="Celda"/>
            </w:pPr>
            <w:r>
              <w:t xml:space="preserve">11/10/2026</w:t>
            </w:r>
          </w:p>
        </w:tc>
        <w:tc>
          <w:tcPr/>
          <w:p>
            <w:pPr>
              <w:pStyle w:val="Celda"/>
            </w:pPr>
            <w:r>
              <w:t xml:space="preserve">—</w:t>
            </w:r>
          </w:p>
        </w:tc>
        <w:tc>
          <w:tcPr/>
          <w:p>
            <w:pPr>
              <w:pStyle w:val="Celda"/>
            </w:pPr>
            <w:r>
              <w:t xml:space="preserve">Juan Sebastián Carvajal Home</w:t>
            </w:r>
          </w:p>
        </w:tc>
      </w:tr>
    </w:tbl>
    <w:p>
      <w:pPr>
        <w:pStyle w:val="FichaTexto"/>
      </w:pPr>
      <w:r>
        <w:t xml:space="preserve">Documento validado por las partes en fecha: ____________________</w:t>
      </w:r>
    </w:p>
    <w:tbl>
      <w:tblPr>
        <w:tblStyle w:val="Table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Elaborado por</w:t>
            </w:r>
          </w:p>
        </w:tc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Revisado por</w:t>
            </w:r>
          </w:p>
        </w:tc>
      </w:tr>
      <w:tr>
        <w:trPr>
          <w:trHeight w:val="1250" w:hRule="atLeast"/>
        </w:trPr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Juan Sebastián Carvajal Home — Aprendiz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Oscar Eduardo Yanguas — Instructor</w:t>
            </w:r>
          </w:p>
        </w:tc>
      </w:tr>
    </w:tbl>
    <w:p>
      <w:pPr>
        <w:pStyle w:val="TituloSeccion"/>
      </w:pPr>
      <w:r>
        <w:t xml:space="preserve">Contenido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Actualice el índice: clic derecho sobre este texto y «Actualizar campos».</w:t>
      </w:r>
      <w:r>
        <w:fldChar w:fldCharType="end"/>
      </w:r>
    </w:p>
    <w:p>
      <w:r>
        <w:br w:type="page"/>
      </w:r>
    </w:p>
    <w:p>
      <w:pPr>
        <w:pStyle w:val="FirstParagraph"/>
      </w:pPr>
      <w:r>
        <w:t xml:space="preserve">Este documento describe la estructura y relaciones de la base de datos relacional de</w:t>
      </w:r>
      <w:r>
        <w:t xml:space="preserve"> </w:t>
      </w:r>
      <w:r>
        <w:rPr>
          <w:b/>
          <w:bCs/>
        </w:rPr>
        <w:t xml:space="preserve">Zooki</w:t>
      </w:r>
      <w:r>
        <w:t xml:space="preserve"> </w:t>
      </w:r>
      <w:r>
        <w:t xml:space="preserve">en su versión</w:t>
      </w:r>
      <w:r>
        <w:t xml:space="preserve"> </w:t>
      </w:r>
      <w:r>
        <w:rPr>
          <w:b/>
          <w:bCs/>
        </w:rPr>
        <w:t xml:space="preserve">v2.0</w:t>
      </w:r>
      <w:r>
        <w:t xml:space="preserve"> </w:t>
      </w:r>
      <w:r>
        <w:t xml:space="preserve">(arquitectura SaaS multi-inquilino). El modelo incorpora el aislamiento de datos por clínica (</w:t>
      </w:r>
      <w:r>
        <w:rPr>
          <w:rStyle w:val="VerbatimChar"/>
        </w:rPr>
        <w:t xml:space="preserve">id_clinica</w:t>
      </w:r>
      <w:r>
        <w:t xml:space="preserve">), el grafo de conocimiento clínico, la suscripción por planes y la reputación de veterinarios, además del historial clínico y la auditoría ya existentes.</w:t>
      </w:r>
    </w:p>
    <w:bookmarkStart w:id="12" w:name="_2169bb510914396473aa1c71ab8bc09f79b86cc"/>
    <w:p>
      <w:pPr>
        <w:pStyle w:val="Heading1"/>
      </w:pPr>
      <w:r>
        <w:t xml:space="preserve">Aislamiento multi-inquilino</w:t>
      </w:r>
    </w:p>
    <w:p>
      <w:pPr>
        <w:pStyle w:val="FirstParagraph"/>
      </w:pPr>
      <w:r>
        <w:t xml:space="preserve">Cada clínica es un</w:t>
      </w:r>
      <w:r>
        <w:t xml:space="preserve"> </w:t>
      </w:r>
      <w:r>
        <w:rPr>
          <w:b/>
          <w:bCs/>
        </w:rPr>
        <w:t xml:space="preserve">inquilino</w:t>
      </w:r>
      <w:r>
        <w:t xml:space="preserve"> </w:t>
      </w:r>
      <w:r>
        <w:t xml:space="preserve">identificado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 Las tablas de negocio incorporan esa columna y toda consulta la filtra. Son</w:t>
      </w:r>
      <w:r>
        <w:t xml:space="preserve"> </w:t>
      </w:r>
      <w:r>
        <w:rPr>
          <w:b/>
          <w:bCs/>
        </w:rPr>
        <w:t xml:space="preserve">globales</w:t>
      </w:r>
      <w:r>
        <w:t xml:space="preserve"> </w:t>
      </w:r>
      <w:r>
        <w:t xml:space="preserve">(compartidas por todas las clínicas, 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): los catálogos taxonómicos (</w:t>
      </w:r>
      <w:r>
        <w:rPr>
          <w:rStyle w:val="VerbatimChar"/>
        </w:rPr>
        <w:t xml:space="preserve">especies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colores_base</w:t>
      </w:r>
      <w:r>
        <w:t xml:space="preserve">), el catálogo de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especialidades</w:t>
      </w:r>
      <w:r>
        <w:t xml:space="preserve">, y el</w:t>
      </w:r>
      <w:r>
        <w:t xml:space="preserve"> </w:t>
      </w:r>
      <w:r>
        <w:rPr>
          <w:b/>
          <w:bCs/>
        </w:rPr>
        <w:t xml:space="preserve">grafo de conocimiento clínico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grafo_nodos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grafo_aristas</w:t>
      </w:r>
      <w:r>
        <w:t xml:space="preserve">). El</w:t>
      </w:r>
      <w:r>
        <w:t xml:space="preserve"> </w:t>
      </w:r>
      <w:r>
        <w:rPr>
          <w:b/>
          <w:bCs/>
        </w:rPr>
        <w:t xml:space="preserve">super-administrador</w:t>
      </w:r>
      <w:r>
        <w:t xml:space="preserve"> </w:t>
      </w:r>
      <w:r>
        <w:t xml:space="preserve">no pertenece a ninguna clínica (</w:t>
      </w:r>
      <w:r>
        <w:rPr>
          <w:rStyle w:val="VerbatimChar"/>
        </w:rPr>
        <w:t xml:space="preserve">usuarios.es_super_admin</w:t>
      </w:r>
      <w:r>
        <w:t xml:space="preserve">).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propietarios</w:t>
      </w:r>
      <w:r>
        <w:t xml:space="preserve"> </w:t>
      </w:r>
      <w:r>
        <w:t xml:space="preserve">también son</w:t>
      </w:r>
      <w:r>
        <w:t xml:space="preserve"> </w:t>
      </w:r>
      <w:r>
        <w:rPr>
          <w:b/>
          <w:bCs/>
        </w:rPr>
        <w:t xml:space="preserve">identidades globales</w:t>
      </w:r>
      <w:r>
        <w:t xml:space="preserve">: un único registro por persona, con</w:t>
      </w:r>
      <w:r>
        <w:t xml:space="preserve"> </w:t>
      </w:r>
      <w:r>
        <w:rPr>
          <w:b/>
          <w:bCs/>
        </w:rPr>
        <w:t xml:space="preserve">correo único en toda la plataforma</w:t>
      </w:r>
      <w:r>
        <w:t xml:space="preserve">. Se vinculan a una o varias clínicas mediante la tabla puente</w:t>
      </w:r>
      <w:r>
        <w:t xml:space="preserve"> </w:t>
      </w:r>
      <w:r>
        <w:rPr>
          <w:rStyle w:val="VerbatimChar"/>
          <w:b/>
          <w:bCs/>
        </w:rPr>
        <w:t xml:space="preserve"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</w:t>
      </w:r>
      <w:r>
        <w:t xml:space="preserve"> </w:t>
      </w:r>
      <w:r>
        <w:rPr>
          <w:b/>
          <w:bCs/>
        </w:rPr>
        <w:t xml:space="preserve">varios roles</w:t>
      </w:r>
      <w:r>
        <w:t xml:space="preserve">: su rol de propietario (por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) y, en cada clínica donde trabaja, un rol de personal (administrador o veterinario) por la tabla</w:t>
      </w:r>
      <w:r>
        <w:t xml:space="preserve"> </w:t>
      </w:r>
      <w:r>
        <w:rPr>
          <w:rStyle w:val="VerbatimChar"/>
          <w:b/>
          <w:bCs/>
        </w:rPr>
        <w:t xml:space="preserve">usuario_clinica</w:t>
      </w:r>
      <w:r>
        <w:t xml:space="preserve">. Así un veterinario que trabaja en dos clínicas y tiene su propio perro usa una sola cuenta. Las</w:t>
      </w:r>
      <w:r>
        <w:t xml:space="preserve"> </w:t>
      </w:r>
      <w:r>
        <w:rPr>
          <w:b/>
          <w:bCs/>
        </w:rPr>
        <w:t xml:space="preserve">mascotas</w:t>
      </w:r>
      <w:r>
        <w:t xml:space="preserve"> </w:t>
      </w:r>
      <w:r>
        <w:t xml:space="preserve">también son</w:t>
      </w:r>
      <w:r>
        <w:t xml:space="preserve"> </w:t>
      </w:r>
      <w:r>
        <w:rPr>
          <w:b/>
          <w:bCs/>
        </w:rPr>
        <w:t xml:space="preserve">globales</w:t>
      </w:r>
      <w:r>
        <w:t xml:space="preserve">: pertenecen a su propietario, no a una clínica, y se vinculan a cada clínica donde se atienden mediante la tabla puente</w:t>
      </w:r>
      <w:r>
        <w:t xml:space="preserve"> </w:t>
      </w:r>
      <w:r>
        <w:rPr>
          <w:rStyle w:val="VerbatimChar"/>
          <w:b/>
          <w:bCs/>
        </w:rPr>
        <w:t xml:space="preserve">mascota_clinica</w:t>
      </w:r>
      <w:r>
        <w:t xml:space="preserve"> </w:t>
      </w:r>
      <w:r>
        <w:t xml:space="preserve">(que guarda además el número de historia clínica de esa clínica). Así una mascota tiene</w:t>
      </w:r>
      <w:r>
        <w:t xml:space="preserve"> </w:t>
      </w:r>
      <w:r>
        <w:rPr>
          <w:b/>
          <w:bCs/>
        </w:rPr>
        <w:t xml:space="preserve">una sola ficha, un solo carnet y un solo QR</w:t>
      </w:r>
      <w:r>
        <w:t xml:space="preserve"> </w:t>
      </w:r>
      <w:r>
        <w:t xml:space="preserve">en toda la plataforma. La ficha provisional de urgencia es la excepción temporal: se registra sin propietario verificado y con carnet inactivo hasta completarla o consolidarla (RE-4.15.3). El aislamiento se mantiene en los</w:t>
      </w:r>
      <w:r>
        <w:t xml:space="preserve"> </w:t>
      </w:r>
      <w:r>
        <w:rPr>
          <w:b/>
          <w:bCs/>
        </w:rPr>
        <w:t xml:space="preserve">registros clínicos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,</w:t>
      </w:r>
      <w:r>
        <w:t xml:space="preserve"> </w:t>
      </w:r>
      <w:r>
        <w:rPr>
          <w:rStyle w:val="VerbatimChar"/>
        </w:rPr>
        <w:t xml:space="preserve">vacunas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desparasitaciones</w:t>
      </w:r>
      <w:r>
        <w:t xml:space="preserve"> </w:t>
      </w:r>
      <w:r>
        <w:t xml:space="preserve">llevan el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(y el veterinario) de la clínica que los creó, y solo esa clínica puede modificarlos. Otra clínica vinculada ve siempre las alergias y alertas médicas (</w:t>
      </w:r>
      <w:r>
        <w:rPr>
          <w:rStyle w:val="VerbatimChar"/>
        </w:rPr>
        <w:t xml:space="preserve">alertas_medicas</w:t>
      </w:r>
      <w:r>
        <w:t xml:space="preserve">), las vacunas y desparasitaciones; las consultas de otras clínicas solo si el propietario la autorizó (</w:t>
      </w:r>
      <w:r>
        <w:rPr>
          <w:rStyle w:val="VerbatimChar"/>
        </w:rPr>
        <w:t xml:space="preserve">propietario_clinica.autoriza_historia_compartida</w:t>
      </w:r>
      <w:r>
        <w:t xml:space="preserve">). Ver Reglas de Negocio RN-110 a RN-115.</w:t>
      </w:r>
    </w:p>
    <w:bookmarkEnd w:id="12"/>
    <w:bookmarkStart w:id="16" w:name="_73c0ee2683bf723e155dc341c5b673c8a0cee0f"/>
    <w:p>
      <w:pPr>
        <w:pStyle w:val="Heading1"/>
      </w:pPr>
      <w:r>
        <w:t xml:space="preserve">Diagrama Entidad-Relación</w:t>
      </w:r>
    </w:p>
    <w:p>
      <w:pPr>
        <w:pStyle w:val="FirstParagraph"/>
      </w:pPr>
      <w:r>
        <w:t xml:space="preserve">Escrito en Mermaid; se versiona junto al código y se renderiza a cualquier nivel de zoom. Las líneas continuas representan relaciones con clave foránea declarada; las punteadas, vínculos lógicos que el esquema no obliga.</w:t>
      </w:r>
    </w:p>
    <w:p>
      <w:pPr>
        <w:pStyle w:val="Rotulo"/>
      </w:pPr>
      <w:r>
        <w:t xml:space="preserve">Figura 1</w:t>
      </w:r>
    </w:p>
    <w:p>
      <w:pPr>
        <w:pStyle w:val="RotuloTitulo"/>
      </w:pPr>
      <w:r>
        <w:t xml:space="preserve">Diagrama Entidad-Relación</w:t>
      </w:r>
    </w:p>
    <w:p>
      <w:pPr>
        <w:pStyle w:val="FiguraImagen"/>
      </w:pPr>
      <w:r>
        <w:drawing>
          <wp:inline>
            <wp:extent cx="5939999" cy="99475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Users\Usuario\AppData\Local\Temp\zooki-docs-gFsqxC\mer-figura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994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7" w:name="_175abadf9b0a49af33d36e1016fa2ba4e3dbee1"/>
    <w:p>
      <w:pPr>
        <w:pStyle w:val="Heading1"/>
      </w:pPr>
      <w:r>
        <w:t xml:space="preserve">Detalle de Entidades Principales</w:t>
      </w:r>
    </w:p>
    <w:bookmarkStart w:id="17" w:name="_c2b7a8b81ef31c74ab584612d4a9fe9e5f481bc"/>
    <w:p>
      <w:pPr>
        <w:pStyle w:val="Heading2"/>
      </w:pPr>
      <w:r>
        <w:t xml:space="preserve">1. Plataforma y suscripción (SaaS) — nuevo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clinicas</w:t>
      </w:r>
      <w:r>
        <w:t xml:space="preserve">: Cada inquilino de la plataforma; su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aísla los datos. Incluye nombre,</w:t>
      </w:r>
      <w:r>
        <w:t xml:space="preserve"> </w:t>
      </w:r>
      <w:r>
        <w:rPr>
          <w:rStyle w:val="VerbatimChar"/>
        </w:rPr>
        <w:t xml:space="preserve">nit</w:t>
      </w:r>
      <w:r>
        <w:t xml:space="preserve"> </w:t>
      </w:r>
      <w:r>
        <w:t xml:space="preserve">(único, validado con el dígito de verificación de la DIAN; RN-010), dirección, teléfono, logo y el plan vigente. Su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pendiente_verificacion</w:t>
      </w:r>
      <w:r>
        <w:t xml:space="preserve"> </w:t>
      </w:r>
      <w:r>
        <w:t xml:space="preserve">hasta que confirma el correo (RN-002), y luego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suspendida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baja</w:t>
      </w:r>
      <w:r>
        <w:t xml:space="preserve"> </w:t>
      </w:r>
      <w:r>
        <w:t xml:space="preserve">(RN-012). Guarda también los parámetros de la agenda, con valores por defecto:</w:t>
      </w:r>
      <w:r>
        <w:t xml:space="preserve"> </w:t>
      </w:r>
      <w:r>
        <w:rPr>
          <w:rStyle w:val="VerbatimChar"/>
        </w:rPr>
        <w:t xml:space="preserve">telefono_urgencias</w:t>
      </w:r>
      <w:r>
        <w:t xml:space="preserve"> </w:t>
      </w:r>
      <w:r>
        <w:t xml:space="preserve">(RN-421),</w:t>
      </w:r>
      <w:r>
        <w:t xml:space="preserve"> </w:t>
      </w:r>
      <w:r>
        <w:rPr>
          <w:rStyle w:val="VerbatimChar"/>
        </w:rPr>
        <w:t xml:space="preserve">tope_sobrecupos</w:t>
      </w:r>
      <w:r>
        <w:t xml:space="preserve"> </w:t>
      </w:r>
      <w:r>
        <w:t xml:space="preserve">(2, RN-422),</w:t>
      </w:r>
      <w:r>
        <w:t xml:space="preserve"> </w:t>
      </w:r>
      <w:r>
        <w:rPr>
          <w:rStyle w:val="VerbatimChar"/>
        </w:rPr>
        <w:t xml:space="preserve">tolerancia_llegada_min</w:t>
      </w:r>
      <w:r>
        <w:t xml:space="preserve"> </w:t>
      </w:r>
      <w:r>
        <w:t xml:space="preserve">(10, RN-426),</w:t>
      </w:r>
      <w:r>
        <w:t xml:space="preserve"> </w:t>
      </w:r>
      <w:r>
        <w:rPr>
          <w:rStyle w:val="VerbatimChar"/>
        </w:rPr>
        <w:t xml:space="preserve">plazo_reasignacion_min</w:t>
      </w:r>
      <w:r>
        <w:t xml:space="preserve"> </w:t>
      </w:r>
      <w:r>
        <w:t xml:space="preserve">(10, RN-428) y</w:t>
      </w:r>
      <w:r>
        <w:t xml:space="preserve"> </w:t>
      </w:r>
      <w:r>
        <w:rPr>
          <w:rStyle w:val="VerbatimChar"/>
        </w:rPr>
        <w:t xml:space="preserve">umbral_aviso_min</w:t>
      </w:r>
      <w:r>
        <w:t xml:space="preserve"> </w:t>
      </w:r>
      <w:r>
        <w:t xml:space="preserve">(15, RN-429).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planes</w:t>
      </w:r>
      <w:r>
        <w:t xml:space="preserve">: Catálogo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de planes (gratuito y profesional) con sus precios (mensual/anual) y límites (</w:t>
      </w:r>
      <w:r>
        <w:rPr>
          <w:rStyle w:val="VerbatimChar"/>
        </w:rPr>
        <w:t xml:space="preserve">limite_mascotas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limite_citas_mes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limite_personal</w:t>
      </w:r>
      <w:r>
        <w:t xml:space="preserve">; NULL significa sin límite; RN-003).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suscripciones</w:t>
      </w:r>
      <w:r>
        <w:t xml:space="preserve">: Estado de la suscripción de cada clínica (</w:t>
      </w:r>
      <w:r>
        <w:rPr>
          <w:rStyle w:val="VerbatimChar"/>
        </w:rPr>
        <w:t xml:space="preserve">activa</w:t>
      </w:r>
      <w:r>
        <w:t xml:space="preserve">/</w:t>
      </w:r>
      <w:r>
        <w:rPr>
          <w:rStyle w:val="VerbatimChar"/>
        </w:rPr>
        <w:t xml:space="preserve">suspendida</w:t>
      </w:r>
      <w:r>
        <w:t xml:space="preserve">/</w:t>
      </w:r>
      <w:r>
        <w:rPr>
          <w:rStyle w:val="VerbatimChar"/>
        </w:rPr>
        <w:t xml:space="preserve">cancelada</w:t>
      </w:r>
      <w:r>
        <w:t xml:space="preserve">), ciclo de cobro, indicador</w:t>
      </w:r>
      <w:r>
        <w:t xml:space="preserve"> </w:t>
      </w:r>
      <w:r>
        <w:rPr>
          <w:rStyle w:val="VerbatimChar"/>
        </w:rPr>
        <w:t xml:space="preserve">al_dia</w:t>
      </w:r>
      <w:r>
        <w:t xml:space="preserve"> </w:t>
      </w:r>
      <w:r>
        <w:t xml:space="preserve">y vigencia.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</w:t>
      </w:r>
      <w:r>
        <w:t xml:space="preserve"> </w:t>
      </w:r>
      <w:r>
        <w:rPr>
          <w:rStyle w:val="VerbatimChar"/>
        </w:rPr>
        <w:t xml:space="preserve">notificaciones</w:t>
      </w:r>
      <w:r>
        <w:t xml:space="preserve">.</w:t>
      </w:r>
    </w:p>
    <w:bookmarkEnd w:id="17"/>
    <w:bookmarkStart w:id="18" w:name="_d6a9bf6cf0bb3e49f1d107fe570f8a5ddfe3adf"/>
    <w:p>
      <w:pPr>
        <w:pStyle w:val="Heading2"/>
      </w:pPr>
      <w:r>
        <w:t xml:space="preserve">2. Acceso y usuarios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</w:t>
      </w:r>
      <w:r>
        <w:t xml:space="preserve">: Perfiles del sistema:</w:t>
      </w:r>
      <w:r>
        <w:t xml:space="preserve"> </w:t>
      </w:r>
      <w:r>
        <w:rPr>
          <w:rStyle w:val="VerbatimChar"/>
        </w:rPr>
        <w:t xml:space="preserve">1 Administrador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2 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4 Propietario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5 Super-administrador</w:t>
      </w:r>
      <w:r>
        <w:t xml:space="preserve">.</w:t>
      </w:r>
      <w:r>
        <w:t xml:space="preserve"> </w:t>
      </w:r>
      <w:r>
        <w:rPr>
          <w:b/>
          <w:bCs/>
        </w:rPr>
        <w:t xml:space="preserve">El rol 3 (Recepcionista) se elimina en v2.0.</w:t>
      </w:r>
      <w:r>
        <w:t xml:space="preserve"> </w:t>
      </w:r>
      <w:r>
        <w:t xml:space="preserve">Los roles 1 y 2 se asignan por clínica en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; el 4 lo da el vínculo en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 </w:t>
      </w:r>
      <w:r>
        <w:t xml:space="preserve">y el 5 la marca</w:t>
      </w:r>
      <w:r>
        <w:t xml:space="preserve"> </w:t>
      </w:r>
      <w:r>
        <w:rPr>
          <w:rStyle w:val="VerbatimChar"/>
        </w:rPr>
        <w:t xml:space="preserve">usuarios.es_super_admin</w:t>
      </w:r>
      <w:r>
        <w:t xml:space="preserve">. El catálogo conserva el 4 y el 5 para nombrar el contexto activo de la sesión (RN-G01) y para dirigir avisos internos por 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usuarios</w:t>
      </w:r>
      <w:r>
        <w:t xml:space="preserve">: Identidad única de cada persona. Su clave es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, un número que no cambia y no revela datos personales;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.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 </w:t>
      </w:r>
      <w:r>
        <w:t xml:space="preserve">es NULL mientras una cuenta creada con Google no completa su perfil (</w:t>
      </w:r>
      <w:r>
        <w:rPr>
          <w:rStyle w:val="VerbatimChar"/>
        </w:rPr>
        <w:t xml:space="preserve">perfil_completo</w:t>
      </w:r>
      <w:r>
        <w:t xml:space="preserve">);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es NULL hasta que esa cuenta cree una contraseña;</w:t>
      </w:r>
      <w:r>
        <w:t xml:space="preserve"> </w:t>
      </w:r>
      <w:r>
        <w:rPr>
          <w:rStyle w:val="VerbatimChar"/>
        </w:rPr>
        <w:t xml:space="preserve">google_uid</w:t>
      </w:r>
      <w:r>
        <w:t xml:space="preserve"> </w:t>
      </w:r>
      <w:r>
        <w:t xml:space="preserve">vincula la cuenta de Google. Ya 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id_rol</w:t>
      </w:r>
      <w:r>
        <w:t xml:space="preserve">: los roles se asignan por contexto.</w:t>
      </w:r>
      <w:r>
        <w:t xml:space="preserve"> </w:t>
      </w:r>
      <w:r>
        <w:rPr>
          <w:rStyle w:val="VerbatimChar"/>
        </w:rPr>
        <w:t xml:space="preserve">es_super_admin</w:t>
      </w:r>
      <w:r>
        <w:t xml:space="preserve"> </w:t>
      </w:r>
      <w:r>
        <w:t xml:space="preserve">marca al operador de la plataforma, que no tiene roles de clínica. Al suprimir una cuenta (RN-G16) sus datos personales se reemplazan,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google_uid</w:t>
      </w:r>
      <w:r>
        <w:t xml:space="preserve"> </w:t>
      </w:r>
      <w:r>
        <w:t xml:space="preserve">quedan en NULL y el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se conserva, por lo que la historia clínica y la auditoría siguen íntegras.</w:t>
      </w:r>
      <w:r>
        <w:t xml:space="preserve"> </w:t>
      </w:r>
      <w:r>
        <w:rPr>
          <w:rStyle w:val="VerbatimChar"/>
        </w:rPr>
        <w:t xml:space="preserve">version_sesion</w:t>
      </w:r>
      <w:r>
        <w:t xml:space="preserve"> </w:t>
      </w:r>
      <w:r>
        <w:t xml:space="preserve">sube cada vez que se crea o cambia la contraseña: cada sesión guarda la versión con la que entró y, si ya no coincide, se cierra (RE-T.2.5).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usuario_clinica</w:t>
      </w:r>
      <w:r>
        <w:t xml:space="preserve">: Roles de personal de una persona en cada clínica (</w:t>
      </w:r>
      <w:r>
        <w:rPr>
          <w:rStyle w:val="VerbatimChar"/>
        </w:rPr>
        <w:t xml:space="preserve">id_rol</w:t>
      </w:r>
      <w:r>
        <w:t xml:space="preserve">: 1 administrador o 2 veterinario), con su estado. Inactivar a alguien en una clínica no afecta sus otros roles (RN-G08).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propietario_clinica</w:t>
      </w:r>
      <w:r>
        <w:t xml:space="preserve">: Tabla puente que vincula un propietario (global) con una o varias clínicas. Un propietario se crea una sola vez (correo único) y se liga a cada clínica mediante este registro, previa</w:t>
      </w:r>
      <w:r>
        <w:t xml:space="preserve"> </w:t>
      </w:r>
      <w:r>
        <w:rPr>
          <w:b/>
          <w:bCs/>
        </w:rPr>
        <w:t xml:space="preserve"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</w:t>
      </w:r>
      <w:r>
        <w:t xml:space="preserve"> </w:t>
      </w:r>
      <w:r>
        <w:rPr>
          <w:rStyle w:val="VerbatimChar"/>
        </w:rPr>
        <w:t xml:space="preserve">autoriza_historia_compartida</w:t>
      </w:r>
      <w:r>
        <w:t xml:space="preserve"> </w:t>
      </w:r>
      <w:r>
        <w:t xml:space="preserve">guarda si el propietario permite que esa clínica vea las consultas registradas por otras clínicas (revocable; RN-113).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password_resets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verificaciones_email</w:t>
      </w:r>
      <w:r>
        <w:t xml:space="preserve">: Enlaces de un solo uso, guardados como hash y con vencimiento, ligados a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(antes al documento).</w:t>
      </w:r>
      <w:r>
        <w:t xml:space="preserve"> </w:t>
      </w:r>
      <w:r>
        <w:rPr>
          <w:rStyle w:val="VerbatimChar"/>
        </w:rPr>
        <w:t xml:space="preserve">verificaciones_email</w:t>
      </w:r>
      <w:r>
        <w:t xml:space="preserve"> </w:t>
      </w:r>
      <w:r>
        <w:t xml:space="preserve">guarda el correo que se verifica, así que sirve para el registro y para el cambio de correo: el correo nuevo solo reemplaza al anterior cuando se verifica (RN-G23). Para vincular un propietario existente,</w:t>
      </w:r>
      <w:r>
        <w:t xml:space="preserve"> </w:t>
      </w:r>
      <w:r>
        <w:rPr>
          <w:rStyle w:val="VerbatimChar"/>
        </w:rPr>
        <w:t xml:space="preserve">proposito = vinculo_clinica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id_clinica_vinculo</w:t>
      </w:r>
      <w:r>
        <w:t xml:space="preserve"> </w:t>
      </w:r>
      <w:r>
        <w:t xml:space="preserve">identifican la solicitud: solo su confirmación crea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 </w:t>
      </w:r>
      <w:r>
        <w:t xml:space="preserve">(RN-109); un enlace de registro no sirve para este fin. Para invitar al personal (RE-T.7.5),</w:t>
      </w:r>
      <w:r>
        <w:t xml:space="preserve"> </w:t>
      </w:r>
      <w:r>
        <w:rPr>
          <w:rStyle w:val="VerbatimChar"/>
        </w:rPr>
        <w:t xml:space="preserve">proposito = activacion_personal</w:t>
      </w:r>
      <w:r>
        <w:t xml:space="preserve"> </w:t>
      </w:r>
      <w:r>
        <w:t xml:space="preserve">es la invitación a una cuenta nueva y</w:t>
      </w:r>
      <w:r>
        <w:t xml:space="preserve"> </w:t>
      </w:r>
      <w:r>
        <w:rPr>
          <w:rStyle w:val="VerbatimChar"/>
        </w:rPr>
        <w:t xml:space="preserve">proposito = invitacion_personal</w:t>
      </w:r>
      <w:r>
        <w:t xml:space="preserve"> </w:t>
      </w:r>
      <w:r>
        <w:t xml:space="preserve">la invitación a una persona que ya tiene cuenta:</w:t>
      </w:r>
      <w:r>
        <w:t xml:space="preserve"> </w:t>
      </w:r>
      <w:r>
        <w:rPr>
          <w:rStyle w:val="VerbatimChar"/>
        </w:rPr>
        <w:t xml:space="preserve">id_clinica_vinculo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id_rol_vinculo</w:t>
      </w:r>
      <w:r>
        <w:t xml:space="preserve"> </w:t>
      </w:r>
      <w:r>
        <w:t xml:space="preserve">dicen a qué clínica y con qué rol, y solo la aceptación del titular crea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.</w:t>
      </w:r>
      <w:r>
        <w:t xml:space="preserve"> </w:t>
      </w:r>
      <w:r>
        <w:rPr>
          <w:rStyle w:val="VerbatimChar"/>
        </w:rPr>
        <w:t xml:space="preserve">nombre_invitado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tipo_documento_invitado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email_invitado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telefono_invitado</w:t>
      </w:r>
      <w:r>
        <w:t xml:space="preserve"> </w:t>
      </w:r>
      <w:r>
        <w:t xml:space="preserve">guardan lo que escribió el administrador: es lo único que la clínica ve mientras la invitación está pendiente, así que la lista no revela si la cuenta existe;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es el correo de la cuenta al que se envió. En D3,</w:t>
      </w:r>
      <w:r>
        <w:t xml:space="preserve"> </w:t>
      </w:r>
      <w:r>
        <w:rPr>
          <w:rStyle w:val="VerbatimChar"/>
        </w:rPr>
        <w:t xml:space="preserve">registro_clinica</w:t>
      </w:r>
      <w:r>
        <w:t xml:space="preserve"> </w:t>
      </w:r>
      <w:r>
        <w:t xml:space="preserve">identifica al administrador nuevo y</w:t>
      </w:r>
      <w:r>
        <w:t xml:space="preserve"> </w:t>
      </w:r>
      <w:r>
        <w:rPr>
          <w:rStyle w:val="VerbatimChar"/>
        </w:rPr>
        <w:t xml:space="preserve">vinculo_admin_clinica</w:t>
      </w:r>
      <w:r>
        <w:t xml:space="preserve"> </w:t>
      </w:r>
      <w:r>
        <w:t xml:space="preserve">al preexistente; el enlace confirma por POST el rol y la activación atómica con catálogos. Si otra solicitud vigente impide eliminar una identidad nueva vencida,</w:t>
      </w:r>
      <w:r>
        <w:t xml:space="preserve"> </w:t>
      </w:r>
      <w:r>
        <w:rPr>
          <w:rStyle w:val="VerbatimChar"/>
        </w:rPr>
        <w:t xml:space="preserve">alta_clinica_vencida</w:t>
      </w:r>
      <w:r>
        <w:t xml:space="preserve">, usada y sin clínica, conserva su procedencia hasta que la limpieza pueda eliminarla; nunca es un enlace válido ni identifica una cuenta preexistente.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intentos_login</w:t>
      </w:r>
      <w:r>
        <w:t xml:space="preserve">: Contadores de intentos fallidos, sin clave foránea. La clave del contador (</w:t>
      </w:r>
      <w:r>
        <w:rPr>
          <w:rStyle w:val="VerbatimChar"/>
        </w:rPr>
        <w:t xml:space="preserve">identificador</w:t>
      </w:r>
      <w:r>
        <w:t xml:space="preserve">, única) lleva prefijo:</w:t>
      </w:r>
      <w:r>
        <w:t xml:space="preserve"> </w:t>
      </w:r>
      <w:r>
        <w:rPr>
          <w:rStyle w:val="VerbatimChar"/>
        </w:rPr>
        <w:t xml:space="preserve">ip:&lt;dirección&gt;</w:t>
      </w:r>
      <w:r>
        <w:t xml:space="preserve"> </w:t>
      </w:r>
      <w:r>
        <w:t xml:space="preserve">para el bloqueo por IP,</w:t>
      </w:r>
      <w:r>
        <w:t xml:space="preserve"> </w:t>
      </w:r>
      <w:r>
        <w:rPr>
          <w:rStyle w:val="VerbatimChar"/>
        </w:rPr>
        <w:t xml:space="preserve">cuenta:&lt;id_usuario&gt;</w:t>
      </w:r>
      <w:r>
        <w:t xml:space="preserve"> </w:t>
      </w:r>
      <w:r>
        <w:t xml:space="preserve">para exigir el CAPTCHA por cuenta (RN-G15) y</w:t>
      </w:r>
      <w:r>
        <w:t xml:space="preserve"> </w:t>
      </w:r>
      <w:r>
        <w:rPr>
          <w:rStyle w:val="VerbatimChar"/>
        </w:rPr>
        <w:t xml:space="preserve">chk:&lt;dirección&gt;</w:t>
      </w:r>
      <w:r>
        <w:t xml:space="preserve"> </w:t>
      </w:r>
      <w:r>
        <w:t xml:space="preserve">para limitar la ayuda de formato de documento y correo (nunca devuelve existencia).</w:t>
      </w:r>
      <w:r>
        <w:t xml:space="preserve"> </w:t>
      </w:r>
      <w:r>
        <w:rPr>
          <w:rStyle w:val="VerbatimChar"/>
        </w:rPr>
        <w:t xml:space="preserve">alta-clinica:&lt;AAAA-MM-DD&gt;:&lt;IP&gt;</w:t>
      </w:r>
      <w:r>
        <w:t xml:space="preserve"> </w:t>
      </w:r>
      <w:r>
        <w:t xml:space="preserve">limita a tres registros diarios de clínica por IP real; el incremento se confirma en la misma transacción del alta (RE-0.1.6). El contador por cuenta usa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y no el documento, porque la persona puede entrar con su documento, su correo o Google y los tres deben sumar al mismo contador.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casos_soporte</w:t>
      </w:r>
      <w:r>
        <w:t xml:space="preserve"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descartado</w:t>
      </w:r>
      <w:r>
        <w:t xml:space="preserve">).</w:t>
      </w:r>
    </w:p>
    <w:bookmarkEnd w:id="18"/>
    <w:bookmarkStart w:id="19" w:name="_1eb549e2a9c91af4bfaebaeb7bc947a2e39f25e"/>
    <w:p>
      <w:pPr>
        <w:pStyle w:val="Heading2"/>
      </w:pPr>
      <w:r>
        <w:t xml:space="preserve">3. Reputación de veterinarios — nuevo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especialidades</w:t>
      </w:r>
      <w:r>
        <w:t xml:space="preserve">: Catálogo global de especialidades veterinarias.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veterinario_perfil</w:t>
      </w:r>
      <w:r>
        <w:t xml:space="preserve">: Datos públicos del veterinario (biografía, foto).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veterinario_especialidades</w:t>
      </w:r>
      <w:r>
        <w:t xml:space="preserve">: Relación N:M entre veterinarios y especialidades.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resenas_veterinario</w:t>
      </w:r>
      <w:r>
        <w:t xml:space="preserve">: Calificación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1–5 y comentario opcional) atada a una</w:t>
      </w:r>
      <w:r>
        <w:t xml:space="preserve"> </w:t>
      </w:r>
      <w:r>
        <w:rPr>
          <w:b/>
          <w:bCs/>
        </w:rPr>
        <w:t xml:space="preserve">cita atendida</w:t>
      </w:r>
      <w:r>
        <w:t xml:space="preserve">; una reseña por cita. Alimenta el promedio del perfil y el emparejamiento del Grafo II.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marca una reseña ocultada por moderación del super-administrador; la clínica no puede editarla ni borrarla (RN-804).</w:t>
      </w:r>
    </w:p>
    <w:bookmarkEnd w:id="19"/>
    <w:bookmarkStart w:id="20" w:name="_fa59eaf9d7724395b60f4af2c2b485b4008604a"/>
    <w:p>
      <w:pPr>
        <w:pStyle w:val="Heading2"/>
      </w:pPr>
      <w:r>
        <w:t xml:space="preserve">4. Grafo de conocimiento clínico (Grafo I) — nuevo, global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grafo_nodos</w:t>
      </w:r>
      <w:r>
        <w:t xml:space="preserve">: Conceptos clínicos con su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sintoma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especie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condicion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grafo_aristas</w:t>
      </w:r>
      <w:r>
        <w:t xml:space="preserve">: Relaciones dirigidas entre nodos con</w:t>
      </w:r>
      <w:r>
        <w:t xml:space="preserve"> </w:t>
      </w:r>
      <w:r>
        <w:rPr>
          <w:rStyle w:val="VerbatimChar"/>
        </w:rPr>
        <w:t xml:space="preserve">tipo_relacion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positivo</w:t>
      </w:r>
      <w:r>
        <w:t xml:space="preserve">/</w:t>
      </w:r>
      <w:r>
        <w:rPr>
          <w:rStyle w:val="VerbatimChar"/>
        </w:rPr>
        <w:t xml:space="preserve">negativo</w:t>
      </w:r>
      <w:r>
        <w:t xml:space="preserve">) y</w:t>
      </w:r>
      <w:r>
        <w:t xml:space="preserve"> </w:t>
      </w:r>
      <w:r>
        <w:rPr>
          <w:rStyle w:val="VerbatimChar"/>
        </w:rPr>
        <w:t xml:space="preserve">peso</w:t>
      </w:r>
      <w:r>
        <w:t xml:space="preserve">. Es un</w:t>
      </w:r>
      <w:r>
        <w:t xml:space="preserve"> </w:t>
      </w:r>
      <w:r>
        <w:rPr>
          <w:b/>
          <w:bCs/>
        </w:rPr>
        <w:t xml:space="preserve">grafo con signo</w:t>
      </w:r>
      <w:r>
        <w:t xml:space="preserve">: lo positivo favorece, lo negativo contraindica o veta. Compartido por todas las clínicas.</w:t>
      </w:r>
    </w:p>
    <w:p>
      <w:pPr>
        <w:pStyle w:val="Compact"/>
        <w:numPr>
          <w:ilvl w:val="0"/>
          <w:numId w:val="1004"/>
        </w:numPr>
      </w:pPr>
      <w:r>
        <w:t xml:space="preserve">Los datos de cada paciente se cruzan con el grafo por cuatro puntos:</w:t>
      </w:r>
      <w:r>
        <w:t xml:space="preserve"> </w:t>
      </w:r>
      <w:r>
        <w:rPr>
          <w:rStyle w:val="VerbatimChar"/>
        </w:rPr>
        <w:t xml:space="preserve">alertas_medicas.id_nodo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cita_sintomas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consulta_sintomas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tratamientos.id_nodo_farmaco</w:t>
      </w:r>
      <w:r>
        <w:t xml:space="preserve">. Sin esos enlaces el triage y las advertencias de prescripción no tendrían de dónde leer.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Grafo II (agenda)</w:t>
      </w:r>
      <w:r>
        <w:t xml:space="preserve"> </w:t>
      </w:r>
      <w:r>
        <w:t xml:space="preserve">no guarda el grafo: lo construye en tiempo real a partir de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(estado, nivel de triage, horas reales, sobrecupos),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 </w:t>
      </w:r>
      <w:r>
        <w:t xml:space="preserve">(duración, margen, pausable),</w:t>
      </w:r>
      <w:r>
        <w:t xml:space="preserve"> </w:t>
      </w:r>
      <w:r>
        <w:rPr>
          <w:rStyle w:val="VerbatimChar"/>
        </w:rPr>
        <w:t xml:space="preserve">horarios_clinica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ausencias_veterinario</w:t>
      </w:r>
      <w:r>
        <w:t xml:space="preserve"> </w:t>
      </w:r>
      <w:r>
        <w:t xml:space="preserve">y los parámetros de la clínica. Solo persiste lo que debe sobrevivir entre una petición y otra: las reasignaciones que esperan confirmación (</w:t>
      </w:r>
      <w:r>
        <w:rPr>
          <w:rStyle w:val="VerbatimChar"/>
        </w:rPr>
        <w:t xml:space="preserve">reasignaciones</w:t>
      </w:r>
      <w:r>
        <w:t xml:space="preserve">) y las propuestas de horario (</w:t>
      </w:r>
      <w:r>
        <w:rPr>
          <w:rStyle w:val="VerbatimChar"/>
        </w:rPr>
        <w:t xml:space="preserve">propuestas_horario</w:t>
      </w:r>
      <w:r>
        <w:t xml:space="preserve">).</w:t>
      </w:r>
    </w:p>
    <w:bookmarkEnd w:id="20"/>
    <w:bookmarkStart w:id="21" w:name="_6eeb017515ec0d317c46fe31a59e3575da4b41c"/>
    <w:p>
      <w:pPr>
        <w:pStyle w:val="Heading2"/>
      </w:pPr>
      <w:r>
        <w:t xml:space="preserve">5. Pacientes y catálogos taxonómicos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mascotas</w:t>
      </w:r>
      <w:r>
        <w:t xml:space="preserve">: Ficha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del animal, del propietario y no de una clínica (sin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). FKs a</w:t>
      </w:r>
      <w:r>
        <w:t xml:space="preserve"> </w:t>
      </w:r>
      <w:r>
        <w:rPr>
          <w:rStyle w:val="VerbatimChar"/>
        </w:rPr>
        <w:t xml:space="preserve">especies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(propietario). En una urgencia roja sin identificación verificable,</w:t>
      </w:r>
      <w:r>
        <w:t xml:space="preserve"> </w:t>
      </w:r>
      <w:r>
        <w:rPr>
          <w:rStyle w:val="VerbatimChar"/>
        </w:rPr>
        <w:t xml:space="preserve">id_propietario</w:t>
      </w:r>
      <w:r>
        <w:t xml:space="preserve">, especie, raza, nombre y peso pueden quedar NULL solo con</w:t>
      </w:r>
      <w:r>
        <w:t xml:space="preserve"> </w:t>
      </w:r>
      <w:r>
        <w:rPr>
          <w:rStyle w:val="VerbatimChar"/>
        </w:rPr>
        <w:t xml:space="preserve">ficha_por_completar = 1</w:t>
      </w:r>
      <w:r>
        <w:t xml:space="preserve">; la aplicación exige esos datos al completar la ficha ordinaria (RE-4.15.3).</w:t>
      </w:r>
      <w:r>
        <w:t xml:space="preserve"> </w:t>
      </w:r>
      <w:r>
        <w:rPr>
          <w:rStyle w:val="VerbatimChar"/>
        </w:rPr>
        <w:t xml:space="preserve">raza_indicada</w:t>
      </w:r>
      <w:r>
        <w:t xml:space="preserve"> </w:t>
      </w:r>
      <w:r>
        <w:t xml:space="preserve">guarda la raza escrita cuando no está en la lista, con el mismo largo que</w:t>
      </w:r>
      <w:r>
        <w:t xml:space="preserve"> </w:t>
      </w:r>
      <w:r>
        <w:rPr>
          <w:rStyle w:val="VerbatimChar"/>
        </w:rPr>
        <w:t xml:space="preserve">razas.nombre_raza</w:t>
      </w:r>
      <w:r>
        <w:t xml:space="preserve"> </w:t>
      </w:r>
      <w:r>
        <w:t xml:space="preserve">(50 caracteres) para que pueda pasar al catálogo sin recortarse.</w:t>
      </w:r>
      <w:r>
        <w:t xml:space="preserve"> </w:t>
      </w:r>
      <w:r>
        <w:rPr>
          <w:rStyle w:val="VerbatimChar"/>
        </w:rPr>
        <w:t xml:space="preserve">esterilizado</w:t>
      </w:r>
      <w:r>
        <w:t xml:space="preserve"> </w:t>
      </w:r>
      <w:r>
        <w:t xml:space="preserve">es NULL si no se sabe; el triage lo usa.</w:t>
      </w:r>
      <w:r>
        <w:t xml:space="preserve"> </w:t>
      </w:r>
      <w:r>
        <w:rPr>
          <w:rStyle w:val="VerbatimChar"/>
        </w:rPr>
        <w:t xml:space="preserve">token_carnet</w:t>
      </w:r>
      <w:r>
        <w:t xml:space="preserve"> </w:t>
      </w:r>
      <w:r>
        <w:t xml:space="preserve">es aleatorio (≥ 128 bits) y nunca expone</w:t>
      </w:r>
      <w:r>
        <w:t xml:space="preserve"> </w:t>
      </w:r>
      <w:r>
        <w:rPr>
          <w:rStyle w:val="VerbatimChar"/>
        </w:rPr>
        <w:t xml:space="preserve">id_mascota</w:t>
      </w:r>
      <w:r>
        <w:t xml:space="preserve"> </w:t>
      </w:r>
      <w:r>
        <w:t xml:space="preserve">en la URL (RN-502); el carnet de una ficha provisional permanece inactivo.</w:t>
      </w:r>
      <w:r>
        <w:t xml:space="preserve"> </w:t>
      </w:r>
      <w:r>
        <w:rPr>
          <w:rStyle w:val="VerbatimChar"/>
        </w:rPr>
        <w:t xml:space="preserve">id_clinica_registro</w:t>
      </w:r>
      <w:r>
        <w:t xml:space="preserve"> </w:t>
      </w:r>
      <w:r>
        <w:t xml:space="preserve">guarda la clínica que la registró: junto con el propietario, es la única que puede cambiar especie, raza, sexo y fecha de nacimiento (RN-110).</w:t>
      </w:r>
      <w:r>
        <w:t xml:space="preserve"> </w:t>
      </w:r>
      <w:r>
        <w:rPr>
          <w:rStyle w:val="VerbatimChar"/>
        </w:rPr>
        <w:t xml:space="preserve">carnet_activo</w:t>
      </w:r>
      <w:r>
        <w:t xml:space="preserve"> </w:t>
      </w:r>
      <w:r>
        <w:t xml:space="preserve">apaga el carnet sin borrar el token, cuando la mascota se inactiva o su propietario suprime la cuenta (RN-502, RN-G16).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ingresos_emergencia</w:t>
      </w:r>
      <w:r>
        <w:t xml:space="preserve">: Guarda el ingreso</w:t>
      </w:r>
      <w:r>
        <w:t xml:space="preserve"> </w:t>
      </w:r>
      <w:r>
        <w:rPr>
          <w:b/>
          <w:bCs/>
        </w:rPr>
        <w:t xml:space="preserve">presencial</w:t>
      </w:r>
      <w:r>
        <w:t xml:space="preserve"> </w:t>
      </w:r>
      <w:r>
        <w:t xml:space="preserve">provisional de una urgencia roja con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la mascota provisional y los datos disponibles del acompañante, sin atribuirle la propiedad ni crearle una cuenta.</w:t>
      </w:r>
      <w:r>
        <w:t xml:space="preserve"> </w:t>
      </w:r>
      <w:r>
        <w:rPr>
          <w:rStyle w:val="VerbatimChar"/>
        </w:rPr>
        <w:t xml:space="preserve">id_mascota_final</w:t>
      </w:r>
      <w:r>
        <w:t xml:space="preserve"> </w:t>
      </w:r>
      <w:r>
        <w:t xml:space="preserve"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alertas_medicas</w:t>
      </w:r>
      <w:r>
        <w:t xml:space="preserve">: Alergias, condiciones crónicas y medicación continua de la mascota (</w:t>
      </w:r>
      <w:r>
        <w:rPr>
          <w:rStyle w:val="VerbatimChar"/>
        </w:rPr>
        <w:t xml:space="preserve">tipo</w:t>
      </w:r>
      <w:r>
        <w:t xml:space="preserve">). Cada alerta guarda la clínica y el veterinario que la registró y, si existe, el nodo del Grafo I al que corresponde (</w:t>
      </w:r>
      <w:r>
        <w:rPr>
          <w:rStyle w:val="VerbatimChar"/>
        </w:rPr>
        <w:t xml:space="preserve">id_nodo</w:t>
      </w:r>
      <w:r>
        <w:t xml:space="preserve"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 xml:space="preserve">activa = 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mascota_clinica</w:t>
      </w:r>
      <w:r>
        <w:t xml:space="preserve">: Tabla puente mascota↔clínica. Se crea al registrar o vincular la mascota en una clínica;</w:t>
      </w:r>
      <w:r>
        <w:t xml:space="preserve"> </w:t>
      </w:r>
      <w:r>
        <w:rPr>
          <w:rStyle w:val="VerbatimChar"/>
        </w:rPr>
        <w:t xml:space="preserve">numero_historia_clinica</w:t>
      </w:r>
      <w:r>
        <w:t xml:space="preserve"> </w:t>
      </w:r>
      <w:r>
        <w:t xml:space="preserve">se asigna al guardar la primera consulta en esa clínica (RN-102) y es único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 Es la base del límite de mascotas del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carnet_escaneos</w:t>
      </w:r>
      <w:r>
        <w:t xml:space="preserve">: Registro de cada escaneo del carnet público: fecha, IP anonimizada (hash) y ubicación solo si quien escanea la comparte. Alimenta el aviso al propietario y el límite de consultas por IP (RN-504, RN-505).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especies</w:t>
      </w:r>
      <w:r>
        <w:t xml:space="preserve">,</w:t>
      </w:r>
      <w:r>
        <w:t xml:space="preserve"> </w:t>
      </w:r>
      <w:r>
        <w:rPr>
          <w:b/>
          <w:bCs/>
        </w:rPr>
        <w:t xml:space="preserve">razas</w:t>
      </w:r>
      <w:r>
        <w:t xml:space="preserve">,</w:t>
      </w:r>
      <w:r>
        <w:t xml:space="preserve"> </w:t>
      </w:r>
      <w:r>
        <w:rPr>
          <w:b/>
          <w:bCs/>
        </w:rPr>
        <w:t xml:space="preserve">colores_base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mascota_colores</w:t>
      </w:r>
      <w:r>
        <w:t xml:space="preserve">: Catálogos</w:t>
      </w:r>
      <w:r>
        <w:t xml:space="preserve"> </w:t>
      </w:r>
      <w:r>
        <w:rPr>
          <w:b/>
          <w:bCs/>
        </w:rPr>
        <w:t xml:space="preserve">globales</w:t>
      </w:r>
      <w:r>
        <w:t xml:space="preserve"> </w:t>
      </w:r>
      <w:r>
        <w:t xml:space="preserve">de taxonomía y la relación N:M de colores.</w:t>
      </w:r>
    </w:p>
    <w:bookmarkEnd w:id="21"/>
    <w:bookmarkStart w:id="22" w:name="_d2e8a251732834f58b38cf075788a677d355bc0"/>
    <w:p>
      <w:pPr>
        <w:pStyle w:val="Heading2"/>
      </w:pPr>
      <w:r>
        <w:t xml:space="preserve">6. Operación clínica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citas</w:t>
      </w:r>
      <w:r>
        <w:t xml:space="preserve">: Agenda por clínica (</w:t>
      </w:r>
      <w:r>
        <w:rPr>
          <w:rStyle w:val="VerbatimChar"/>
        </w:rPr>
        <w:t xml:space="preserve">id_clinica</w:t>
      </w:r>
      <w:r>
        <w:t xml:space="preserve">). El campo</w:t>
      </w:r>
      <w:r>
        <w:t xml:space="preserve"> </w:t>
      </w:r>
      <w:r>
        <w:rPr>
          <w:rStyle w:val="VerbatimChar"/>
        </w:rPr>
        <w:t xml:space="preserve">prioridad</w:t>
      </w:r>
      <w:r>
        <w:t xml:space="preserve"> </w:t>
      </w:r>
      <w:r>
        <w:t xml:space="preserve">guarda el</w:t>
      </w:r>
      <w:r>
        <w:t xml:space="preserve"> </w:t>
      </w:r>
      <w:r>
        <w:rPr>
          <w:b/>
          <w:bCs/>
        </w:rPr>
        <w:t xml:space="preserve">nivel de triage de 4 niveles</w:t>
      </w:r>
      <w:r>
        <w:t xml:space="preserve"> </w:t>
      </w:r>
      <w:r>
        <w:t xml:space="preserve">— 🔴 rojo (crítico), 🟠 naranja (urgente), 🟡 amarillo (prioritario), 🟢 verde (no urgente) —</w:t>
      </w:r>
      <w:r>
        <w:t xml:space="preserve"> </w:t>
      </w:r>
      <w:r>
        <w:rPr>
          <w:b/>
          <w:bCs/>
        </w:rPr>
        <w:t xml:space="preserve">calculado por el Grafo I</w:t>
      </w:r>
      <w:r>
        <w:t xml:space="preserve"> </w:t>
      </w:r>
      <w:r>
        <w:t xml:space="preserve">a partir de los síntomas; conserva estados, horas reales y control de solapamientos.</w:t>
      </w:r>
      <w:r>
        <w:t xml:space="preserve"> </w:t>
      </w:r>
      <w:r>
        <w:rPr>
          <w:rStyle w:val="VerbatimChar"/>
        </w:rPr>
        <w:t xml:space="preserve">prioridad_calculada</w:t>
      </w:r>
      <w:r>
        <w:t xml:space="preserve"> </w:t>
      </w:r>
      <w:r>
        <w:t xml:space="preserve">conserva el nivel que dio el Grafo I cuando el veterinario lo ajusta (RN-419);</w:t>
      </w:r>
      <w:r>
        <w:t xml:space="preserve"> </w:t>
      </w:r>
      <w:r>
        <w:rPr>
          <w:rStyle w:val="VerbatimChar"/>
        </w:rPr>
        <w:t xml:space="preserve">hora_llegada</w:t>
      </w:r>
      <w:r>
        <w:t xml:space="preserve"> </w:t>
      </w:r>
      <w:r>
        <w:t xml:space="preserve">registra la llegada del propietario (RN-426); los estados incluyen</w:t>
      </w:r>
      <w:r>
        <w:t xml:space="preserve"> </w:t>
      </w:r>
      <w:r>
        <w:rPr>
          <w:rStyle w:val="VerbatimChar"/>
        </w:rPr>
        <w:t xml:space="preserve">sin_cerrar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pausada</w:t>
      </w:r>
      <w:r>
        <w:t xml:space="preserve"> </w:t>
      </w:r>
      <w:r>
        <w:t xml:space="preserve">(RN-427). Los síntomas se guardan de forma estructurada (RN-424): los marcados del catálogo del grafo en</w:t>
      </w:r>
      <w:r>
        <w:t xml:space="preserve"> </w:t>
      </w:r>
      <w:r>
        <w:rPr>
          <w:rStyle w:val="VerbatimChar"/>
        </w:rPr>
        <w:t xml:space="preserve">cita_sintomas</w:t>
      </w:r>
      <w:r>
        <w:t xml:space="preserve">, el texto libre en</w:t>
      </w:r>
      <w:r>
        <w:t xml:space="preserve"> </w:t>
      </w:r>
      <w:r>
        <w:rPr>
          <w:rStyle w:val="VerbatimChar"/>
        </w:rPr>
        <w:t xml:space="preserve">sintomas_texto</w:t>
      </w:r>
      <w:r>
        <w:t xml:space="preserve"> </w:t>
      </w:r>
      <w:r>
        <w:t xml:space="preserve">y su comienzo en</w:t>
      </w:r>
      <w:r>
        <w:t xml:space="preserve"> </w:t>
      </w:r>
      <w:r>
        <w:rPr>
          <w:rStyle w:val="VerbatimChar"/>
        </w:rPr>
        <w:t xml:space="preserve">inicio_sintomas</w:t>
      </w:r>
      <w:r>
        <w:t xml:space="preserve">.</w:t>
      </w:r>
      <w:r>
        <w:t xml:space="preserve"> </w:t>
      </w:r>
      <w:r>
        <w:rPr>
          <w:rStyle w:val="VerbatimChar"/>
        </w:rPr>
        <w:t xml:space="preserve">motivo_ajuste_prioridad</w:t>
      </w:r>
      <w:r>
        <w:t xml:space="preserve"> </w:t>
      </w:r>
      <w:r>
        <w:t xml:space="preserve">es obligatorio cuando el veterinario cambia el nivel (RN-419);</w:t>
      </w:r>
      <w:r>
        <w:t xml:space="preserve"> </w:t>
      </w:r>
      <w:r>
        <w:rPr>
          <w:rStyle w:val="VerbatimChar"/>
        </w:rPr>
        <w:t xml:space="preserve">es_sobrecupo</w:t>
      </w:r>
      <w:r>
        <w:t xml:space="preserve"> </w:t>
      </w:r>
      <w:r>
        <w:t xml:space="preserve">marca las citas que cuentan contra el tope de sobrecupos del bloque y</w:t>
      </w:r>
      <w:r>
        <w:t xml:space="preserve"> </w:t>
      </w:r>
      <w:r>
        <w:rPr>
          <w:rStyle w:val="VerbatimChar"/>
        </w:rPr>
        <w:t xml:space="preserve">orden_sobrecupo</w:t>
      </w:r>
      <w:r>
        <w:t xml:space="preserve"> </w:t>
      </w:r>
      <w:r>
        <w:t xml:space="preserve">conserva su posición, inicialmente por llegada y modificable por veterinario con motivo auditado (RN-422).</w:t>
      </w:r>
      <w:r>
        <w:t xml:space="preserve"> </w:t>
      </w:r>
      <w:r>
        <w:rPr>
          <w:rStyle w:val="VerbatimChar"/>
        </w:rPr>
        <w:t xml:space="preserve">id_tipo_cita</w:t>
      </w:r>
      <w:r>
        <w:t xml:space="preserve"> </w:t>
      </w:r>
      <w:r>
        <w:t xml:space="preserve">pasa a ser clave foránea.</w:t>
      </w:r>
      <w:r>
        <w:t xml:space="preserve"> </w:t>
      </w:r>
      <w:r>
        <w:rPr>
          <w:rStyle w:val="VerbatimChar"/>
        </w:rPr>
        <w:t xml:space="preserve">duracion_minutos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margen_minutos</w:t>
      </w:r>
      <w:r>
        <w:t xml:space="preserve"> </w:t>
      </w:r>
      <w:r>
        <w:t xml:space="preserve">guardan los valores aplicados al reservar; cambiar después el tipo no altera las citas existentes.</w:t>
      </w:r>
      <w:r>
        <w:t xml:space="preserve"> </w:t>
      </w:r>
      <w:r>
        <w:rPr>
          <w:rStyle w:val="VerbatimChar"/>
        </w:rPr>
        <w:t xml:space="preserve">aviso_atencion_abierta</w:t>
      </w:r>
      <w:r>
        <w:t xml:space="preserve"> </w:t>
      </w:r>
      <w:r>
        <w:t xml:space="preserve">guarda cuándo se avisó que la atención seguía abierta después de su hora de fin, para avisar una sola vez (RN-409).</w:t>
      </w:r>
      <w:r>
        <w:t xml:space="preserve"> </w:t>
      </w:r>
      <w:r>
        <w:rPr>
          <w:rStyle w:val="VerbatimChar"/>
        </w:rPr>
        <w:t xml:space="preserve">ocupa_horario</w:t>
      </w:r>
      <w:r>
        <w:t xml:space="preserve"> </w:t>
      </w:r>
      <w:r>
        <w:t xml:space="preserve">es una columna calculada que vale 1 mientras la cita ocupa su horario y NULL cuando está libre (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) o es sobrecupo; con ella, el índice único</w:t>
      </w:r>
      <w:r>
        <w:t xml:space="preserve"> </w:t>
      </w:r>
      <w:r>
        <w:rPr>
          <w:rStyle w:val="VerbatimChar"/>
        </w:rPr>
        <w:t xml:space="preserve">(id_veterinario, fecha, hora, ocupa_horario)</w:t>
      </w:r>
      <w:r>
        <w:t xml:space="preserve"> </w:t>
      </w:r>
      <w:r>
        <w:t xml:space="preserve">impide en la base dos reservas del mismo veterinario a la misma hora (RN-401). El índice 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así que tampoco deja reservar dos veces a un veterinario que trabaja en dos clínicas; el tope de sobrecupos (RN-422) se controla en la transacción de reserva.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tipos_cita</w:t>
      </w:r>
      <w:r>
        <w:t xml:space="preserve">: Servicios y su duración base, ahora por clínica. Suma</w:t>
      </w:r>
      <w:r>
        <w:t xml:space="preserve"> </w:t>
      </w:r>
      <w:r>
        <w:rPr>
          <w:rStyle w:val="VerbatimChar"/>
        </w:rPr>
        <w:t xml:space="preserve">margen_minutos</w:t>
      </w:r>
      <w:r>
        <w:t xml:space="preserve">: el</w:t>
      </w:r>
      <w:r>
        <w:t xml:space="preserve"> </w:t>
      </w:r>
      <w:r>
        <w:rPr>
          <w:b/>
          <w:bCs/>
        </w:rPr>
        <w:t xml:space="preserve">colchón (buffer)</w:t>
      </w:r>
      <w:r>
        <w:t xml:space="preserve"> </w:t>
      </w:r>
      <w:r>
        <w:t xml:space="preserve">por tipo de cita que absorbe los retrasos y alimenta el cálculo de disponibilidad y el reajuste en vivo (Grafo II).</w:t>
      </w:r>
      <w:r>
        <w:t xml:space="preserve"> </w:t>
      </w:r>
      <w:r>
        <w:rPr>
          <w:rStyle w:val="VerbatimChar"/>
        </w:rPr>
        <w:t xml:space="preserve">pausable</w:t>
      </w:r>
      <w:r>
        <w:t xml:space="preserve"> </w:t>
      </w:r>
      <w:r>
        <w:t xml:space="preserve">indica si una cita de ese tipo puede interrumpirse por una urgencia (RN-427).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horarios_veterinario</w:t>
      </w:r>
      <w:r>
        <w:t xml:space="preserve">: Horario</w:t>
      </w:r>
      <w:r>
        <w:t xml:space="preserve"> </w:t>
      </w:r>
      <w:r>
        <w:rPr>
          <w:b/>
          <w:bCs/>
        </w:rPr>
        <w:t xml:space="preserve">recurrente</w:t>
      </w:r>
      <w:r>
        <w:t xml:space="preserve"> </w:t>
      </w:r>
      <w:r>
        <w:t xml:space="preserve">de cada veterinario por clínica (</w:t>
      </w:r>
      <w:r>
        <w:rPr>
          <w:rStyle w:val="VerbatimChar"/>
        </w:rPr>
        <w:t xml:space="preserve">id_clinica</w:t>
      </w:r>
      <w:r>
        <w:t xml:space="preserve">) y día de la semana (franjas</w:t>
      </w:r>
      <w:r>
        <w:t xml:space="preserve"> </w:t>
      </w:r>
      <w:r>
        <w:rPr>
          <w:rStyle w:val="VerbatimChar"/>
        </w:rPr>
        <w:t xml:space="preserve">hora_inicio</w:t>
      </w:r>
      <w:r>
        <w:t xml:space="preserve">–</w:t>
      </w:r>
      <w:r>
        <w:rPr>
          <w:rStyle w:val="VerbatimChar"/>
        </w:rPr>
        <w:t xml:space="preserve"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</w:t>
      </w:r>
      <w:r>
        <w:t xml:space="preserve"> </w:t>
      </w:r>
      <w:r>
        <w:rPr>
          <w:rStyle w:val="VerbatimChar"/>
        </w:rPr>
        <w:t xml:space="preserve">horario de la clínica ∩ horario del veterinario − ausencias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ausencias_veterinario</w:t>
      </w:r>
      <w:r>
        <w:t xml:space="preserve">: Excepciones por clínica y rango de fecha y hora (permiso, incapacidad, "ese día no vino") que tapan la disponibilidad del veterinario en ese rango.</w:t>
      </w:r>
      <w:r>
        <w:t xml:space="preserve"> </w:t>
      </w:r>
      <w:r>
        <w:rPr>
          <w:rStyle w:val="VerbatimChar"/>
        </w:rPr>
        <w:t xml:space="preserve">fecha_hora_inicio</w:t>
      </w:r>
      <w:r>
        <w:t xml:space="preserve"> </w:t>
      </w:r>
      <w:r>
        <w:t xml:space="preserve">es inclusiva y</w:t>
      </w:r>
      <w:r>
        <w:t xml:space="preserve"> </w:t>
      </w:r>
      <w:r>
        <w:rPr>
          <w:rStyle w:val="VerbatimChar"/>
        </w:rPr>
        <w:t xml:space="preserve">fecha_hora_fin</w:t>
      </w:r>
      <w:r>
        <w:t xml:space="preserve"> </w:t>
      </w:r>
      <w:r>
        <w:t xml:space="preserve">exclusiva, en la zona horaria de la clínica; un día completo va de las 00:00 de ese día a las 00:00 del siguiente.</w:t>
      </w:r>
      <w:r>
        <w:t xml:space="preserve"> </w:t>
      </w:r>
      <w:r>
        <w:rPr>
          <w:rStyle w:val="VerbatimChar"/>
        </w:rPr>
        <w:t xml:space="preserve">id_cobertura</w:t>
      </w:r>
      <w:r>
        <w:t xml:space="preserve"> </w:t>
      </w:r>
      <w:r>
        <w:t xml:space="preserve">es la clave foránea del veterinario que lo reemplaza; así un "intercambio de turnos" queda registrado como</w:t>
      </w:r>
      <w:r>
        <w:t xml:space="preserve"> </w:t>
      </w:r>
      <w:r>
        <w:rPr>
          <w:b/>
          <w:bCs/>
        </w:rPr>
        <w:t xml:space="preserve">ausencia del titular + cobertura del reemplazo</w:t>
      </w:r>
      <w:r>
        <w:t xml:space="preserve"> </w:t>
      </w:r>
      <w:r>
        <w:t xml:space="preserve">(reasignación de sus citas). La trazabilidad de quién atendió realmente la da la historia clínica, no la agenda.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propuestas_horario</w:t>
      </w:r>
      <w:r>
        <w:t xml:space="preserve">: Cambios de horario que propone el veterinario (</w:t>
      </w:r>
      <w:r>
        <w:rPr>
          <w:rStyle w:val="VerbatimChar"/>
        </w:rPr>
        <w:t xml:space="preserve">franjas</w:t>
      </w:r>
      <w:r>
        <w:t xml:space="preserve">), con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 </w:t>
      </w:r>
      <w:r>
        <w:t xml:space="preserve">y el administrador que la revisó (</w:t>
      </w:r>
      <w:r>
        <w:rPr>
          <w:rStyle w:val="VerbatimChar"/>
        </w:rPr>
        <w:t xml:space="preserve">id_revisor</w:t>
      </w:r>
      <w:r>
        <w:t xml:space="preserve">). Al aprobarse, las franjas pasan a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 </w:t>
      </w:r>
      <w:r>
        <w:t xml:space="preserve">y las citas que queden fuera se marcan para reajuste (RN-706).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reasignaciones</w:t>
      </w:r>
      <w:r>
        <w:t xml:space="preserve">: Cada reasignación en vivo de una cita: veterinario de origen y de destino, plazo para confirmar (</w:t>
      </w:r>
      <w:r>
        <w:rPr>
          <w:rStyle w:val="VerbatimChar"/>
        </w:rPr>
        <w:t xml:space="preserve">fecha_limite</w:t>
      </w:r>
      <w:r>
        <w:t xml:space="preserve">) y estado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). Si vence o se rechaza, se crea la propuesta al siguiente veterinario (RN-428).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consultas</w:t>
      </w:r>
      <w:r>
        <w:t xml:space="preserve">,</w:t>
      </w:r>
      <w:r>
        <w:t xml:space="preserve"> </w:t>
      </w:r>
      <w:r>
        <w:rPr>
          <w:b/>
          <w:bCs/>
        </w:rPr>
        <w:t xml:space="preserve">tratamientos</w:t>
      </w:r>
      <w:r>
        <w:t xml:space="preserve">,</w:t>
      </w:r>
      <w:r>
        <w:t xml:space="preserve"> </w:t>
      </w:r>
      <w:r>
        <w:rPr>
          <w:b/>
          <w:bCs/>
        </w:rPr>
        <w:t xml:space="preserve">archivos_clinicos</w:t>
      </w:r>
      <w:r>
        <w:t xml:space="preserve">: Historia clínica;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 </w:t>
      </w:r>
      <w:r>
        <w:t xml:space="preserve">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y</w:t>
      </w:r>
      <w:r>
        <w:t xml:space="preserve"> </w:t>
      </w:r>
      <w:r>
        <w:rPr>
          <w:rStyle w:val="VerbatimChar"/>
        </w:rPr>
        <w:t xml:space="preserve">tratamientos</w:t>
      </w:r>
      <w:r>
        <w:t xml:space="preserve">/</w:t>
      </w:r>
      <w:r>
        <w:rPr>
          <w:rStyle w:val="VerbatimChar"/>
        </w:rPr>
        <w:t xml:space="preserve">archivos_clinicos</w:t>
      </w:r>
      <w:r>
        <w:t xml:space="preserve"> </w:t>
      </w:r>
      <w:r>
        <w:t xml:space="preserve">heredan la clínica por su consulta.</w:t>
      </w:r>
      <w:r>
        <w:t xml:space="preserve"> </w:t>
      </w:r>
      <w:r>
        <w:rPr>
          <w:rStyle w:val="VerbatimChar"/>
        </w:rPr>
        <w:t xml:space="preserve">consulta_sintomas</w:t>
      </w:r>
      <w:r>
        <w:t xml:space="preserve"> </w:t>
      </w:r>
      <w:r>
        <w:t xml:space="preserve">guarda los síntomas registrados en la consulta, a partir de los cuales el Grafo I sugiere diagnósticos (RN-210).</w:t>
      </w:r>
      <w:r>
        <w:t xml:space="preserve"> </w:t>
      </w:r>
      <w:r>
        <w:rPr>
          <w:rStyle w:val="VerbatimChar"/>
        </w:rPr>
        <w:t xml:space="preserve">tratamientos</w:t>
      </w:r>
      <w:r>
        <w:t xml:space="preserve"> </w:t>
      </w:r>
      <w:r>
        <w:t xml:space="preserve">enlaza el fármaco con su nodo del grafo (</w:t>
      </w:r>
      <w:r>
        <w:rPr>
          <w:rStyle w:val="VerbatimChar"/>
        </w:rPr>
        <w:t xml:space="preserve">id_nodo_farmaco</w:t>
      </w:r>
      <w:r>
        <w:t xml:space="preserve">) y guarda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: la</w:t>
      </w:r>
      <w:r>
        <w:t xml:space="preserve"> </w:t>
      </w:r>
      <w:r>
        <w:rPr>
          <w:b/>
          <w:bCs/>
        </w:rPr>
        <w:t xml:space="preserve">medicación vigente</w:t>
      </w:r>
      <w:r>
        <w:t xml:space="preserve"> </w:t>
      </w:r>
      <w:r>
        <w:t xml:space="preserve">es la de los tratamientos aún no terminados más la medicación continua de</w:t>
      </w:r>
      <w:r>
        <w:t xml:space="preserve"> </w:t>
      </w:r>
      <w:r>
        <w:rPr>
          <w:rStyle w:val="VerbatimChar"/>
        </w:rPr>
        <w:t xml:space="preserve">alertas_medicas</w:t>
      </w:r>
      <w:r>
        <w:t xml:space="preserve">. El motor evalúa internamente esa medicación de todas las clínicas para RN-211; sin autorización para ver un tratamiento ajeno, la respuesta solo da una alerta genérica y no expone los datos del tratamiento.</w:t>
      </w:r>
    </w:p>
    <w:bookmarkEnd w:id="22"/>
    <w:bookmarkStart w:id="23" w:name="_d717dda87a0fa1125b482ed50a29711e040ab78"/>
    <w:p>
      <w:pPr>
        <w:pStyle w:val="Heading2"/>
      </w:pPr>
      <w:r>
        <w:t xml:space="preserve">7. Prevención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vacunas</w:t>
      </w:r>
      <w:r>
        <w:t xml:space="preserve">,</w:t>
      </w:r>
      <w:r>
        <w:t xml:space="preserve"> </w:t>
      </w:r>
      <w:r>
        <w:rPr>
          <w:b/>
          <w:bCs/>
        </w:rPr>
        <w:t xml:space="preserve">desparasitaciones</w:t>
      </w:r>
      <w:r>
        <w:t xml:space="preserve">: Historial por mascota; cada registro lleva el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y el veterinario que lo aplicó, para mostrar en el carnet y en la historia compartida qué clínica lo hizo (RN-112).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vacunas_base</w:t>
      </w:r>
      <w:r>
        <w:t xml:space="preserve">,</w:t>
      </w:r>
      <w:r>
        <w:t xml:space="preserve"> </w:t>
      </w:r>
      <w:r>
        <w:rPr>
          <w:b/>
          <w:bCs/>
        </w:rPr>
        <w:t xml:space="preserve">laboratorios_base</w:t>
      </w:r>
      <w:r>
        <w:t xml:space="preserve">,</w:t>
      </w:r>
      <w:r>
        <w:t xml:space="preserve"> </w:t>
      </w:r>
      <w:r>
        <w:rPr>
          <w:b/>
          <w:bCs/>
        </w:rPr>
        <w:t xml:space="preserve">productos_desparasitacion_base</w:t>
      </w:r>
      <w:r>
        <w:t xml:space="preserve">: Catálogos configurables</w:t>
      </w:r>
      <w:r>
        <w:t xml:space="preserve"> </w:t>
      </w:r>
      <w:r>
        <w:rPr>
          <w:b/>
          <w:bCs/>
        </w:rPr>
        <w:t xml:space="preserve">por clínica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id_clinica</w:t>
      </w:r>
      <w:r>
        <w:t xml:space="preserve">).</w:t>
      </w:r>
      <w:r>
        <w:t xml:space="preserve"> </w:t>
      </w:r>
      <w:r>
        <w:rPr>
          <w:b/>
          <w:bCs/>
        </w:rPr>
        <w:t xml:space="preserve">especie_vacunas</w:t>
      </w:r>
      <w:r>
        <w:t xml:space="preserve"> </w:t>
      </w:r>
      <w:r>
        <w:t xml:space="preserve">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: hereda la clínica de su vacuna base. Al activarse, cada clínica recibe una copia de los valores por defecto de estos catálogos, de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 </w:t>
      </w:r>
      <w:r>
        <w:t xml:space="preserve">y de</w:t>
      </w:r>
      <w:r>
        <w:t xml:space="preserve"> </w:t>
      </w:r>
      <w:r>
        <w:rPr>
          <w:rStyle w:val="VerbatimChar"/>
        </w:rPr>
        <w:t xml:space="preserve">horarios_clinica</w:t>
      </w:r>
      <w:r>
        <w:t xml:space="preserve"> </w:t>
      </w:r>
      <w:r>
        <w:t xml:space="preserve">(RE-0.2.5).</w:t>
      </w:r>
    </w:p>
    <w:bookmarkEnd w:id="23"/>
    <w:bookmarkStart w:id="24" w:name="_0560edb7cb7205277d9e3cd97c31da13d513556"/>
    <w:p>
      <w:pPr>
        <w:pStyle w:val="Heading2"/>
      </w:pPr>
      <w:r>
        <w:t xml:space="preserve">8. Comunicaciones y auditoría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notificaciones</w:t>
      </w:r>
      <w:r>
        <w:t xml:space="preserve">: Correos a las personas (</w:t>
      </w:r>
      <w:r>
        <w:rPr>
          <w:rStyle w:val="VerbatimChar"/>
        </w:rPr>
        <w:t xml:space="preserve">id_usuario</w:t>
      </w:r>
      <w:r>
        <w:t xml:space="preserve">, antes</w:t>
      </w:r>
      <w:r>
        <w:t xml:space="preserve"> </w:t>
      </w:r>
      <w:r>
        <w:rPr>
          <w:rStyle w:val="VerbatimChar"/>
        </w:rPr>
        <w:t xml:space="preserve">id_propietario</w:t>
      </w:r>
      <w:r>
        <w:t xml:space="preserve">), por clínica;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enviado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); sirve además de bitácora de envíos (Módulo 8).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es NULL en los avisos de la plataforma que no pertenecen a una clínica: escaneo del carnet, cambio de correo o de documento.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notificaciones_internas</w:t>
      </w:r>
      <w:r>
        <w:t xml:space="preserve">: Avisos al personal por usuario o rol, por clínica.</w:t>
      </w:r>
      <w:r>
        <w:t xml:space="preserve"> </w:t>
      </w:r>
      <w:r>
        <w:rPr>
          <w:rStyle w:val="VerbatimChar"/>
        </w:rPr>
        <w:t xml:space="preserve">id_cita</w:t>
      </w:r>
      <w:r>
        <w:t xml:space="preserve"> </w:t>
      </w:r>
      <w:r>
        <w:t xml:space="preserve">liga el aviso a su cita para retirarlo cuando la cita se cancela, se reprograma o se atiende, y</w:t>
      </w:r>
      <w:r>
        <w:t xml:space="preserve"> </w:t>
      </w:r>
      <w:r>
        <w:rPr>
          <w:rStyle w:val="VerbatimChar"/>
        </w:rPr>
        <w:t xml:space="preserve">vigente_hasta</w:t>
      </w:r>
      <w:r>
        <w:t xml:space="preserve"> </w:t>
      </w:r>
      <w:r>
        <w:t xml:space="preserve">marca desde cuándo deja de mostrarse (NULL: no caduca).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horarios_clinica</w:t>
      </w:r>
      <w:r>
        <w:t xml:space="preserve">: Bloques de atención (mañana/tarde) por día y por clínica.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auditoria_mascotas</w:t>
      </w:r>
      <w:r>
        <w:t xml:space="preserve">,</w:t>
      </w:r>
      <w:r>
        <w:t xml:space="preserve"> </w:t>
      </w:r>
      <w:r>
        <w:rPr>
          <w:b/>
          <w:bCs/>
        </w:rPr>
        <w:t xml:space="preserve">auditoria_sistema</w:t>
      </w:r>
      <w:r>
        <w:t xml:space="preserve">: Trazabilidad de cambios y de seguridad, con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auditoria_sistema.id_usuario</w:t>
      </w:r>
      <w:r>
        <w:t xml:space="preserve"> </w:t>
      </w:r>
      <w:r>
        <w:t xml:space="preserve">pasa a ser clave foránea (NULL cuando el intento no corresponde a una cuenta): como las cuentas nunca se borran, solo se anonimizan, la referencia siempre es válida.</w:t>
      </w:r>
    </w:p>
    <w:bookmarkEnd w:id="24"/>
    <w:bookmarkStart w:id="25" w:name="_cb1741f9772febdbdca46263dec4ffd4ce97a2d"/>
    <w:p>
      <w:pPr>
        <w:pStyle w:val="Heading2"/>
      </w:pPr>
      <w:r>
        <w:t xml:space="preserve">9.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schema_migraciones</w:t>
      </w:r>
      <w:r>
        <w:t xml:space="preserve">: Migraciones aplicadas (archivo y fecha); la crea y mantiene</w:t>
      </w:r>
      <w:r>
        <w:t xml:space="preserve"> </w:t>
      </w:r>
      <w:r>
        <w:rPr>
          <w:rStyle w:val="VerbatimChar"/>
        </w:rPr>
        <w:t xml:space="preserve">scripts/migrar.php</w:t>
      </w:r>
      <w:r>
        <w:t xml:space="preserve">. En la v2 ya no guarda el modo «línea base»: la base nace con</w:t>
      </w:r>
      <w:r>
        <w:t xml:space="preserve"> </w:t>
      </w:r>
      <w:r>
        <w:rPr>
          <w:rStyle w:val="VerbatimChar"/>
        </w:rPr>
        <w:t xml:space="preserve">database/01_schema.sql</w:t>
      </w:r>
      <w:r>
        <w:t xml:space="preserve"> </w:t>
      </w:r>
      <w:r>
        <w:t xml:space="preserve">y las migraciones empiezan en</w:t>
      </w:r>
      <w:r>
        <w:t xml:space="preserve"> </w:t>
      </w:r>
      <w:r>
        <w:rPr>
          <w:rStyle w:val="VerbatimChar"/>
        </w:rPr>
        <w:t xml:space="preserve">03</w:t>
      </w:r>
      <w:r>
        <w:t xml:space="preserve">. Los datos semilla (</w:t>
      </w:r>
      <w:r>
        <w:rPr>
          <w:rStyle w:val="VerbatimChar"/>
        </w:rPr>
        <w:t xml:space="preserve">02_semilla.sql</w:t>
      </w:r>
      <w:r>
        <w:t xml:space="preserve">) no se anotan aquí, porque el migrador los aplica en cada arranque.</w:t>
      </w:r>
    </w:p>
    <w:bookmarkEnd w:id="25"/>
    <w:bookmarkStart w:id="26" w:name="_aa4390657bf3d36805eb33834f45f17803989a9"/>
    <w:p>
      <w:pPr>
        <w:pStyle w:val="Heading2"/>
      </w:pPr>
      <w:r>
        <w:t xml:space="preserve">10. Índices y restricciones</w:t>
      </w:r>
    </w:p>
    <w:p>
      <w:pPr>
        <w:pStyle w:val="FirstParagraph"/>
      </w:pPr>
      <w:r>
        <w:t xml:space="preserve">Además de las claves primarias, foráneas y únicas del diagrama, el esquema ejecutable (</w:t>
      </w:r>
      <w:r>
        <w:rPr>
          <w:rStyle w:val="VerbatimChar"/>
        </w:rPr>
        <w:t xml:space="preserve">database/01_schema.sql</w:t>
      </w:r>
      <w:r>
        <w:t xml:space="preserve">) declara: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Unicidad:</w:t>
      </w:r>
      <w:r>
        <w:t xml:space="preserve"> </w:t>
      </w:r>
      <w:r>
        <w:rPr>
          <w:rStyle w:val="VerbatimChar"/>
        </w:rPr>
        <w:t xml:space="preserve">consultas.id_cita</w:t>
      </w:r>
      <w:r>
        <w:t xml:space="preserve"> </w:t>
      </w:r>
      <w:r>
        <w:t xml:space="preserve">(una consulta por cita),</w:t>
      </w:r>
      <w:r>
        <w:t xml:space="preserve"> </w:t>
      </w:r>
      <w:r>
        <w:rPr>
          <w:rStyle w:val="VerbatimChar"/>
        </w:rPr>
        <w:t xml:space="preserve">especie_vacunas (id_especie, id_vacuna_base)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horarios_clinica (id_clinica, dia_semana)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roles.nombre_rol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planes.nombre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especies.nombre_especie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 (id_especie, nombre_raza)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colores_base.nombre_color</w:t>
      </w:r>
      <w:r>
        <w:t xml:space="preserve">. Los de los catálogos globales hacen que la semilla se pueda aplicar varias veces sin duplicar filas.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Doble reserva:</w:t>
      </w:r>
      <w:r>
        <w:t xml:space="preserve"> </w:t>
      </w:r>
      <w:r>
        <w:rPr>
          <w:rStyle w:val="VerbatimChar"/>
        </w:rPr>
        <w:t xml:space="preserve">citas (id_veterinario, fecha, hora, ocupa_horario)</w:t>
      </w:r>
      <w:r>
        <w:t xml:space="preserve">, único y 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(ver §6).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índices compuestos que empiezan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en las tablas de negocio (</w:t>
      </w:r>
      <w:r>
        <w:rPr>
          <w:rStyle w:val="VerbatimChar"/>
        </w:rPr>
        <w:t xml:space="preserve">citas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,</w:t>
      </w:r>
      <w:r>
        <w:t xml:space="preserve"> </w:t>
      </w:r>
      <w:r>
        <w:rPr>
          <w:rStyle w:val="VerbatimChar"/>
        </w:rPr>
        <w:t xml:space="preserve">vacunas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desparasitaciones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ausencias_veterinario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propuestas_horario</w:t>
      </w:r>
      <w:r>
        <w:t xml:space="preserve">, catálogos por clínica,</w:t>
      </w:r>
      <w:r>
        <w:t xml:space="preserve"> </w:t>
      </w:r>
      <w:r>
        <w:rPr>
          <w:rStyle w:val="VerbatimChar"/>
        </w:rPr>
        <w:t xml:space="preserve">notificaciones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notificaciones_internas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auditoria_*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mascota_clinica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suscripciones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plantillas_comunicacion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ingresos_emergencia</w:t>
      </w:r>
      <w:r>
        <w:t xml:space="preserve">), para que el filtro por clínica (RNF-11) no recorra la tabla completa.</w:t>
      </w:r>
    </w:p>
    <w:p>
      <w:pPr>
        <w:pStyle w:val="Compact"/>
        <w:numPr>
          <w:ilvl w:val="0"/>
          <w:numId w:val="1010"/>
        </w:numPr>
      </w:pPr>
      <w:r>
        <w:t xml:space="preserve">Todas las tablas usan InnoDB y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(</w:t>
      </w:r>
      <w:r>
        <w:rPr>
          <w:rStyle w:val="VerbatimChar"/>
        </w:rPr>
        <w:t xml:space="preserve">utf8mb4_general_ci</w:t>
      </w:r>
      <w:r>
        <w:t xml:space="preserve">). Ninguna clave foránea borra en cascada salvo</w:t>
      </w:r>
      <w:r>
        <w:t xml:space="preserve"> </w:t>
      </w:r>
      <w:r>
        <w:rPr>
          <w:rStyle w:val="VerbatimChar"/>
        </w:rPr>
        <w:t xml:space="preserve">mascota_colores</w:t>
      </w:r>
      <w:r>
        <w:t xml:space="preserve">: las personas, las citas y la historia clínica no se borran (RN-G08, RN-405, RN-206).</w:t>
      </w:r>
    </w:p>
    <w:bookmarkEnd w:id="26"/>
    <w:bookmarkEnd w:id="27"/>
    <w:sectPr>
      <w:headerReference r:id="rIdZookiEncabezado" w:type="default"/>
      <w:headerReference r:id="rIdZookiEncabezadoPortada" w:type="first"/>
      <w:footerReference r:id="rIdZookiPie" w:type="default"/>
      <w:footerReference r:id="rIdZookiPiePortada" w:type="first"/>
      <w:footnotePr>
        <w:numRestart w:val="eachSect"/>
      </w:footnotePr>
      <w:pgSz w:h="15840" w:w="12240"/>
      <w:pgMar w:bottom="1474" w:footer="567" w:gutter="0" w:header="567" w:left="1440" w:right="1440" w:top="192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4" w:color="404040"/>
      </w:pBdr>
      <w:spacing w:before="0" w:after="0" w:line="240" w:lineRule="auto"/>
      <w:jc w:val="right"/>
    </w:pPr>
    <w:r>
      <w:rPr>
        <w:sz w:val="16"/>
        <w:szCs w:val="16"/>
        <w:color w:val="1F3864"/>
      </w:rPr>
      <w:t xml:space="preserve">Servicio Nacional de Aprendizaje (SENA) · Ficha 3142784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Layout w:type="fixed"/>
      <w:tblCellMar>
        <w:left w:w="0" w:type="dxa"/>
        <w:right w:w="0" w:type="dxa"/>
      </w:tblCellMar>
    </w:tblPr>
    <w:tblGrid>
      <w:gridCol w:w="2200"/>
      <w:gridCol w:w="4960"/>
      <w:gridCol w:w="2200"/>
    </w:tblGrid>
    <w:tr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24000" cy="324000"/>
                <wp:docPr id="9001" name="Logo Zooki"/>
                <a:graphic>
                  <a:graphicData uri="http://schemas.openxmlformats.org/drawingml/2006/picture">
                    <pic:pic>
                      <pic:nvPicPr>
                        <pic:cNvPr id="9001" name="logo.png"/>
                        <pic:cNvPicPr/>
                      </pic:nvPicPr>
                      <pic:blipFill>
                        <a:blip r:embed="rIdZooki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6"/>
              <w:szCs w:val="26"/>
              <w:color w:val="1565C0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Zooki v2.0</w:t>
          </w:r>
        </w:p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/>
          </w:r>
        </w:p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>
    <w:pPr>
      <w:spacing w:before="0" w:after="0" w:line="240" w:lineRule="auto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s-CO" w:val="es-CO"/>
      </w:rPr>
    </w:rPrDefault>
    <w:pPrDefault>
      <w:pPr>
        <w:spacing w:after="120" w:before="0" w:line="288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spacing w:after="120" w:before="0" w:line="288" w:lineRule="auto"/>
    </w:pPr>
    <w:rPr/>
  </w:style>
  <w:style w:styleId="BodyText" w:type="paragraph">
    <w:name w:val="Body Text"/>
    <w:basedOn w:val="Normal"/>
    <w:qFormat/>
    <w:pPr>
      <w:spacing w:after="120" w:before="0" w:line="288" w:lineRule="auto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Normal"/>
    <w:qFormat/>
    <w:pPr>
      <w:spacing w:after="40" w:before="0" w:line="288" w:lineRule="auto"/>
    </w:pPr>
    <w:rPr/>
  </w:style>
  <w:style w:styleId="BlockText" w:type="paragraph">
    <w:name w:val="Block Text"/>
    <w:basedOn w:val="Normal"/>
    <w:qFormat/>
    <w:pPr>
      <w:spacing w:after="120" w:before="0" w:line="288" w:lineRule="auto"/>
      <w:pBdr>
        <w:left w:color="BFBFBF" w:space="8" w:sz="12" w:val="single"/>
      </w:pBdr>
      <w:ind w:left="300"/>
    </w:pPr>
    <w:rPr>
      <w:color w:val="262626"/>
    </w:rPr>
  </w:style>
  <w:style w:styleId="Heading1" w:type="paragraph">
    <w:name w:val="heading 1"/>
    <w:basedOn w:val="Normal"/>
    <w:next w:val="BodyText"/>
    <w:qFormat/>
    <w:pPr>
      <w:keepNext/>
      <w:keepLines/>
      <w:pageBreakBefore/>
      <w:spacing w:after="200" w:before="0" w:line="240" w:lineRule="auto"/>
      <w:outlineLvl w:val="0"/>
    </w:pPr>
    <w:rPr>
      <w:b/>
      <w:bCs/>
      <w:sz w:val="32"/>
      <w:szCs w:val="32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80" w:line="240" w:lineRule="auto"/>
      <w:outlineLvl w:val="1"/>
    </w:pPr>
    <w:rPr>
      <w:b/>
      <w:bCs/>
      <w:sz w:val="26"/>
      <w:szCs w:val="26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40" w:line="240" w:lineRule="auto"/>
      <w:outlineLvl w:val="2"/>
    </w:pPr>
    <w:rPr>
      <w:b/>
      <w:bCs/>
      <w:sz w:val="23"/>
      <w:szCs w:val="23"/>
    </w:rPr>
  </w:style>
  <w:style w:styleId="Heading4" w:type="paragraph">
    <w:name w:val="heading 4"/>
    <w:basedOn w:val="Normal"/>
    <w:next w:val="BodyText"/>
    <w:qFormat/>
    <w:pPr>
      <w:keepNext/>
      <w:keepLines/>
      <w:spacing w:after="80" w:before="200" w:line="240" w:lineRule="auto"/>
      <w:outlineLvl w:val="3"/>
    </w:pPr>
    <w:rPr>
      <w:b/>
      <w:bCs/>
      <w:sz w:val="21"/>
      <w:szCs w:val="21"/>
    </w:rPr>
  </w:style>
  <w:style w:styleId="Heading5" w:type="paragraph">
    <w:name w:val="heading 5"/>
    <w:basedOn w:val="Normal"/>
    <w:next w:val="BodyText"/>
    <w:qFormat/>
    <w:pPr>
      <w:keepNext/>
      <w:keepLines/>
      <w:spacing w:after="80" w:before="200" w:line="240" w:lineRule="auto"/>
      <w:outlineLvl w:val="4"/>
    </w:pPr>
    <w:rPr>
      <w:b/>
      <w:bCs/>
      <w:i/>
      <w:iCs/>
      <w:sz w:val="21"/>
      <w:szCs w:val="21"/>
    </w:rPr>
  </w:style>
  <w:style w:customStyle="1" w:styleId="PortadaEspacio" w:type="paragraph">
    <w:name w:val="PortadaEspacio"/>
    <w:basedOn w:val="Normal"/>
    <w:qFormat/>
    <w:pPr>
      <w:spacing w:after="0" w:before="0" w:line="240" w:lineRule="auto"/>
    </w:pPr>
    <w:rPr/>
  </w:style>
  <w:style w:customStyle="1" w:styleId="PortadaTitulo" w:type="paragraph">
    <w:name w:val="PortadaTitulo"/>
    <w:basedOn w:val="Normal"/>
    <w:qFormat/>
    <w:pPr>
      <w:pBdr>
        <w:top w:color="000000" w:space="8" w:sz="24" w:val="thickThinSmallGap"/>
      </w:pBdr>
      <w:spacing w:after="160" w:before="0" w:line="240" w:lineRule="auto"/>
      <w:ind w:left="2950"/>
    </w:pPr>
    <w:rPr>
      <w:b/>
      <w:bCs/>
      <w:sz w:val="36"/>
      <w:szCs w:val="36"/>
      <w:color w:val="595959"/>
    </w:rPr>
  </w:style>
  <w:style w:customStyle="1" w:styleId="PortadaProyecto" w:type="paragraph">
    <w:name w:val="PortadaProyecto"/>
    <w:basedOn w:val="Normal"/>
    <w:qFormat/>
    <w:pPr>
      <w:spacing w:after="20" w:before="0" w:line="240" w:lineRule="auto"/>
      <w:ind w:left="2950"/>
    </w:pPr>
    <w:rPr>
      <w:b/>
      <w:bCs/>
      <w:sz w:val="22"/>
      <w:szCs w:val="22"/>
      <w:color w:val="595959"/>
    </w:rPr>
  </w:style>
  <w:style w:customStyle="1" w:styleId="PortadaRevision" w:type="paragraph">
    <w:name w:val="PortadaRevision"/>
    <w:basedOn w:val="Normal"/>
    <w:qFormat/>
    <w:pPr>
      <w:spacing w:after="0" w:before="0" w:line="240" w:lineRule="auto"/>
      <w:ind w:left="2950"/>
    </w:pPr>
    <w:rPr>
      <w:sz w:val="20"/>
      <w:szCs w:val="20"/>
      <w:color w:val="1F3864"/>
    </w:rPr>
  </w:style>
  <w:style w:customStyle="1" w:styleId="PortadaAutoria" w:type="paragraph">
    <w:name w:val="PortadaAutoria"/>
    <w:basedOn w:val="Normal"/>
    <w:qFormat/>
    <w:pPr>
      <w:spacing w:after="0" w:before="0" w:line="240" w:lineRule="auto"/>
      <w:ind w:left="2950"/>
    </w:pPr>
    <w:rPr>
      <w:sz w:val="19"/>
      <w:szCs w:val="19"/>
      <w:color w:val="404040"/>
    </w:rPr>
  </w:style>
  <w:style w:customStyle="1" w:styleId="PortadaPie" w:type="paragraph">
    <w:name w:val="PortadaPie"/>
    <w:basedOn w:val="Normal"/>
    <w:qFormat/>
    <w:pPr>
      <w:pBdr>
        <w:top w:color="000000" w:space="8" w:sz="24" w:val="thickThinSmallGap"/>
      </w:pBdr>
      <w:tabs>
        <w:tab w:pos="9360" w:val="right"/>
      </w:tabs>
      <w:spacing w:after="0" w:before="0" w:line="240" w:lineRule="auto"/>
    </w:pPr>
    <w:rPr>
      <w:sz w:val="19"/>
      <w:szCs w:val="19"/>
      <w:color w:val="1F3864"/>
    </w:rPr>
  </w:style>
  <w:style w:customStyle="1" w:styleId="TituloSeccion" w:type="paragraph">
    <w:name w:val="TituloSeccion"/>
    <w:basedOn w:val="Normal"/>
    <w:qFormat/>
    <w:pPr>
      <w:pageBreakBefore/>
      <w:keepNext/>
      <w:spacing w:after="240" w:before="0" w:line="240" w:lineRule="auto"/>
    </w:pPr>
    <w:rPr>
      <w:b/>
      <w:bCs/>
      <w:sz w:val="32"/>
      <w:szCs w:val="32"/>
    </w:rPr>
  </w:style>
  <w:style w:customStyle="1" w:styleId="FichaTexto" w:type="paragraph">
    <w:name w:val="FichaTexto"/>
    <w:basedOn w:val="Normal"/>
    <w:qFormat/>
    <w:pPr>
      <w:spacing w:after="120" w:before="1400" w:line="240" w:lineRule="auto"/>
    </w:pPr>
    <w:rPr>
      <w:sz w:val="18"/>
      <w:szCs w:val="18"/>
    </w:rPr>
  </w:style>
  <w:style w:customStyle="1" w:styleId="Rotulo" w:type="paragraph">
    <w:name w:val="Rotulo"/>
    <w:basedOn w:val="Normal"/>
    <w:qFormat/>
    <w:pPr>
      <w:keepNext/>
      <w:spacing w:after="0" w:before="120" w:line="240" w:lineRule="auto"/>
    </w:pPr>
    <w:rPr>
      <w:b/>
      <w:bCs/>
      <w:sz w:val="19"/>
      <w:szCs w:val="19"/>
    </w:rPr>
  </w:style>
  <w:style w:customStyle="1" w:styleId="RotuloTitulo" w:type="paragraph">
    <w:name w:val="RotuloTitulo"/>
    <w:basedOn w:val="Normal"/>
    <w:qFormat/>
    <w:pPr>
      <w:keepNext/>
      <w:spacing w:after="60" w:before="0" w:line="240" w:lineRule="auto"/>
    </w:pPr>
    <w:rPr>
      <w:i/>
      <w:iCs/>
      <w:sz w:val="19"/>
      <w:szCs w:val="19"/>
    </w:rPr>
  </w:style>
  <w:style w:customStyle="1" w:styleId="Celda" w:type="paragraph">
    <w:name w:val="Celda"/>
    <w:basedOn w:val="Normal"/>
    <w:qFormat/>
    <w:pPr>
      <w:spacing w:after="20" w:before="20" w:line="240" w:lineRule="auto"/>
    </w:pPr>
    <w:rPr>
      <w:sz w:val="18"/>
      <w:szCs w:val="18"/>
    </w:rPr>
  </w:style>
  <w:style w:customStyle="1" w:styleId="FiguraImagen" w:type="paragraph">
    <w:name w:val="FiguraImagen"/>
    <w:basedOn w:val="Normal"/>
    <w:qFormat/>
    <w:pPr>
      <w:spacing w:after="0" w:before="0" w:line="240" w:lineRule="auto"/>
      <w:jc w:val="center"/>
    </w:pPr>
    <w:rPr/>
  </w:style>
  <w:style w:styleId="TOC1" w:type="paragraph">
    <w:name w:val="toc 1"/>
    <w:basedOn w:val="Normal"/>
    <w:qFormat/>
    <w:pPr>
      <w:tabs>
        <w:tab w:pos="9360" w:val="right"/>
      </w:tabs>
      <w:spacing w:after="40" w:before="160" w:line="240" w:lineRule="auto"/>
    </w:pPr>
    <w:rPr>
      <w:b/>
      <w:bCs/>
      <w:caps/>
      <w:sz w:val="19"/>
      <w:szCs w:val="19"/>
    </w:rPr>
  </w:style>
  <w:style w:styleId="TOC2" w:type="paragraph">
    <w:name w:val="toc 2"/>
    <w:basedOn w:val="Normal"/>
    <w:qFormat/>
    <w:pPr>
      <w:tabs>
        <w:tab w:pos="9360" w:val="right"/>
      </w:tabs>
      <w:spacing w:after="30" w:before="0" w:line="240" w:lineRule="auto"/>
      <w:ind w:left="510"/>
    </w:pPr>
    <w:rPr>
      <w:sz w:val="19"/>
      <w:szCs w:val="19"/>
    </w:rPr>
  </w:style>
  <w:style w:styleId="Hyperlink" w:type="character">
    <w:name w:val="Hyperlink"/>
    <w:basedOn w:val="DefaultParagraphFont"/>
    <w:rPr>
      <w:color w:val="1F4E8C"/>
    </w:rPr>
  </w:style>
  <w:style w:styleId="VerbatimChar" w:type="character">
    <w:name w:val="Verbatim Char"/>
    <w:basedOn w:val="DefaultParagraphFont"/>
    <w:rPr>
      <w:rFonts w:ascii="Consolas" w:hAnsi="Consolas"/>
      <w:sz w:val="18"/>
      <w:szCs w:val="18"/>
    </w:rPr>
  </w:style>
  <w:style w:default="1" w:styleId="Table" w:type="table">
    <w:name w:val="Table"/>
    <w:basedOn w:val="TableNormal"/>
    <w:qFormat/>
    <w:tblPr>
      <w:tblInd w:type="dxa" w:w="0"/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D9D9D9" w:val="clear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ZookiEncabezado" Target="header1.xml" Type="http://schemas.openxmlformats.org/officeDocument/2006/relationships/header" /><Relationship Id="rIdZookiEncabezadoPortada" Target="header2.xml" Type="http://schemas.openxmlformats.org/officeDocument/2006/relationships/header" /><Relationship Id="rIdZookiPie" Target="footer1.xml" Type="http://schemas.openxmlformats.org/officeDocument/2006/relationships/footer" /><Relationship Id="rIdZookiPiePortada" Target="footer2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
<Relationships xmlns="http://schemas.openxmlformats.org/package/2006/relationships"><Relationship Id="rIdZookiLogo" Type="http://schemas.openxmlformats.org/officeDocument/2006/relationships/image" Target="media/zooki-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2026-10-11T21:15:04Z</dcterms:created>
  <dcterms:modified xsi:type="dcterms:W3CDTF">2026-10-11T21:15:04Z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