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306A0" w14:textId="77777777" w:rsidR="00EF60F7" w:rsidRDefault="00EF60F7">
      <w:pPr>
        <w:pStyle w:val="PortadaEspacio"/>
        <w:spacing w:before="3800"/>
      </w:pPr>
    </w:p>
    <w:p w14:paraId="1CF306A1" w14:textId="77777777" w:rsidR="00EF60F7" w:rsidRDefault="00DD5D17">
      <w:pPr>
        <w:pStyle w:val="PortadaTitulo"/>
      </w:pPr>
      <w:r>
        <w:t>Presupuesto y Retorno de la Inversión (ROI)</w:t>
      </w:r>
    </w:p>
    <w:p w14:paraId="1CF306A2" w14:textId="77777777" w:rsidR="00EF60F7" w:rsidRDefault="00DD5D17">
      <w:pPr>
        <w:pStyle w:val="PortadaProyecto"/>
      </w:pPr>
      <w:r>
        <w:t>Proyecto: Zooki v2.0</w:t>
      </w:r>
    </w:p>
    <w:p w14:paraId="1CF306A3" w14:textId="77777777" w:rsidR="00EF60F7" w:rsidRDefault="00DD5D17">
      <w:pPr>
        <w:pStyle w:val="PortadaRevision"/>
      </w:pPr>
      <w:r>
        <w:t>Revisión 1.0</w:t>
      </w:r>
    </w:p>
    <w:p w14:paraId="1CF306A4" w14:textId="77777777" w:rsidR="00EF60F7" w:rsidRDefault="00EF60F7">
      <w:pPr>
        <w:pStyle w:val="PortadaAutoria"/>
        <w:spacing w:after="200"/>
      </w:pPr>
    </w:p>
    <w:p w14:paraId="1CF306A5" w14:textId="77777777" w:rsidR="00EF60F7" w:rsidRDefault="00DD5D17">
      <w:pPr>
        <w:pStyle w:val="PortadaAutoria"/>
      </w:pPr>
      <w:r>
        <w:t>Elaborado por: Juan Sebastián Carvajal Home</w:t>
      </w:r>
    </w:p>
    <w:p w14:paraId="1CF306A6" w14:textId="77777777" w:rsidR="00EF60F7" w:rsidRDefault="00DD5D17">
      <w:pPr>
        <w:pStyle w:val="PortadaAutoria"/>
      </w:pPr>
      <w:r>
        <w:t>Instructor: Oscar Eduardo Yanguas</w:t>
      </w:r>
    </w:p>
    <w:p w14:paraId="1CF306A7" w14:textId="77777777" w:rsidR="00EF60F7" w:rsidRDefault="00DD5D17">
      <w:pPr>
        <w:pStyle w:val="PortadaAutoria"/>
      </w:pPr>
      <w:r>
        <w:t>Tecnología en Análisis y Desarrollo de Software (ADSO) · Ficha 3142784</w:t>
      </w:r>
    </w:p>
    <w:p w14:paraId="1CF306A8" w14:textId="77777777" w:rsidR="00EF60F7" w:rsidRDefault="00DD5D17">
      <w:pPr>
        <w:pStyle w:val="PortadaAutoria"/>
      </w:pPr>
      <w:r>
        <w:t>Servicio Nacional de Aprendizaje (SENA) · Centro Tecnológico de la Amazonia</w:t>
      </w:r>
    </w:p>
    <w:p w14:paraId="1CF306A9" w14:textId="77777777" w:rsidR="00EF60F7" w:rsidRDefault="00DD5D17">
      <w:pPr>
        <w:pStyle w:val="PortadaAutoria"/>
      </w:pPr>
      <w:r>
        <w:t>Florencia, Caquetá</w:t>
      </w:r>
    </w:p>
    <w:p w14:paraId="1CF306AA" w14:textId="77777777" w:rsidR="00EF60F7" w:rsidRDefault="00EF60F7">
      <w:pPr>
        <w:pStyle w:val="PortadaEspacio"/>
        <w:spacing w:before="2600"/>
      </w:pPr>
    </w:p>
    <w:p w14:paraId="1CF306AB" w14:textId="77777777" w:rsidR="00EF60F7" w:rsidRDefault="00DD5D17">
      <w:pPr>
        <w:pStyle w:val="PortadaPie"/>
      </w:pPr>
      <w:r>
        <w:rPr>
          <w:noProof/>
        </w:rPr>
        <w:drawing>
          <wp:inline distT="0" distB="0" distL="0" distR="0" wp14:anchorId="1CF30775" wp14:editId="1CF30776">
            <wp:extent cx="395999" cy="405503"/>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Users\Usuario\OneDrive\Desktop\Zooki\public\img\icon_blue.png"/>
                    <pic:cNvPicPr>
                      <a:picLocks noChangeAspect="1" noChangeArrowheads="1"/>
                    </pic:cNvPicPr>
                  </pic:nvPicPr>
                  <pic:blipFill>
                    <a:blip r:embed="rId7"/>
                    <a:stretch>
                      <a:fillRect/>
                    </a:stretch>
                  </pic:blipFill>
                  <pic:spPr bwMode="auto">
                    <a:xfrm>
                      <a:off x="0" y="0"/>
                      <a:ext cx="395999" cy="405503"/>
                    </a:xfrm>
                    <a:prstGeom prst="rect">
                      <a:avLst/>
                    </a:prstGeom>
                    <a:noFill/>
                    <a:ln w="9525">
                      <a:noFill/>
                      <a:headEnd/>
                      <a:tailEnd/>
                    </a:ln>
                  </pic:spPr>
                </pic:pic>
              </a:graphicData>
            </a:graphic>
          </wp:inline>
        </w:drawing>
      </w:r>
      <w:r>
        <w:rPr>
          <w:b/>
          <w:color w:val="1565C0"/>
          <w:sz w:val="32"/>
        </w:rPr>
        <w:t xml:space="preserve"> Zooki</w:t>
      </w:r>
      <w:r>
        <w:tab/>
        <w:t>Octubre de 2026</w:t>
      </w:r>
    </w:p>
    <w:p w14:paraId="1CF306AC" w14:textId="77777777" w:rsidR="00EF60F7" w:rsidRDefault="00DD5D17">
      <w:pPr>
        <w:pStyle w:val="TituloSeccion"/>
      </w:pPr>
      <w:r>
        <w:lastRenderedPageBreak/>
        <w:t>Ficha del documento</w:t>
      </w:r>
    </w:p>
    <w:tbl>
      <w:tblPr>
        <w:tblStyle w:val="Table"/>
        <w:tblW w:w="5000" w:type="pct"/>
        <w:tblLook w:val="0020" w:firstRow="1" w:lastRow="0" w:firstColumn="0" w:lastColumn="0" w:noHBand="0" w:noVBand="0"/>
      </w:tblPr>
      <w:tblGrid>
        <w:gridCol w:w="2205"/>
        <w:gridCol w:w="1839"/>
        <w:gridCol w:w="5516"/>
      </w:tblGrid>
      <w:tr w:rsidR="00EF60F7" w14:paraId="1CF306B0" w14:textId="77777777" w:rsidTr="00853C0F">
        <w:trPr>
          <w:cnfStyle w:val="100000000000" w:firstRow="1" w:lastRow="0" w:firstColumn="0" w:lastColumn="0" w:oddVBand="0" w:evenVBand="0" w:oddHBand="0" w:evenHBand="0" w:firstRowFirstColumn="0" w:firstRowLastColumn="0" w:lastRowFirstColumn="0" w:lastRowLastColumn="0"/>
          <w:cantSplit/>
          <w:tblHeader/>
        </w:trPr>
        <w:tc>
          <w:tcPr>
            <w:tcW w:w="1153" w:type="pct"/>
          </w:tcPr>
          <w:p w14:paraId="1CF306AD" w14:textId="77777777" w:rsidR="00EF60F7" w:rsidRDefault="00DD5D17" w:rsidP="00853C0F">
            <w:pPr>
              <w:pStyle w:val="Celda"/>
              <w:keepNext/>
            </w:pPr>
            <w:r>
              <w:t>Fecha</w:t>
            </w:r>
          </w:p>
        </w:tc>
        <w:tc>
          <w:tcPr>
            <w:tcW w:w="962" w:type="pct"/>
          </w:tcPr>
          <w:p w14:paraId="1CF306AE" w14:textId="77777777" w:rsidR="00EF60F7" w:rsidRDefault="00DD5D17" w:rsidP="00853C0F">
            <w:pPr>
              <w:pStyle w:val="Celda"/>
              <w:keepNext/>
            </w:pPr>
            <w:r>
              <w:t>Revisión</w:t>
            </w:r>
          </w:p>
        </w:tc>
        <w:tc>
          <w:tcPr>
            <w:tcW w:w="2885" w:type="pct"/>
          </w:tcPr>
          <w:p w14:paraId="1CF306AF" w14:textId="77777777" w:rsidR="00EF60F7" w:rsidRDefault="00DD5D17" w:rsidP="00853C0F">
            <w:pPr>
              <w:pStyle w:val="Celda"/>
              <w:keepNext/>
            </w:pPr>
            <w:r>
              <w:t>Autor</w:t>
            </w:r>
          </w:p>
        </w:tc>
      </w:tr>
      <w:tr w:rsidR="00EF60F7" w14:paraId="1CF306B4" w14:textId="77777777" w:rsidTr="00853C0F">
        <w:trPr>
          <w:cantSplit/>
        </w:trPr>
        <w:tc>
          <w:tcPr>
            <w:tcW w:w="1153" w:type="pct"/>
          </w:tcPr>
          <w:p w14:paraId="1CF306B1" w14:textId="77777777" w:rsidR="00EF60F7" w:rsidRDefault="00DD5D17">
            <w:pPr>
              <w:pStyle w:val="Celda"/>
            </w:pPr>
            <w:r>
              <w:t>23/10/2026</w:t>
            </w:r>
          </w:p>
        </w:tc>
        <w:tc>
          <w:tcPr>
            <w:tcW w:w="962" w:type="pct"/>
          </w:tcPr>
          <w:p w14:paraId="1CF306B2" w14:textId="77777777" w:rsidR="00EF60F7" w:rsidRDefault="00DD5D17">
            <w:pPr>
              <w:pStyle w:val="Celda"/>
            </w:pPr>
            <w:r>
              <w:t>1.0</w:t>
            </w:r>
          </w:p>
        </w:tc>
        <w:tc>
          <w:tcPr>
            <w:tcW w:w="2885" w:type="pct"/>
          </w:tcPr>
          <w:p w14:paraId="1CF306B3" w14:textId="77777777" w:rsidR="00EF60F7" w:rsidRDefault="00DD5D17">
            <w:pPr>
              <w:pStyle w:val="Celda"/>
            </w:pPr>
            <w:r>
              <w:t>Juan Sebastián Carvajal Home</w:t>
            </w:r>
          </w:p>
        </w:tc>
      </w:tr>
    </w:tbl>
    <w:p w14:paraId="1CF306B5" w14:textId="77777777" w:rsidR="00EF60F7" w:rsidRDefault="00DD5D17">
      <w:pPr>
        <w:pStyle w:val="FichaTexto"/>
      </w:pPr>
      <w:r>
        <w:t>Documento validado por las partes en fecha: ____________________</w:t>
      </w:r>
    </w:p>
    <w:tbl>
      <w:tblPr>
        <w:tblStyle w:val="Table"/>
        <w:tblW w:w="4895" w:type="pct"/>
        <w:tblLook w:val="04A0" w:firstRow="1" w:lastRow="0" w:firstColumn="1" w:lastColumn="0" w:noHBand="0" w:noVBand="1"/>
      </w:tblPr>
      <w:tblGrid>
        <w:gridCol w:w="4679"/>
        <w:gridCol w:w="4680"/>
      </w:tblGrid>
      <w:tr w:rsidR="00EF60F7" w14:paraId="1CF306B8" w14:textId="77777777" w:rsidTr="00853C0F">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1CF306B6" w14:textId="77777777" w:rsidR="00EF60F7" w:rsidRDefault="00DD5D17" w:rsidP="00853C0F">
            <w:pPr>
              <w:pStyle w:val="Celda"/>
              <w:keepNext/>
              <w:jc w:val="center"/>
            </w:pPr>
            <w:r>
              <w:t>Elaborado por</w:t>
            </w:r>
          </w:p>
        </w:tc>
        <w:tc>
          <w:tcPr>
            <w:tcW w:w="2500" w:type="pct"/>
          </w:tcPr>
          <w:p w14:paraId="1CF306B7" w14:textId="77777777" w:rsidR="00EF60F7" w:rsidRDefault="00DD5D17" w:rsidP="00853C0F">
            <w:pPr>
              <w:pStyle w:val="Celda"/>
              <w:keepNext/>
              <w:jc w:val="center"/>
            </w:pPr>
            <w:r>
              <w:t>Revisado por</w:t>
            </w:r>
          </w:p>
        </w:tc>
      </w:tr>
      <w:tr w:rsidR="00EF60F7" w14:paraId="1CF306BB" w14:textId="77777777" w:rsidTr="00853C0F">
        <w:trPr>
          <w:cantSplit/>
          <w:trHeight w:val="1250"/>
        </w:trPr>
        <w:tc>
          <w:tcPr>
            <w:tcW w:w="2500" w:type="pct"/>
          </w:tcPr>
          <w:p w14:paraId="1CF306B9" w14:textId="77777777" w:rsidR="00EF60F7" w:rsidRDefault="00EF60F7" w:rsidP="00853C0F">
            <w:pPr>
              <w:pStyle w:val="Celda"/>
              <w:keepNext/>
            </w:pPr>
          </w:p>
        </w:tc>
        <w:tc>
          <w:tcPr>
            <w:tcW w:w="2500" w:type="pct"/>
          </w:tcPr>
          <w:p w14:paraId="1CF306BA" w14:textId="77777777" w:rsidR="00EF60F7" w:rsidRDefault="00EF60F7" w:rsidP="00853C0F">
            <w:pPr>
              <w:pStyle w:val="Celda"/>
              <w:keepNext/>
            </w:pPr>
          </w:p>
        </w:tc>
      </w:tr>
      <w:tr w:rsidR="00EF60F7" w14:paraId="1CF306BE" w14:textId="77777777" w:rsidTr="00853C0F">
        <w:trPr>
          <w:cantSplit/>
        </w:trPr>
        <w:tc>
          <w:tcPr>
            <w:tcW w:w="2500" w:type="pct"/>
          </w:tcPr>
          <w:p w14:paraId="1CF306BC" w14:textId="77777777" w:rsidR="00EF60F7" w:rsidRDefault="00DD5D17">
            <w:pPr>
              <w:pStyle w:val="Celda"/>
            </w:pPr>
            <w:r>
              <w:t>Fdo.: Juan Sebastián Carvajal Home — Aprendiz</w:t>
            </w:r>
          </w:p>
        </w:tc>
        <w:tc>
          <w:tcPr>
            <w:tcW w:w="2500" w:type="pct"/>
          </w:tcPr>
          <w:p w14:paraId="1CF306BD" w14:textId="77777777" w:rsidR="00EF60F7" w:rsidRDefault="00DD5D17">
            <w:pPr>
              <w:pStyle w:val="Celda"/>
            </w:pPr>
            <w:r>
              <w:t>Fdo.: Oscar Eduardo Yanguas — Instructor</w:t>
            </w:r>
          </w:p>
        </w:tc>
      </w:tr>
    </w:tbl>
    <w:p w14:paraId="1CF306BF" w14:textId="77777777" w:rsidR="00EF60F7" w:rsidRDefault="00DD5D17">
      <w:pPr>
        <w:pStyle w:val="TituloSeccion"/>
      </w:pPr>
      <w:r>
        <w:lastRenderedPageBreak/>
        <w:t>Contenido</w:t>
      </w:r>
    </w:p>
    <w:p w14:paraId="51894BA1" w14:textId="44A1EDC1" w:rsidR="00853C0F" w:rsidRDefault="00DD5D17">
      <w:pPr>
        <w:pStyle w:val="TDC1"/>
        <w:rPr>
          <w:rFonts w:asciiTheme="minorHAnsi" w:eastAsiaTheme="minorEastAsia" w:hAnsiTheme="minorHAnsi" w:cstheme="minorBidi"/>
          <w:b w:val="0"/>
          <w:bCs w:val="0"/>
          <w:caps w:val="0"/>
          <w:noProof/>
          <w:kern w:val="2"/>
          <w:sz w:val="24"/>
          <w:szCs w:val="24"/>
          <w14:ligatures w14:val="standardContextual"/>
        </w:rPr>
      </w:pPr>
      <w:r>
        <w:fldChar w:fldCharType="begin"/>
      </w:r>
      <w:r>
        <w:instrText xml:space="preserve"> TOC \o "1-2" \h \z \u </w:instrText>
      </w:r>
      <w:r>
        <w:fldChar w:fldCharType="separate"/>
      </w:r>
      <w:hyperlink w:anchor="_Toc243684000" w:history="1">
        <w:r w:rsidR="00853C0F" w:rsidRPr="001119B7">
          <w:rPr>
            <w:rStyle w:val="Hipervnculo"/>
            <w:noProof/>
          </w:rPr>
          <w:t>1. Resumen ejecutivo</w:t>
        </w:r>
        <w:r w:rsidR="00853C0F">
          <w:rPr>
            <w:noProof/>
            <w:webHidden/>
          </w:rPr>
          <w:tab/>
        </w:r>
        <w:r w:rsidR="00853C0F">
          <w:rPr>
            <w:noProof/>
            <w:webHidden/>
          </w:rPr>
          <w:fldChar w:fldCharType="begin"/>
        </w:r>
        <w:r w:rsidR="00853C0F">
          <w:rPr>
            <w:noProof/>
            <w:webHidden/>
          </w:rPr>
          <w:instrText xml:space="preserve"> PAGEREF _Toc243684000 \h </w:instrText>
        </w:r>
        <w:r w:rsidR="00853C0F">
          <w:rPr>
            <w:noProof/>
            <w:webHidden/>
          </w:rPr>
        </w:r>
        <w:r w:rsidR="00853C0F">
          <w:rPr>
            <w:noProof/>
            <w:webHidden/>
          </w:rPr>
          <w:fldChar w:fldCharType="separate"/>
        </w:r>
        <w:r w:rsidR="00853C0F">
          <w:rPr>
            <w:noProof/>
            <w:webHidden/>
          </w:rPr>
          <w:t>5</w:t>
        </w:r>
        <w:r w:rsidR="00853C0F">
          <w:rPr>
            <w:noProof/>
            <w:webHidden/>
          </w:rPr>
          <w:fldChar w:fldCharType="end"/>
        </w:r>
      </w:hyperlink>
    </w:p>
    <w:p w14:paraId="1B272DCA" w14:textId="6D2B5A28" w:rsidR="00853C0F" w:rsidRDefault="00853C0F">
      <w:pPr>
        <w:pStyle w:val="TDC1"/>
        <w:rPr>
          <w:rFonts w:asciiTheme="minorHAnsi" w:eastAsiaTheme="minorEastAsia" w:hAnsiTheme="minorHAnsi" w:cstheme="minorBidi"/>
          <w:b w:val="0"/>
          <w:bCs w:val="0"/>
          <w:caps w:val="0"/>
          <w:noProof/>
          <w:kern w:val="2"/>
          <w:sz w:val="24"/>
          <w:szCs w:val="24"/>
          <w14:ligatures w14:val="standardContextual"/>
        </w:rPr>
      </w:pPr>
      <w:hyperlink w:anchor="_Toc243684001" w:history="1">
        <w:r w:rsidRPr="001119B7">
          <w:rPr>
            <w:rStyle w:val="Hipervnculo"/>
            <w:noProof/>
          </w:rPr>
          <w:t>2. Inversión del proyecto (costo real)</w:t>
        </w:r>
        <w:r>
          <w:rPr>
            <w:noProof/>
            <w:webHidden/>
          </w:rPr>
          <w:tab/>
        </w:r>
        <w:r>
          <w:rPr>
            <w:noProof/>
            <w:webHidden/>
          </w:rPr>
          <w:fldChar w:fldCharType="begin"/>
        </w:r>
        <w:r>
          <w:rPr>
            <w:noProof/>
            <w:webHidden/>
          </w:rPr>
          <w:instrText xml:space="preserve"> PAGEREF _Toc243684001 \h </w:instrText>
        </w:r>
        <w:r>
          <w:rPr>
            <w:noProof/>
            <w:webHidden/>
          </w:rPr>
        </w:r>
        <w:r>
          <w:rPr>
            <w:noProof/>
            <w:webHidden/>
          </w:rPr>
          <w:fldChar w:fldCharType="separate"/>
        </w:r>
        <w:r>
          <w:rPr>
            <w:noProof/>
            <w:webHidden/>
          </w:rPr>
          <w:t>6</w:t>
        </w:r>
        <w:r>
          <w:rPr>
            <w:noProof/>
            <w:webHidden/>
          </w:rPr>
          <w:fldChar w:fldCharType="end"/>
        </w:r>
      </w:hyperlink>
    </w:p>
    <w:p w14:paraId="4914711A" w14:textId="202AFA76" w:rsidR="00853C0F" w:rsidRDefault="00853C0F">
      <w:pPr>
        <w:pStyle w:val="TDC2"/>
        <w:rPr>
          <w:rFonts w:asciiTheme="minorHAnsi" w:eastAsiaTheme="minorEastAsia" w:hAnsiTheme="minorHAnsi" w:cstheme="minorBidi"/>
          <w:noProof/>
          <w:kern w:val="2"/>
          <w:sz w:val="24"/>
          <w:szCs w:val="24"/>
          <w14:ligatures w14:val="standardContextual"/>
        </w:rPr>
      </w:pPr>
      <w:hyperlink w:anchor="_Toc243684002" w:history="1">
        <w:r w:rsidRPr="001119B7">
          <w:rPr>
            <w:rStyle w:val="Hipervnculo"/>
            <w:noProof/>
          </w:rPr>
          <w:t>Distribución aproximada del esfuerzo</w:t>
        </w:r>
        <w:r>
          <w:rPr>
            <w:noProof/>
            <w:webHidden/>
          </w:rPr>
          <w:tab/>
        </w:r>
        <w:r>
          <w:rPr>
            <w:noProof/>
            <w:webHidden/>
          </w:rPr>
          <w:fldChar w:fldCharType="begin"/>
        </w:r>
        <w:r>
          <w:rPr>
            <w:noProof/>
            <w:webHidden/>
          </w:rPr>
          <w:instrText xml:space="preserve"> PAGEREF _Toc243684002 \h </w:instrText>
        </w:r>
        <w:r>
          <w:rPr>
            <w:noProof/>
            <w:webHidden/>
          </w:rPr>
        </w:r>
        <w:r>
          <w:rPr>
            <w:noProof/>
            <w:webHidden/>
          </w:rPr>
          <w:fldChar w:fldCharType="separate"/>
        </w:r>
        <w:r>
          <w:rPr>
            <w:noProof/>
            <w:webHidden/>
          </w:rPr>
          <w:t>6</w:t>
        </w:r>
        <w:r>
          <w:rPr>
            <w:noProof/>
            <w:webHidden/>
          </w:rPr>
          <w:fldChar w:fldCharType="end"/>
        </w:r>
      </w:hyperlink>
    </w:p>
    <w:p w14:paraId="3043E0AB" w14:textId="7CC5E5B2" w:rsidR="00853C0F" w:rsidRDefault="00853C0F">
      <w:pPr>
        <w:pStyle w:val="TDC1"/>
        <w:rPr>
          <w:rFonts w:asciiTheme="minorHAnsi" w:eastAsiaTheme="minorEastAsia" w:hAnsiTheme="minorHAnsi" w:cstheme="minorBidi"/>
          <w:b w:val="0"/>
          <w:bCs w:val="0"/>
          <w:caps w:val="0"/>
          <w:noProof/>
          <w:kern w:val="2"/>
          <w:sz w:val="24"/>
          <w:szCs w:val="24"/>
          <w14:ligatures w14:val="standardContextual"/>
        </w:rPr>
      </w:pPr>
      <w:hyperlink w:anchor="_Toc243684003" w:history="1">
        <w:r w:rsidRPr="001119B7">
          <w:rPr>
            <w:rStyle w:val="Hipervnculo"/>
            <w:noProof/>
          </w:rPr>
          <w:t>3. Valoración referencial de mercado</w:t>
        </w:r>
        <w:r>
          <w:rPr>
            <w:noProof/>
            <w:webHidden/>
          </w:rPr>
          <w:tab/>
        </w:r>
        <w:r>
          <w:rPr>
            <w:noProof/>
            <w:webHidden/>
          </w:rPr>
          <w:fldChar w:fldCharType="begin"/>
        </w:r>
        <w:r>
          <w:rPr>
            <w:noProof/>
            <w:webHidden/>
          </w:rPr>
          <w:instrText xml:space="preserve"> PAGEREF _Toc243684003 \h </w:instrText>
        </w:r>
        <w:r>
          <w:rPr>
            <w:noProof/>
            <w:webHidden/>
          </w:rPr>
        </w:r>
        <w:r>
          <w:rPr>
            <w:noProof/>
            <w:webHidden/>
          </w:rPr>
          <w:fldChar w:fldCharType="separate"/>
        </w:r>
        <w:r>
          <w:rPr>
            <w:noProof/>
            <w:webHidden/>
          </w:rPr>
          <w:t>7</w:t>
        </w:r>
        <w:r>
          <w:rPr>
            <w:noProof/>
            <w:webHidden/>
          </w:rPr>
          <w:fldChar w:fldCharType="end"/>
        </w:r>
      </w:hyperlink>
    </w:p>
    <w:p w14:paraId="370EBB04" w14:textId="456F6367" w:rsidR="00853C0F" w:rsidRDefault="00853C0F">
      <w:pPr>
        <w:pStyle w:val="TDC1"/>
        <w:rPr>
          <w:rFonts w:asciiTheme="minorHAnsi" w:eastAsiaTheme="minorEastAsia" w:hAnsiTheme="minorHAnsi" w:cstheme="minorBidi"/>
          <w:b w:val="0"/>
          <w:bCs w:val="0"/>
          <w:caps w:val="0"/>
          <w:noProof/>
          <w:kern w:val="2"/>
          <w:sz w:val="24"/>
          <w:szCs w:val="24"/>
          <w14:ligatures w14:val="standardContextual"/>
        </w:rPr>
      </w:pPr>
      <w:hyperlink w:anchor="_Toc243684004" w:history="1">
        <w:r w:rsidRPr="001119B7">
          <w:rPr>
            <w:rStyle w:val="Hipervnculo"/>
            <w:noProof/>
          </w:rPr>
          <w:t>4. Modelo de ingresos y facturación (SaaS freemium)</w:t>
        </w:r>
        <w:r>
          <w:rPr>
            <w:noProof/>
            <w:webHidden/>
          </w:rPr>
          <w:tab/>
        </w:r>
        <w:r>
          <w:rPr>
            <w:noProof/>
            <w:webHidden/>
          </w:rPr>
          <w:fldChar w:fldCharType="begin"/>
        </w:r>
        <w:r>
          <w:rPr>
            <w:noProof/>
            <w:webHidden/>
          </w:rPr>
          <w:instrText xml:space="preserve"> PAGEREF _Toc243684004 \h </w:instrText>
        </w:r>
        <w:r>
          <w:rPr>
            <w:noProof/>
            <w:webHidden/>
          </w:rPr>
        </w:r>
        <w:r>
          <w:rPr>
            <w:noProof/>
            <w:webHidden/>
          </w:rPr>
          <w:fldChar w:fldCharType="separate"/>
        </w:r>
        <w:r>
          <w:rPr>
            <w:noProof/>
            <w:webHidden/>
          </w:rPr>
          <w:t>8</w:t>
        </w:r>
        <w:r>
          <w:rPr>
            <w:noProof/>
            <w:webHidden/>
          </w:rPr>
          <w:fldChar w:fldCharType="end"/>
        </w:r>
      </w:hyperlink>
    </w:p>
    <w:p w14:paraId="4B295973" w14:textId="4482985D" w:rsidR="00853C0F" w:rsidRDefault="00853C0F">
      <w:pPr>
        <w:pStyle w:val="TDC1"/>
        <w:rPr>
          <w:rFonts w:asciiTheme="minorHAnsi" w:eastAsiaTheme="minorEastAsia" w:hAnsiTheme="minorHAnsi" w:cstheme="minorBidi"/>
          <w:b w:val="0"/>
          <w:bCs w:val="0"/>
          <w:caps w:val="0"/>
          <w:noProof/>
          <w:kern w:val="2"/>
          <w:sz w:val="24"/>
          <w:szCs w:val="24"/>
          <w14:ligatures w14:val="standardContextual"/>
        </w:rPr>
      </w:pPr>
      <w:hyperlink w:anchor="_Toc243684005" w:history="1">
        <w:r w:rsidRPr="001119B7">
          <w:rPr>
            <w:rStyle w:val="Hipervnculo"/>
            <w:noProof/>
          </w:rPr>
          <w:t>5. Proyección de retorno (ROI)</w:t>
        </w:r>
        <w:r>
          <w:rPr>
            <w:noProof/>
            <w:webHidden/>
          </w:rPr>
          <w:tab/>
        </w:r>
        <w:r>
          <w:rPr>
            <w:noProof/>
            <w:webHidden/>
          </w:rPr>
          <w:fldChar w:fldCharType="begin"/>
        </w:r>
        <w:r>
          <w:rPr>
            <w:noProof/>
            <w:webHidden/>
          </w:rPr>
          <w:instrText xml:space="preserve"> PAGEREF _Toc243684005 \h </w:instrText>
        </w:r>
        <w:r>
          <w:rPr>
            <w:noProof/>
            <w:webHidden/>
          </w:rPr>
        </w:r>
        <w:r>
          <w:rPr>
            <w:noProof/>
            <w:webHidden/>
          </w:rPr>
          <w:fldChar w:fldCharType="separate"/>
        </w:r>
        <w:r>
          <w:rPr>
            <w:noProof/>
            <w:webHidden/>
          </w:rPr>
          <w:t>9</w:t>
        </w:r>
        <w:r>
          <w:rPr>
            <w:noProof/>
            <w:webHidden/>
          </w:rPr>
          <w:fldChar w:fldCharType="end"/>
        </w:r>
      </w:hyperlink>
    </w:p>
    <w:p w14:paraId="0C59782F" w14:textId="0BDE78A2" w:rsidR="00853C0F" w:rsidRDefault="00853C0F">
      <w:pPr>
        <w:pStyle w:val="TDC1"/>
        <w:rPr>
          <w:rFonts w:asciiTheme="minorHAnsi" w:eastAsiaTheme="minorEastAsia" w:hAnsiTheme="minorHAnsi" w:cstheme="minorBidi"/>
          <w:b w:val="0"/>
          <w:bCs w:val="0"/>
          <w:caps w:val="0"/>
          <w:noProof/>
          <w:kern w:val="2"/>
          <w:sz w:val="24"/>
          <w:szCs w:val="24"/>
          <w14:ligatures w14:val="standardContextual"/>
        </w:rPr>
      </w:pPr>
      <w:hyperlink w:anchor="_Toc243684006" w:history="1">
        <w:r w:rsidRPr="001119B7">
          <w:rPr>
            <w:rStyle w:val="Hipervnculo"/>
            <w:noProof/>
          </w:rPr>
          <w:t>6. Punto de equilibrio</w:t>
        </w:r>
        <w:r>
          <w:rPr>
            <w:noProof/>
            <w:webHidden/>
          </w:rPr>
          <w:tab/>
        </w:r>
        <w:r>
          <w:rPr>
            <w:noProof/>
            <w:webHidden/>
          </w:rPr>
          <w:fldChar w:fldCharType="begin"/>
        </w:r>
        <w:r>
          <w:rPr>
            <w:noProof/>
            <w:webHidden/>
          </w:rPr>
          <w:instrText xml:space="preserve"> PAGEREF _Toc243684006 \h </w:instrText>
        </w:r>
        <w:r>
          <w:rPr>
            <w:noProof/>
            <w:webHidden/>
          </w:rPr>
        </w:r>
        <w:r>
          <w:rPr>
            <w:noProof/>
            <w:webHidden/>
          </w:rPr>
          <w:fldChar w:fldCharType="separate"/>
        </w:r>
        <w:r>
          <w:rPr>
            <w:noProof/>
            <w:webHidden/>
          </w:rPr>
          <w:t>10</w:t>
        </w:r>
        <w:r>
          <w:rPr>
            <w:noProof/>
            <w:webHidden/>
          </w:rPr>
          <w:fldChar w:fldCharType="end"/>
        </w:r>
      </w:hyperlink>
    </w:p>
    <w:p w14:paraId="5F6449A9" w14:textId="10216D13" w:rsidR="00853C0F" w:rsidRDefault="00853C0F">
      <w:pPr>
        <w:pStyle w:val="TDC1"/>
        <w:rPr>
          <w:rFonts w:asciiTheme="minorHAnsi" w:eastAsiaTheme="minorEastAsia" w:hAnsiTheme="minorHAnsi" w:cstheme="minorBidi"/>
          <w:b w:val="0"/>
          <w:bCs w:val="0"/>
          <w:caps w:val="0"/>
          <w:noProof/>
          <w:kern w:val="2"/>
          <w:sz w:val="24"/>
          <w:szCs w:val="24"/>
          <w14:ligatures w14:val="standardContextual"/>
        </w:rPr>
      </w:pPr>
      <w:hyperlink w:anchor="_Toc243684007" w:history="1">
        <w:r w:rsidRPr="001119B7">
          <w:rPr>
            <w:rStyle w:val="Hipervnculo"/>
            <w:noProof/>
          </w:rPr>
          <w:t>7. Supuestos y notas</w:t>
        </w:r>
        <w:r>
          <w:rPr>
            <w:noProof/>
            <w:webHidden/>
          </w:rPr>
          <w:tab/>
        </w:r>
        <w:r>
          <w:rPr>
            <w:noProof/>
            <w:webHidden/>
          </w:rPr>
          <w:fldChar w:fldCharType="begin"/>
        </w:r>
        <w:r>
          <w:rPr>
            <w:noProof/>
            <w:webHidden/>
          </w:rPr>
          <w:instrText xml:space="preserve"> PAGEREF _Toc243684007 \h </w:instrText>
        </w:r>
        <w:r>
          <w:rPr>
            <w:noProof/>
            <w:webHidden/>
          </w:rPr>
        </w:r>
        <w:r>
          <w:rPr>
            <w:noProof/>
            <w:webHidden/>
          </w:rPr>
          <w:fldChar w:fldCharType="separate"/>
        </w:r>
        <w:r>
          <w:rPr>
            <w:noProof/>
            <w:webHidden/>
          </w:rPr>
          <w:t>11</w:t>
        </w:r>
        <w:r>
          <w:rPr>
            <w:noProof/>
            <w:webHidden/>
          </w:rPr>
          <w:fldChar w:fldCharType="end"/>
        </w:r>
      </w:hyperlink>
    </w:p>
    <w:p w14:paraId="1CF306C0" w14:textId="256AC724" w:rsidR="00EF60F7" w:rsidRDefault="00DD5D17">
      <w:pPr>
        <w:pStyle w:val="TDC1"/>
      </w:pPr>
      <w:r>
        <w:fldChar w:fldCharType="end"/>
      </w:r>
    </w:p>
    <w:p w14:paraId="1CF306C1" w14:textId="77777777" w:rsidR="00EF60F7" w:rsidRDefault="00DD5D17">
      <w:r>
        <w:br w:type="page"/>
      </w:r>
    </w:p>
    <w:p w14:paraId="1CF306C2" w14:textId="77777777" w:rsidR="00EF60F7" w:rsidRDefault="00DD5D17">
      <w:pPr>
        <w:pStyle w:val="Textodebloque"/>
      </w:pPr>
      <w:r>
        <w:lastRenderedPageBreak/>
        <w:t xml:space="preserve">Tasa de referencia: </w:t>
      </w:r>
      <w:r>
        <w:rPr>
          <w:b/>
          <w:bCs/>
        </w:rPr>
        <w:t>TRM ≈ $3.273 COP/USD</w:t>
      </w:r>
      <w:r>
        <w:t xml:space="preserve"> (5 de octubre de 2026). Todos los montos están en pesos colombianos (COP) salvo indicación; el equivalente en USD es aproximado.</w:t>
      </w:r>
    </w:p>
    <w:p w14:paraId="1CF306C3" w14:textId="77777777" w:rsidR="00EF60F7" w:rsidRDefault="00DD5D17">
      <w:pPr>
        <w:pStyle w:val="Textodebloque"/>
      </w:pPr>
      <w:r>
        <w:t xml:space="preserve">Los </w:t>
      </w:r>
      <w:r>
        <w:rPr>
          <w:b/>
          <w:bCs/>
        </w:rPr>
        <w:t>límites</w:t>
      </w:r>
      <w:r>
        <w:t xml:space="preserve"> y el </w:t>
      </w:r>
      <w:r>
        <w:rPr>
          <w:b/>
          <w:bCs/>
        </w:rPr>
        <w:t>precio</w:t>
      </w:r>
      <w:r>
        <w:t xml:space="preserve"> </w:t>
      </w:r>
      <w:r>
        <w:t>de los planes los fijan las Reglas de Negocio: RN-003 (límites del plan gratuito) y RN-008 (precio mensual y anual).</w:t>
      </w:r>
    </w:p>
    <w:p w14:paraId="1CF306C4" w14:textId="77777777" w:rsidR="00EF60F7" w:rsidRDefault="00DD5D17">
      <w:pPr>
        <w:pStyle w:val="Ttulo1"/>
      </w:pPr>
      <w:bookmarkStart w:id="0" w:name="_5dd895b2072e59d4361bd2729ab69ff88775738"/>
      <w:bookmarkStart w:id="1" w:name="_Toc243684000"/>
      <w:r>
        <w:lastRenderedPageBreak/>
        <w:t>1. Resumen ejecutivo</w:t>
      </w:r>
      <w:bookmarkEnd w:id="1"/>
    </w:p>
    <w:p w14:paraId="1CF306C5" w14:textId="77777777" w:rsidR="00EF60F7" w:rsidRDefault="00DD5D17">
      <w:pPr>
        <w:pStyle w:val="FirstParagraph"/>
      </w:pPr>
      <w:r>
        <w:t xml:space="preserve">Zooki es un proyecto formativo desarrollado por un único aprendiz. Este documento separa dos cosas que suelen confundirse: </w:t>
      </w:r>
      <w:r>
        <w:rPr>
          <w:b/>
          <w:bCs/>
        </w:rPr>
        <w:t>lo que costó construirlo</w:t>
      </w:r>
      <w:r>
        <w:t xml:space="preserve"> (la inversión) y </w:t>
      </w:r>
      <w:r>
        <w:rPr>
          <w:b/>
          <w:bCs/>
        </w:rPr>
        <w:t>cuánto podría retornar</w:t>
      </w:r>
      <w:r>
        <w:t xml:space="preserve"> si se ofrece como servicio (SaaS) a varias clínicas. La inversión real de desarrollo es de </w:t>
      </w:r>
      <w:r>
        <w:rPr>
          <w:b/>
          <w:bCs/>
        </w:rPr>
        <w:t>≈ $5.800.000 COP (~$1.772 USD)</w:t>
      </w:r>
      <w:r>
        <w:t xml:space="preserve">. Con el precio del plan profesional ($100.000 COP/mes por clínica), la plataforma </w:t>
      </w:r>
      <w:r>
        <w:rPr>
          <w:b/>
          <w:bCs/>
        </w:rPr>
        <w:t>recupera esa inversión dentro del primer año a partir de 6 clínicas de pago</w:t>
      </w:r>
      <w:r>
        <w:t>; con 5 clínicas tarda unos 13 meses. Por encima de ese punto el retorno crece rápido, porque el costo de atender una clínica más es casi nulo.</w:t>
      </w:r>
    </w:p>
    <w:p w14:paraId="1CF306C6" w14:textId="77777777" w:rsidR="00EF60F7" w:rsidRDefault="00DD5D17">
      <w:pPr>
        <w:pStyle w:val="Ttulo1"/>
      </w:pPr>
      <w:bookmarkStart w:id="2" w:name="_51150e8b46646d0f6b31714c735799cc7d62cda"/>
      <w:bookmarkStart w:id="3" w:name="_Toc243684001"/>
      <w:bookmarkEnd w:id="0"/>
      <w:r>
        <w:lastRenderedPageBreak/>
        <w:t>2. Inversión del proyecto (costo real)</w:t>
      </w:r>
      <w:bookmarkEnd w:id="3"/>
    </w:p>
    <w:p w14:paraId="1CF306C7" w14:textId="77777777" w:rsidR="00EF60F7" w:rsidRDefault="00DD5D17">
      <w:pPr>
        <w:pStyle w:val="FirstParagraph"/>
      </w:pPr>
      <w:r>
        <w:t xml:space="preserve">El costo real del proyecto es el </w:t>
      </w:r>
      <w:r>
        <w:rPr>
          <w:b/>
          <w:bCs/>
        </w:rPr>
        <w:t>esfuerzo de desarrollo</w:t>
      </w:r>
      <w:r>
        <w:t xml:space="preserve"> </w:t>
      </w:r>
      <w:r>
        <w:t>del aprendiz, valorado a su tarifa. La tarifa de $40.000 por hora es la de un desarrollador junior, aunque el aprendiz cubre todos los roles (producto, análisis, backend, frontend, base de datos, despliegue y pruebas).</w:t>
      </w:r>
    </w:p>
    <w:p w14:paraId="1CF306C8" w14:textId="77777777" w:rsidR="00EF60F7" w:rsidRDefault="00DD5D17">
      <w:pPr>
        <w:pStyle w:val="Rotulo"/>
      </w:pPr>
      <w:r>
        <w:t>Tabla 1</w:t>
      </w:r>
    </w:p>
    <w:p w14:paraId="1CF306C9" w14:textId="77777777" w:rsidR="00EF60F7" w:rsidRDefault="00DD5D17">
      <w:pPr>
        <w:pStyle w:val="RotuloTitulo"/>
      </w:pPr>
      <w:r>
        <w:t>2. Inversión del proyecto (costo real)</w:t>
      </w:r>
    </w:p>
    <w:tbl>
      <w:tblPr>
        <w:tblStyle w:val="Table"/>
        <w:tblW w:w="5000" w:type="pct"/>
        <w:tblLook w:val="0020" w:firstRow="1" w:lastRow="0" w:firstColumn="0" w:lastColumn="0" w:noHBand="0" w:noVBand="0"/>
      </w:tblPr>
      <w:tblGrid>
        <w:gridCol w:w="3696"/>
        <w:gridCol w:w="1113"/>
        <w:gridCol w:w="2212"/>
        <w:gridCol w:w="2539"/>
      </w:tblGrid>
      <w:tr w:rsidR="00EF60F7" w14:paraId="1CF306CE" w14:textId="77777777" w:rsidTr="00853C0F">
        <w:trPr>
          <w:cnfStyle w:val="100000000000" w:firstRow="1" w:lastRow="0" w:firstColumn="0" w:lastColumn="0" w:oddVBand="0" w:evenVBand="0" w:oddHBand="0" w:evenHBand="0" w:firstRowFirstColumn="0" w:firstRowLastColumn="0" w:lastRowFirstColumn="0" w:lastRowLastColumn="0"/>
          <w:cantSplit/>
          <w:tblHeader/>
        </w:trPr>
        <w:tc>
          <w:tcPr>
            <w:tcW w:w="1933" w:type="pct"/>
          </w:tcPr>
          <w:p w14:paraId="1CF306CA" w14:textId="77777777" w:rsidR="00EF60F7" w:rsidRDefault="00DD5D17" w:rsidP="00853C0F">
            <w:pPr>
              <w:pStyle w:val="Celda"/>
              <w:keepNext/>
            </w:pPr>
            <w:r>
              <w:t>Concepto</w:t>
            </w:r>
          </w:p>
        </w:tc>
        <w:tc>
          <w:tcPr>
            <w:tcW w:w="582" w:type="pct"/>
          </w:tcPr>
          <w:p w14:paraId="1CF306CB" w14:textId="77777777" w:rsidR="00EF60F7" w:rsidRDefault="00DD5D17" w:rsidP="00853C0F">
            <w:pPr>
              <w:pStyle w:val="Celda"/>
              <w:keepNext/>
            </w:pPr>
            <w:r>
              <w:t>Cantidad</w:t>
            </w:r>
          </w:p>
        </w:tc>
        <w:tc>
          <w:tcPr>
            <w:tcW w:w="1157" w:type="pct"/>
          </w:tcPr>
          <w:p w14:paraId="1CF306CC" w14:textId="77777777" w:rsidR="00EF60F7" w:rsidRDefault="00DD5D17" w:rsidP="00853C0F">
            <w:pPr>
              <w:pStyle w:val="Celda"/>
              <w:keepNext/>
            </w:pPr>
            <w:r>
              <w:t>Valor</w:t>
            </w:r>
          </w:p>
        </w:tc>
        <w:tc>
          <w:tcPr>
            <w:tcW w:w="1328" w:type="pct"/>
          </w:tcPr>
          <w:p w14:paraId="1CF306CD" w14:textId="77777777" w:rsidR="00EF60F7" w:rsidRDefault="00DD5D17" w:rsidP="00853C0F">
            <w:pPr>
              <w:pStyle w:val="Celda"/>
              <w:keepNext/>
            </w:pPr>
            <w:r>
              <w:t>Total</w:t>
            </w:r>
          </w:p>
        </w:tc>
      </w:tr>
      <w:tr w:rsidR="00EF60F7" w14:paraId="1CF306D3" w14:textId="77777777" w:rsidTr="00853C0F">
        <w:trPr>
          <w:cantSplit/>
        </w:trPr>
        <w:tc>
          <w:tcPr>
            <w:tcW w:w="1933" w:type="pct"/>
          </w:tcPr>
          <w:p w14:paraId="1CF306CF" w14:textId="77777777" w:rsidR="00EF60F7" w:rsidRDefault="00DD5D17" w:rsidP="00853C0F">
            <w:pPr>
              <w:pStyle w:val="Celda"/>
              <w:keepNext/>
            </w:pPr>
            <w:r>
              <w:t>Horas de desarrollo (todo el proyecto, v1 + documentación v2)</w:t>
            </w:r>
          </w:p>
        </w:tc>
        <w:tc>
          <w:tcPr>
            <w:tcW w:w="582" w:type="pct"/>
          </w:tcPr>
          <w:p w14:paraId="1CF306D0" w14:textId="77777777" w:rsidR="00EF60F7" w:rsidRDefault="00DD5D17" w:rsidP="00853C0F">
            <w:pPr>
              <w:pStyle w:val="Celda"/>
              <w:keepNext/>
            </w:pPr>
            <w:r>
              <w:t>145 h</w:t>
            </w:r>
          </w:p>
        </w:tc>
        <w:tc>
          <w:tcPr>
            <w:tcW w:w="1157" w:type="pct"/>
          </w:tcPr>
          <w:p w14:paraId="1CF306D1" w14:textId="77777777" w:rsidR="00EF60F7" w:rsidRDefault="00DD5D17" w:rsidP="00853C0F">
            <w:pPr>
              <w:pStyle w:val="Celda"/>
              <w:keepNext/>
            </w:pPr>
            <w:r>
              <w:t>$40.000 / h</w:t>
            </w:r>
          </w:p>
        </w:tc>
        <w:tc>
          <w:tcPr>
            <w:tcW w:w="1328" w:type="pct"/>
          </w:tcPr>
          <w:p w14:paraId="1CF306D2" w14:textId="77777777" w:rsidR="00EF60F7" w:rsidRDefault="00DD5D17" w:rsidP="00853C0F">
            <w:pPr>
              <w:pStyle w:val="Celda"/>
              <w:keepNext/>
            </w:pPr>
            <w:r>
              <w:rPr>
                <w:b/>
                <w:bCs/>
              </w:rPr>
              <w:t>$5.800.000 COP</w:t>
            </w:r>
          </w:p>
        </w:tc>
      </w:tr>
      <w:tr w:rsidR="00EF60F7" w14:paraId="1CF306D8" w14:textId="77777777" w:rsidTr="00853C0F">
        <w:trPr>
          <w:cantSplit/>
        </w:trPr>
        <w:tc>
          <w:tcPr>
            <w:tcW w:w="1933" w:type="pct"/>
          </w:tcPr>
          <w:p w14:paraId="1CF306D4" w14:textId="77777777" w:rsidR="00EF60F7" w:rsidRDefault="00DD5D17" w:rsidP="00853C0F">
            <w:pPr>
              <w:pStyle w:val="Celda"/>
              <w:keepNext/>
            </w:pPr>
            <w:r>
              <w:t>Infraestructura (VPS, dominio) — ya en uso para otros proyectos</w:t>
            </w:r>
          </w:p>
        </w:tc>
        <w:tc>
          <w:tcPr>
            <w:tcW w:w="582" w:type="pct"/>
          </w:tcPr>
          <w:p w14:paraId="1CF306D5" w14:textId="77777777" w:rsidR="00EF60F7" w:rsidRDefault="00DD5D17" w:rsidP="00853C0F">
            <w:pPr>
              <w:pStyle w:val="Celda"/>
              <w:keepNext/>
            </w:pPr>
            <w:r>
              <w:t>—</w:t>
            </w:r>
          </w:p>
        </w:tc>
        <w:tc>
          <w:tcPr>
            <w:tcW w:w="1157" w:type="pct"/>
          </w:tcPr>
          <w:p w14:paraId="1CF306D6" w14:textId="77777777" w:rsidR="00EF60F7" w:rsidRDefault="00DD5D17" w:rsidP="00853C0F">
            <w:pPr>
              <w:pStyle w:val="Celda"/>
              <w:keepNext/>
            </w:pPr>
            <w:r>
              <w:t>marginal</w:t>
            </w:r>
          </w:p>
        </w:tc>
        <w:tc>
          <w:tcPr>
            <w:tcW w:w="1328" w:type="pct"/>
          </w:tcPr>
          <w:p w14:paraId="1CF306D7" w14:textId="77777777" w:rsidR="00EF60F7" w:rsidRDefault="00DD5D17" w:rsidP="00853C0F">
            <w:pPr>
              <w:pStyle w:val="Celda"/>
              <w:keepNext/>
            </w:pPr>
            <w:r>
              <w:t>~$0–$600.000 / año</w:t>
            </w:r>
          </w:p>
        </w:tc>
      </w:tr>
      <w:tr w:rsidR="00EF60F7" w14:paraId="1CF306DD" w14:textId="77777777" w:rsidTr="00853C0F">
        <w:trPr>
          <w:cantSplit/>
        </w:trPr>
        <w:tc>
          <w:tcPr>
            <w:tcW w:w="1933" w:type="pct"/>
          </w:tcPr>
          <w:p w14:paraId="1CF306D9" w14:textId="77777777" w:rsidR="00EF60F7" w:rsidRDefault="00DD5D17" w:rsidP="00853C0F">
            <w:pPr>
              <w:pStyle w:val="Celda"/>
              <w:keepNext/>
            </w:pPr>
            <w:r>
              <w:t>Herramientas y servicios (GitHub, Docker/Dokploy, PHPMailer con Brevo, Algolia, Cloudflare Turnstile, Google Identity)</w:t>
            </w:r>
          </w:p>
        </w:tc>
        <w:tc>
          <w:tcPr>
            <w:tcW w:w="582" w:type="pct"/>
          </w:tcPr>
          <w:p w14:paraId="1CF306DA" w14:textId="77777777" w:rsidR="00EF60F7" w:rsidRDefault="00DD5D17" w:rsidP="00853C0F">
            <w:pPr>
              <w:pStyle w:val="Celda"/>
              <w:keepNext/>
            </w:pPr>
            <w:r>
              <w:t>—</w:t>
            </w:r>
          </w:p>
        </w:tc>
        <w:tc>
          <w:tcPr>
            <w:tcW w:w="1157" w:type="pct"/>
          </w:tcPr>
          <w:p w14:paraId="1CF306DB" w14:textId="77777777" w:rsidR="00EF60F7" w:rsidRDefault="00DD5D17" w:rsidP="00853C0F">
            <w:pPr>
              <w:pStyle w:val="Celda"/>
              <w:keepNext/>
            </w:pPr>
            <w:r>
              <w:t>planes gratuitos / propias</w:t>
            </w:r>
          </w:p>
        </w:tc>
        <w:tc>
          <w:tcPr>
            <w:tcW w:w="1328" w:type="pct"/>
          </w:tcPr>
          <w:p w14:paraId="1CF306DC" w14:textId="77777777" w:rsidR="00EF60F7" w:rsidRDefault="00DD5D17" w:rsidP="00853C0F">
            <w:pPr>
              <w:pStyle w:val="Celda"/>
              <w:keepNext/>
            </w:pPr>
            <w:r>
              <w:t>$0</w:t>
            </w:r>
          </w:p>
        </w:tc>
      </w:tr>
      <w:tr w:rsidR="00EF60F7" w14:paraId="1CF306E2" w14:textId="77777777" w:rsidTr="00853C0F">
        <w:trPr>
          <w:cantSplit/>
        </w:trPr>
        <w:tc>
          <w:tcPr>
            <w:tcW w:w="1933" w:type="pct"/>
          </w:tcPr>
          <w:p w14:paraId="1CF306DE" w14:textId="77777777" w:rsidR="00EF60F7" w:rsidRDefault="00DD5D17">
            <w:pPr>
              <w:pStyle w:val="Celda"/>
            </w:pPr>
            <w:r>
              <w:rPr>
                <w:b/>
                <w:bCs/>
              </w:rPr>
              <w:t>Inversión total de desarrollo</w:t>
            </w:r>
          </w:p>
        </w:tc>
        <w:tc>
          <w:tcPr>
            <w:tcW w:w="582" w:type="pct"/>
          </w:tcPr>
          <w:p w14:paraId="1CF306DF" w14:textId="77777777" w:rsidR="00EF60F7" w:rsidRDefault="00EF60F7"/>
        </w:tc>
        <w:tc>
          <w:tcPr>
            <w:tcW w:w="1157" w:type="pct"/>
          </w:tcPr>
          <w:p w14:paraId="1CF306E0" w14:textId="77777777" w:rsidR="00EF60F7" w:rsidRDefault="00EF60F7"/>
        </w:tc>
        <w:tc>
          <w:tcPr>
            <w:tcW w:w="1328" w:type="pct"/>
          </w:tcPr>
          <w:p w14:paraId="1CF306E1" w14:textId="77777777" w:rsidR="00EF60F7" w:rsidRDefault="00DD5D17">
            <w:pPr>
              <w:pStyle w:val="Celda"/>
            </w:pPr>
            <w:r>
              <w:rPr>
                <w:b/>
                <w:bCs/>
              </w:rPr>
              <w:t>≈ $5.800.000 COP (~$1.772 USD)</w:t>
            </w:r>
          </w:p>
        </w:tc>
      </w:tr>
    </w:tbl>
    <w:p w14:paraId="1CF306E3" w14:textId="77777777" w:rsidR="00EF60F7" w:rsidRDefault="00DD5D17">
      <w:pPr>
        <w:pStyle w:val="Textodebloque"/>
      </w:pPr>
      <w:r>
        <w:t>No se llevó un registro de horas. Las 145 h son una estimación del tiempo acumulado hasta octubre de 2026, y la cifra crece a medida que avanza el desarrollo. La infraestructura no se contabiliza como costo nuevo porque el VPS ya existe y es compartido con otros proyectos del aprendiz.</w:t>
      </w:r>
    </w:p>
    <w:p w14:paraId="1CF306E4" w14:textId="77777777" w:rsidR="00EF60F7" w:rsidRDefault="00DD5D17">
      <w:pPr>
        <w:pStyle w:val="Ttulo2"/>
      </w:pPr>
      <w:bookmarkStart w:id="4" w:name="_a5f96cbc08fb00012f3fe3dce28073b784f2a10"/>
      <w:bookmarkStart w:id="5" w:name="_Toc243684002"/>
      <w:r>
        <w:t>Distribución aproximada del esfuerzo</w:t>
      </w:r>
      <w:bookmarkEnd w:id="5"/>
    </w:p>
    <w:p w14:paraId="1CF306E5" w14:textId="77777777" w:rsidR="00EF60F7" w:rsidRDefault="00DD5D17">
      <w:pPr>
        <w:pStyle w:val="Rotulo"/>
      </w:pPr>
      <w:r>
        <w:t>Tabla 2</w:t>
      </w:r>
    </w:p>
    <w:p w14:paraId="1CF306E6" w14:textId="77777777" w:rsidR="00EF60F7" w:rsidRDefault="00DD5D17">
      <w:pPr>
        <w:pStyle w:val="RotuloTitulo"/>
      </w:pPr>
      <w:r>
        <w:t>Distribución aproximada del esfuerzo</w:t>
      </w:r>
    </w:p>
    <w:tbl>
      <w:tblPr>
        <w:tblStyle w:val="Table"/>
        <w:tblW w:w="5000" w:type="pct"/>
        <w:tblLook w:val="0020" w:firstRow="1" w:lastRow="0" w:firstColumn="0" w:lastColumn="0" w:noHBand="0" w:noVBand="0"/>
      </w:tblPr>
      <w:tblGrid>
        <w:gridCol w:w="7367"/>
        <w:gridCol w:w="2193"/>
      </w:tblGrid>
      <w:tr w:rsidR="00EF60F7" w14:paraId="1CF306E9" w14:textId="77777777" w:rsidTr="00853C0F">
        <w:trPr>
          <w:cnfStyle w:val="100000000000" w:firstRow="1" w:lastRow="0" w:firstColumn="0" w:lastColumn="0" w:oddVBand="0" w:evenVBand="0" w:oddHBand="0" w:evenHBand="0" w:firstRowFirstColumn="0" w:firstRowLastColumn="0" w:lastRowFirstColumn="0" w:lastRowLastColumn="0"/>
          <w:cantSplit/>
          <w:tblHeader/>
        </w:trPr>
        <w:tc>
          <w:tcPr>
            <w:tcW w:w="3853" w:type="pct"/>
          </w:tcPr>
          <w:p w14:paraId="1CF306E7" w14:textId="77777777" w:rsidR="00EF60F7" w:rsidRDefault="00DD5D17" w:rsidP="00853C0F">
            <w:pPr>
              <w:pStyle w:val="Celda"/>
              <w:keepNext/>
            </w:pPr>
            <w:r>
              <w:t>Etapa</w:t>
            </w:r>
          </w:p>
        </w:tc>
        <w:tc>
          <w:tcPr>
            <w:tcW w:w="1147" w:type="pct"/>
          </w:tcPr>
          <w:p w14:paraId="1CF306E8" w14:textId="77777777" w:rsidR="00EF60F7" w:rsidRDefault="00DD5D17" w:rsidP="00853C0F">
            <w:pPr>
              <w:pStyle w:val="Celda"/>
              <w:keepNext/>
            </w:pPr>
            <w:r>
              <w:t>Horas aprox.</w:t>
            </w:r>
          </w:p>
        </w:tc>
      </w:tr>
      <w:tr w:rsidR="00EF60F7" w14:paraId="1CF306EC" w14:textId="77777777" w:rsidTr="00853C0F">
        <w:trPr>
          <w:cantSplit/>
        </w:trPr>
        <w:tc>
          <w:tcPr>
            <w:tcW w:w="3853" w:type="pct"/>
          </w:tcPr>
          <w:p w14:paraId="1CF306EA" w14:textId="77777777" w:rsidR="00EF60F7" w:rsidRDefault="00DD5D17" w:rsidP="00853C0F">
            <w:pPr>
              <w:pStyle w:val="Celda"/>
              <w:keepNext/>
            </w:pPr>
            <w:r>
              <w:t>Construcción v1.x (módulos, seguridad, despliegue)</w:t>
            </w:r>
          </w:p>
        </w:tc>
        <w:tc>
          <w:tcPr>
            <w:tcW w:w="1147" w:type="pct"/>
          </w:tcPr>
          <w:p w14:paraId="1CF306EB" w14:textId="77777777" w:rsidR="00EF60F7" w:rsidRDefault="00DD5D17" w:rsidP="00853C0F">
            <w:pPr>
              <w:pStyle w:val="Celda"/>
              <w:keepNext/>
            </w:pPr>
            <w:r>
              <w:t>~95 h</w:t>
            </w:r>
          </w:p>
        </w:tc>
      </w:tr>
      <w:tr w:rsidR="00EF60F7" w14:paraId="1CF306EF" w14:textId="77777777" w:rsidTr="00853C0F">
        <w:trPr>
          <w:cantSplit/>
        </w:trPr>
        <w:tc>
          <w:tcPr>
            <w:tcW w:w="3853" w:type="pct"/>
          </w:tcPr>
          <w:p w14:paraId="1CF306ED" w14:textId="77777777" w:rsidR="00EF60F7" w:rsidRDefault="00DD5D17" w:rsidP="00853C0F">
            <w:pPr>
              <w:pStyle w:val="Celda"/>
              <w:keepNext/>
            </w:pPr>
            <w:r>
              <w:t>Documentación v2 (ERS, reglas, historias, requisitos, MER, modelos y grafos)</w:t>
            </w:r>
          </w:p>
        </w:tc>
        <w:tc>
          <w:tcPr>
            <w:tcW w:w="1147" w:type="pct"/>
          </w:tcPr>
          <w:p w14:paraId="1CF306EE" w14:textId="77777777" w:rsidR="00EF60F7" w:rsidRDefault="00DD5D17" w:rsidP="00853C0F">
            <w:pPr>
              <w:pStyle w:val="Celda"/>
              <w:keepNext/>
            </w:pPr>
            <w:r>
              <w:t>~35 h</w:t>
            </w:r>
          </w:p>
        </w:tc>
      </w:tr>
      <w:tr w:rsidR="00EF60F7" w14:paraId="1CF306F2" w14:textId="77777777" w:rsidTr="00853C0F">
        <w:trPr>
          <w:cantSplit/>
        </w:trPr>
        <w:tc>
          <w:tcPr>
            <w:tcW w:w="3853" w:type="pct"/>
          </w:tcPr>
          <w:p w14:paraId="1CF306F0" w14:textId="77777777" w:rsidR="00EF60F7" w:rsidRDefault="00DD5D17" w:rsidP="00853C0F">
            <w:pPr>
              <w:pStyle w:val="Celda"/>
              <w:keepNext/>
            </w:pPr>
            <w:r>
              <w:t>Pruebas, portal de documentación y ajustes</w:t>
            </w:r>
          </w:p>
        </w:tc>
        <w:tc>
          <w:tcPr>
            <w:tcW w:w="1147" w:type="pct"/>
          </w:tcPr>
          <w:p w14:paraId="1CF306F1" w14:textId="77777777" w:rsidR="00EF60F7" w:rsidRDefault="00DD5D17" w:rsidP="00853C0F">
            <w:pPr>
              <w:pStyle w:val="Celda"/>
              <w:keepNext/>
            </w:pPr>
            <w:r>
              <w:t>~15 h</w:t>
            </w:r>
          </w:p>
        </w:tc>
      </w:tr>
      <w:tr w:rsidR="00EF60F7" w14:paraId="1CF306F5" w14:textId="77777777" w:rsidTr="00853C0F">
        <w:trPr>
          <w:cantSplit/>
        </w:trPr>
        <w:tc>
          <w:tcPr>
            <w:tcW w:w="3853" w:type="pct"/>
          </w:tcPr>
          <w:p w14:paraId="1CF306F3" w14:textId="77777777" w:rsidR="00EF60F7" w:rsidRDefault="00DD5D17">
            <w:pPr>
              <w:pStyle w:val="Celda"/>
            </w:pPr>
            <w:r>
              <w:rPr>
                <w:b/>
                <w:bCs/>
              </w:rPr>
              <w:t>Total</w:t>
            </w:r>
          </w:p>
        </w:tc>
        <w:tc>
          <w:tcPr>
            <w:tcW w:w="1147" w:type="pct"/>
          </w:tcPr>
          <w:p w14:paraId="1CF306F4" w14:textId="77777777" w:rsidR="00EF60F7" w:rsidRDefault="00DD5D17">
            <w:pPr>
              <w:pStyle w:val="Celda"/>
            </w:pPr>
            <w:r>
              <w:rPr>
                <w:b/>
                <w:bCs/>
              </w:rPr>
              <w:t>~145 h</w:t>
            </w:r>
          </w:p>
        </w:tc>
      </w:tr>
    </w:tbl>
    <w:p w14:paraId="1CF306F6" w14:textId="77777777" w:rsidR="00EF60F7" w:rsidRDefault="00DD5D17">
      <w:pPr>
        <w:pStyle w:val="Ttulo1"/>
      </w:pPr>
      <w:bookmarkStart w:id="6" w:name="_2d0fc3872215a338121efa009da515fa3bbf139"/>
      <w:bookmarkStart w:id="7" w:name="_Toc243684003"/>
      <w:bookmarkEnd w:id="2"/>
      <w:bookmarkEnd w:id="4"/>
      <w:r>
        <w:lastRenderedPageBreak/>
        <w:t>3. Valoración referencial de mercado</w:t>
      </w:r>
      <w:bookmarkEnd w:id="7"/>
    </w:p>
    <w:p w14:paraId="1CF306F7" w14:textId="77777777" w:rsidR="00EF60F7" w:rsidRDefault="00DD5D17">
      <w:pPr>
        <w:pStyle w:val="FirstParagraph"/>
      </w:pPr>
      <w:r>
        <w:t>Si el mismo trabajo lo hiciera un equipo con un especialista por rol, cada hora se pagaría a la tarifa de ese rol. Las tarifas son de referencia y parten de la de un junior ($40.000/h):</w:t>
      </w:r>
    </w:p>
    <w:p w14:paraId="1CF306F8" w14:textId="77777777" w:rsidR="00EF60F7" w:rsidRDefault="00DD5D17">
      <w:pPr>
        <w:pStyle w:val="Rotulo"/>
      </w:pPr>
      <w:r>
        <w:t>Tabla 3</w:t>
      </w:r>
    </w:p>
    <w:p w14:paraId="1CF306F9" w14:textId="77777777" w:rsidR="00EF60F7" w:rsidRDefault="00DD5D17">
      <w:pPr>
        <w:pStyle w:val="RotuloTitulo"/>
      </w:pPr>
      <w:r>
        <w:t>3. Valoración referencial de mercado</w:t>
      </w:r>
    </w:p>
    <w:tbl>
      <w:tblPr>
        <w:tblStyle w:val="Table"/>
        <w:tblW w:w="5000" w:type="pct"/>
        <w:tblLook w:val="0020" w:firstRow="1" w:lastRow="0" w:firstColumn="0" w:lastColumn="0" w:noHBand="0" w:noVBand="0"/>
      </w:tblPr>
      <w:tblGrid>
        <w:gridCol w:w="4477"/>
        <w:gridCol w:w="782"/>
        <w:gridCol w:w="1249"/>
        <w:gridCol w:w="3052"/>
      </w:tblGrid>
      <w:tr w:rsidR="00EF60F7" w14:paraId="1CF306FE" w14:textId="77777777" w:rsidTr="00853C0F">
        <w:trPr>
          <w:cnfStyle w:val="100000000000" w:firstRow="1" w:lastRow="0" w:firstColumn="0" w:lastColumn="0" w:oddVBand="0" w:evenVBand="0" w:oddHBand="0" w:evenHBand="0" w:firstRowFirstColumn="0" w:firstRowLastColumn="0" w:lastRowFirstColumn="0" w:lastRowLastColumn="0"/>
          <w:cantSplit/>
          <w:tblHeader/>
        </w:trPr>
        <w:tc>
          <w:tcPr>
            <w:tcW w:w="2342" w:type="pct"/>
          </w:tcPr>
          <w:p w14:paraId="1CF306FA" w14:textId="77777777" w:rsidR="00EF60F7" w:rsidRDefault="00DD5D17" w:rsidP="00853C0F">
            <w:pPr>
              <w:pStyle w:val="Celda"/>
              <w:keepNext/>
            </w:pPr>
            <w:r>
              <w:t>Rol</w:t>
            </w:r>
          </w:p>
        </w:tc>
        <w:tc>
          <w:tcPr>
            <w:tcW w:w="409" w:type="pct"/>
          </w:tcPr>
          <w:p w14:paraId="1CF306FB" w14:textId="77777777" w:rsidR="00EF60F7" w:rsidRDefault="00DD5D17" w:rsidP="00853C0F">
            <w:pPr>
              <w:pStyle w:val="Celda"/>
              <w:keepNext/>
            </w:pPr>
            <w:r>
              <w:t>Horas</w:t>
            </w:r>
          </w:p>
        </w:tc>
        <w:tc>
          <w:tcPr>
            <w:tcW w:w="653" w:type="pct"/>
          </w:tcPr>
          <w:p w14:paraId="1CF306FC" w14:textId="77777777" w:rsidR="00EF60F7" w:rsidRDefault="00DD5D17" w:rsidP="00853C0F">
            <w:pPr>
              <w:pStyle w:val="Celda"/>
              <w:keepNext/>
            </w:pPr>
            <w:r>
              <w:t>Tarifa</w:t>
            </w:r>
          </w:p>
        </w:tc>
        <w:tc>
          <w:tcPr>
            <w:tcW w:w="1596" w:type="pct"/>
          </w:tcPr>
          <w:p w14:paraId="1CF306FD" w14:textId="77777777" w:rsidR="00EF60F7" w:rsidRDefault="00DD5D17" w:rsidP="00853C0F">
            <w:pPr>
              <w:pStyle w:val="Celda"/>
              <w:keepNext/>
            </w:pPr>
            <w:r>
              <w:t>Total</w:t>
            </w:r>
          </w:p>
        </w:tc>
      </w:tr>
      <w:tr w:rsidR="00EF60F7" w14:paraId="1CF30703" w14:textId="77777777" w:rsidTr="00853C0F">
        <w:trPr>
          <w:cantSplit/>
        </w:trPr>
        <w:tc>
          <w:tcPr>
            <w:tcW w:w="2342" w:type="pct"/>
          </w:tcPr>
          <w:p w14:paraId="1CF306FF" w14:textId="77777777" w:rsidR="00EF60F7" w:rsidRDefault="00DD5D17" w:rsidP="00853C0F">
            <w:pPr>
              <w:pStyle w:val="Celda"/>
              <w:keepNext/>
            </w:pPr>
            <w:r>
              <w:t>Producto y análisis (requisitos y documentación)</w:t>
            </w:r>
          </w:p>
        </w:tc>
        <w:tc>
          <w:tcPr>
            <w:tcW w:w="409" w:type="pct"/>
          </w:tcPr>
          <w:p w14:paraId="1CF30700" w14:textId="77777777" w:rsidR="00EF60F7" w:rsidRDefault="00DD5D17" w:rsidP="00853C0F">
            <w:pPr>
              <w:pStyle w:val="Celda"/>
              <w:keepNext/>
            </w:pPr>
            <w:r>
              <w:t>35 h</w:t>
            </w:r>
          </w:p>
        </w:tc>
        <w:tc>
          <w:tcPr>
            <w:tcW w:w="653" w:type="pct"/>
          </w:tcPr>
          <w:p w14:paraId="1CF30701" w14:textId="77777777" w:rsidR="00EF60F7" w:rsidRDefault="00DD5D17" w:rsidP="00853C0F">
            <w:pPr>
              <w:pStyle w:val="Celda"/>
              <w:keepNext/>
            </w:pPr>
            <w:r>
              <w:t>$45.000 / h</w:t>
            </w:r>
          </w:p>
        </w:tc>
        <w:tc>
          <w:tcPr>
            <w:tcW w:w="1596" w:type="pct"/>
          </w:tcPr>
          <w:p w14:paraId="1CF30702" w14:textId="77777777" w:rsidR="00EF60F7" w:rsidRDefault="00DD5D17" w:rsidP="00853C0F">
            <w:pPr>
              <w:pStyle w:val="Celda"/>
              <w:keepNext/>
            </w:pPr>
            <w:r>
              <w:t>$1.575.000</w:t>
            </w:r>
          </w:p>
        </w:tc>
      </w:tr>
      <w:tr w:rsidR="00EF60F7" w14:paraId="1CF30708" w14:textId="77777777" w:rsidTr="00853C0F">
        <w:trPr>
          <w:cantSplit/>
        </w:trPr>
        <w:tc>
          <w:tcPr>
            <w:tcW w:w="2342" w:type="pct"/>
          </w:tcPr>
          <w:p w14:paraId="1CF30704" w14:textId="77777777" w:rsidR="00EF60F7" w:rsidRDefault="00DD5D17" w:rsidP="00853C0F">
            <w:pPr>
              <w:pStyle w:val="Celda"/>
              <w:keepNext/>
            </w:pPr>
            <w:r>
              <w:t>Backend</w:t>
            </w:r>
          </w:p>
        </w:tc>
        <w:tc>
          <w:tcPr>
            <w:tcW w:w="409" w:type="pct"/>
          </w:tcPr>
          <w:p w14:paraId="1CF30705" w14:textId="77777777" w:rsidR="00EF60F7" w:rsidRDefault="00DD5D17" w:rsidP="00853C0F">
            <w:pPr>
              <w:pStyle w:val="Celda"/>
              <w:keepNext/>
            </w:pPr>
            <w:r>
              <w:t>45 h</w:t>
            </w:r>
          </w:p>
        </w:tc>
        <w:tc>
          <w:tcPr>
            <w:tcW w:w="653" w:type="pct"/>
          </w:tcPr>
          <w:p w14:paraId="1CF30706" w14:textId="77777777" w:rsidR="00EF60F7" w:rsidRDefault="00DD5D17" w:rsidP="00853C0F">
            <w:pPr>
              <w:pStyle w:val="Celda"/>
              <w:keepNext/>
            </w:pPr>
            <w:r>
              <w:t>$45.000 / h</w:t>
            </w:r>
          </w:p>
        </w:tc>
        <w:tc>
          <w:tcPr>
            <w:tcW w:w="1596" w:type="pct"/>
          </w:tcPr>
          <w:p w14:paraId="1CF30707" w14:textId="77777777" w:rsidR="00EF60F7" w:rsidRDefault="00DD5D17" w:rsidP="00853C0F">
            <w:pPr>
              <w:pStyle w:val="Celda"/>
              <w:keepNext/>
            </w:pPr>
            <w:r>
              <w:t>$2.025.000</w:t>
            </w:r>
          </w:p>
        </w:tc>
      </w:tr>
      <w:tr w:rsidR="00EF60F7" w14:paraId="1CF3070D" w14:textId="77777777" w:rsidTr="00853C0F">
        <w:trPr>
          <w:cantSplit/>
        </w:trPr>
        <w:tc>
          <w:tcPr>
            <w:tcW w:w="2342" w:type="pct"/>
          </w:tcPr>
          <w:p w14:paraId="1CF30709" w14:textId="77777777" w:rsidR="00EF60F7" w:rsidRDefault="00DD5D17" w:rsidP="00853C0F">
            <w:pPr>
              <w:pStyle w:val="Celda"/>
              <w:keepNext/>
            </w:pPr>
            <w:r>
              <w:t>Frontend</w:t>
            </w:r>
          </w:p>
        </w:tc>
        <w:tc>
          <w:tcPr>
            <w:tcW w:w="409" w:type="pct"/>
          </w:tcPr>
          <w:p w14:paraId="1CF3070A" w14:textId="77777777" w:rsidR="00EF60F7" w:rsidRDefault="00DD5D17" w:rsidP="00853C0F">
            <w:pPr>
              <w:pStyle w:val="Celda"/>
              <w:keepNext/>
            </w:pPr>
            <w:r>
              <w:t>30 h</w:t>
            </w:r>
          </w:p>
        </w:tc>
        <w:tc>
          <w:tcPr>
            <w:tcW w:w="653" w:type="pct"/>
          </w:tcPr>
          <w:p w14:paraId="1CF3070B" w14:textId="77777777" w:rsidR="00EF60F7" w:rsidRDefault="00DD5D17" w:rsidP="00853C0F">
            <w:pPr>
              <w:pStyle w:val="Celda"/>
              <w:keepNext/>
            </w:pPr>
            <w:r>
              <w:t>$40.000 / h</w:t>
            </w:r>
          </w:p>
        </w:tc>
        <w:tc>
          <w:tcPr>
            <w:tcW w:w="1596" w:type="pct"/>
          </w:tcPr>
          <w:p w14:paraId="1CF3070C" w14:textId="77777777" w:rsidR="00EF60F7" w:rsidRDefault="00DD5D17" w:rsidP="00853C0F">
            <w:pPr>
              <w:pStyle w:val="Celda"/>
              <w:keepNext/>
            </w:pPr>
            <w:r>
              <w:t>$1.200.000</w:t>
            </w:r>
          </w:p>
        </w:tc>
      </w:tr>
      <w:tr w:rsidR="00EF60F7" w14:paraId="1CF30712" w14:textId="77777777" w:rsidTr="00853C0F">
        <w:trPr>
          <w:cantSplit/>
        </w:trPr>
        <w:tc>
          <w:tcPr>
            <w:tcW w:w="2342" w:type="pct"/>
          </w:tcPr>
          <w:p w14:paraId="1CF3070E" w14:textId="77777777" w:rsidR="00EF60F7" w:rsidRDefault="00DD5D17" w:rsidP="00853C0F">
            <w:pPr>
              <w:pStyle w:val="Celda"/>
              <w:keepNext/>
            </w:pPr>
            <w:r>
              <w:t>Base de datos y DevOps</w:t>
            </w:r>
          </w:p>
        </w:tc>
        <w:tc>
          <w:tcPr>
            <w:tcW w:w="409" w:type="pct"/>
          </w:tcPr>
          <w:p w14:paraId="1CF3070F" w14:textId="77777777" w:rsidR="00EF60F7" w:rsidRDefault="00DD5D17" w:rsidP="00853C0F">
            <w:pPr>
              <w:pStyle w:val="Celda"/>
              <w:keepNext/>
            </w:pPr>
            <w:r>
              <w:t>15 h</w:t>
            </w:r>
          </w:p>
        </w:tc>
        <w:tc>
          <w:tcPr>
            <w:tcW w:w="653" w:type="pct"/>
          </w:tcPr>
          <w:p w14:paraId="1CF30710" w14:textId="77777777" w:rsidR="00EF60F7" w:rsidRDefault="00DD5D17" w:rsidP="00853C0F">
            <w:pPr>
              <w:pStyle w:val="Celda"/>
              <w:keepNext/>
            </w:pPr>
            <w:r>
              <w:t>$50.000 / h</w:t>
            </w:r>
          </w:p>
        </w:tc>
        <w:tc>
          <w:tcPr>
            <w:tcW w:w="1596" w:type="pct"/>
          </w:tcPr>
          <w:p w14:paraId="1CF30711" w14:textId="77777777" w:rsidR="00EF60F7" w:rsidRDefault="00DD5D17" w:rsidP="00853C0F">
            <w:pPr>
              <w:pStyle w:val="Celda"/>
              <w:keepNext/>
            </w:pPr>
            <w:r>
              <w:t>$750.000</w:t>
            </w:r>
          </w:p>
        </w:tc>
      </w:tr>
      <w:tr w:rsidR="00EF60F7" w14:paraId="1CF30717" w14:textId="77777777" w:rsidTr="00853C0F">
        <w:trPr>
          <w:cantSplit/>
        </w:trPr>
        <w:tc>
          <w:tcPr>
            <w:tcW w:w="2342" w:type="pct"/>
          </w:tcPr>
          <w:p w14:paraId="1CF30713" w14:textId="77777777" w:rsidR="00EF60F7" w:rsidRDefault="00DD5D17" w:rsidP="00853C0F">
            <w:pPr>
              <w:pStyle w:val="Celda"/>
              <w:keepNext/>
            </w:pPr>
            <w:r>
              <w:t>QA (pruebas)</w:t>
            </w:r>
          </w:p>
        </w:tc>
        <w:tc>
          <w:tcPr>
            <w:tcW w:w="409" w:type="pct"/>
          </w:tcPr>
          <w:p w14:paraId="1CF30714" w14:textId="77777777" w:rsidR="00EF60F7" w:rsidRDefault="00DD5D17" w:rsidP="00853C0F">
            <w:pPr>
              <w:pStyle w:val="Celda"/>
              <w:keepNext/>
            </w:pPr>
            <w:r>
              <w:t>12 h</w:t>
            </w:r>
          </w:p>
        </w:tc>
        <w:tc>
          <w:tcPr>
            <w:tcW w:w="653" w:type="pct"/>
          </w:tcPr>
          <w:p w14:paraId="1CF30715" w14:textId="77777777" w:rsidR="00EF60F7" w:rsidRDefault="00DD5D17" w:rsidP="00853C0F">
            <w:pPr>
              <w:pStyle w:val="Celda"/>
              <w:keepNext/>
            </w:pPr>
            <w:r>
              <w:t>$40.000 / h</w:t>
            </w:r>
          </w:p>
        </w:tc>
        <w:tc>
          <w:tcPr>
            <w:tcW w:w="1596" w:type="pct"/>
          </w:tcPr>
          <w:p w14:paraId="1CF30716" w14:textId="77777777" w:rsidR="00EF60F7" w:rsidRDefault="00DD5D17" w:rsidP="00853C0F">
            <w:pPr>
              <w:pStyle w:val="Celda"/>
              <w:keepNext/>
            </w:pPr>
            <w:r>
              <w:t>$480.000</w:t>
            </w:r>
          </w:p>
        </w:tc>
      </w:tr>
      <w:tr w:rsidR="00EF60F7" w14:paraId="1CF3071C" w14:textId="77777777" w:rsidTr="00853C0F">
        <w:trPr>
          <w:cantSplit/>
        </w:trPr>
        <w:tc>
          <w:tcPr>
            <w:tcW w:w="2342" w:type="pct"/>
          </w:tcPr>
          <w:p w14:paraId="1CF30718" w14:textId="77777777" w:rsidR="00EF60F7" w:rsidRDefault="00DD5D17" w:rsidP="00853C0F">
            <w:pPr>
              <w:pStyle w:val="Celda"/>
              <w:keepNext/>
            </w:pPr>
            <w:r>
              <w:t>Scrum Master</w:t>
            </w:r>
          </w:p>
        </w:tc>
        <w:tc>
          <w:tcPr>
            <w:tcW w:w="409" w:type="pct"/>
          </w:tcPr>
          <w:p w14:paraId="1CF30719" w14:textId="77777777" w:rsidR="00EF60F7" w:rsidRDefault="00DD5D17" w:rsidP="00853C0F">
            <w:pPr>
              <w:pStyle w:val="Celda"/>
              <w:keepNext/>
            </w:pPr>
            <w:r>
              <w:t>8 h</w:t>
            </w:r>
          </w:p>
        </w:tc>
        <w:tc>
          <w:tcPr>
            <w:tcW w:w="653" w:type="pct"/>
          </w:tcPr>
          <w:p w14:paraId="1CF3071A" w14:textId="77777777" w:rsidR="00EF60F7" w:rsidRDefault="00DD5D17" w:rsidP="00853C0F">
            <w:pPr>
              <w:pStyle w:val="Celda"/>
              <w:keepNext/>
            </w:pPr>
            <w:r>
              <w:t>$50.000 / h</w:t>
            </w:r>
          </w:p>
        </w:tc>
        <w:tc>
          <w:tcPr>
            <w:tcW w:w="1596" w:type="pct"/>
          </w:tcPr>
          <w:p w14:paraId="1CF3071B" w14:textId="77777777" w:rsidR="00EF60F7" w:rsidRDefault="00DD5D17" w:rsidP="00853C0F">
            <w:pPr>
              <w:pStyle w:val="Celda"/>
              <w:keepNext/>
            </w:pPr>
            <w:r>
              <w:t>$400.000</w:t>
            </w:r>
          </w:p>
        </w:tc>
      </w:tr>
      <w:tr w:rsidR="00EF60F7" w14:paraId="1CF30721" w14:textId="77777777" w:rsidTr="00853C0F">
        <w:trPr>
          <w:cantSplit/>
        </w:trPr>
        <w:tc>
          <w:tcPr>
            <w:tcW w:w="2342" w:type="pct"/>
          </w:tcPr>
          <w:p w14:paraId="1CF3071D" w14:textId="77777777" w:rsidR="00EF60F7" w:rsidRDefault="00DD5D17">
            <w:pPr>
              <w:pStyle w:val="Celda"/>
            </w:pPr>
            <w:r>
              <w:rPr>
                <w:b/>
                <w:bCs/>
              </w:rPr>
              <w:t>Total</w:t>
            </w:r>
          </w:p>
        </w:tc>
        <w:tc>
          <w:tcPr>
            <w:tcW w:w="409" w:type="pct"/>
          </w:tcPr>
          <w:p w14:paraId="1CF3071E" w14:textId="77777777" w:rsidR="00EF60F7" w:rsidRDefault="00DD5D17">
            <w:pPr>
              <w:pStyle w:val="Celda"/>
            </w:pPr>
            <w:r>
              <w:rPr>
                <w:b/>
                <w:bCs/>
              </w:rPr>
              <w:t>145 h</w:t>
            </w:r>
          </w:p>
        </w:tc>
        <w:tc>
          <w:tcPr>
            <w:tcW w:w="653" w:type="pct"/>
          </w:tcPr>
          <w:p w14:paraId="1CF3071F" w14:textId="77777777" w:rsidR="00EF60F7" w:rsidRDefault="00EF60F7"/>
        </w:tc>
        <w:tc>
          <w:tcPr>
            <w:tcW w:w="1596" w:type="pct"/>
          </w:tcPr>
          <w:p w14:paraId="1CF30720" w14:textId="77777777" w:rsidR="00EF60F7" w:rsidRDefault="00DD5D17">
            <w:pPr>
              <w:pStyle w:val="Celda"/>
            </w:pPr>
            <w:r>
              <w:rPr>
                <w:b/>
                <w:bCs/>
              </w:rPr>
              <w:t>≈ $6.430.000 COP (~$1.964 USD)</w:t>
            </w:r>
          </w:p>
        </w:tc>
      </w:tr>
    </w:tbl>
    <w:p w14:paraId="1CF30722" w14:textId="77777777" w:rsidR="00EF60F7" w:rsidRDefault="00DD5D17">
      <w:pPr>
        <w:pStyle w:val="FirstParagraph"/>
      </w:pPr>
      <w:r>
        <w:t>El aprendiz cobra todos los roles a la tarifa de junior, así que su inversión ($5.800.000) queda por debajo de la valoración de mercado. Es una referencia del valor del trabajo, no un desembolso real del proyecto.</w:t>
      </w:r>
    </w:p>
    <w:p w14:paraId="1CF30723" w14:textId="77777777" w:rsidR="00EF60F7" w:rsidRDefault="00DD5D17">
      <w:pPr>
        <w:pStyle w:val="Ttulo1"/>
      </w:pPr>
      <w:bookmarkStart w:id="8" w:name="_41357ca387aa374cdfbcb3731acd1dc4600d014"/>
      <w:bookmarkStart w:id="9" w:name="_Toc243684004"/>
      <w:bookmarkEnd w:id="6"/>
      <w:r>
        <w:lastRenderedPageBreak/>
        <w:t>4. Modelo de ingresos y facturación (SaaS freemium)</w:t>
      </w:r>
      <w:bookmarkEnd w:id="9"/>
    </w:p>
    <w:p w14:paraId="1CF30724" w14:textId="77777777" w:rsidR="00EF60F7" w:rsidRDefault="00DD5D17">
      <w:pPr>
        <w:pStyle w:val="FirstParagraph"/>
      </w:pPr>
      <w:r>
        <w:t xml:space="preserve">Zooki v2.0 opera como plataforma multi-inquilino con una estrategia </w:t>
      </w:r>
      <w:r>
        <w:rPr>
          <w:b/>
          <w:bCs/>
        </w:rPr>
        <w:t>freemium</w:t>
      </w:r>
      <w:r>
        <w:t>:</w:t>
      </w:r>
    </w:p>
    <w:p w14:paraId="1CF30725" w14:textId="77777777" w:rsidR="00EF60F7" w:rsidRDefault="00DD5D17">
      <w:pPr>
        <w:pStyle w:val="Rotulo"/>
      </w:pPr>
      <w:r>
        <w:t>Tabla 4</w:t>
      </w:r>
    </w:p>
    <w:p w14:paraId="1CF30726" w14:textId="77777777" w:rsidR="00EF60F7" w:rsidRDefault="00DD5D17">
      <w:pPr>
        <w:pStyle w:val="RotuloTitulo"/>
      </w:pPr>
      <w:r>
        <w:t>4. Modelo de ingresos y facturación (SaaS freemium)</w:t>
      </w:r>
    </w:p>
    <w:tbl>
      <w:tblPr>
        <w:tblStyle w:val="Table"/>
        <w:tblW w:w="5000" w:type="pct"/>
        <w:tblLook w:val="0020" w:firstRow="1" w:lastRow="0" w:firstColumn="0" w:lastColumn="0" w:noHBand="0" w:noVBand="0"/>
      </w:tblPr>
      <w:tblGrid>
        <w:gridCol w:w="1442"/>
        <w:gridCol w:w="4053"/>
        <w:gridCol w:w="4065"/>
      </w:tblGrid>
      <w:tr w:rsidR="00EF60F7" w14:paraId="1CF3072A" w14:textId="77777777" w:rsidTr="00853C0F">
        <w:trPr>
          <w:cnfStyle w:val="100000000000" w:firstRow="1" w:lastRow="0" w:firstColumn="0" w:lastColumn="0" w:oddVBand="0" w:evenVBand="0" w:oddHBand="0" w:evenHBand="0" w:firstRowFirstColumn="0" w:firstRowLastColumn="0" w:lastRowFirstColumn="0" w:lastRowLastColumn="0"/>
          <w:cantSplit/>
          <w:tblHeader/>
        </w:trPr>
        <w:tc>
          <w:tcPr>
            <w:tcW w:w="754" w:type="pct"/>
          </w:tcPr>
          <w:p w14:paraId="1CF30727" w14:textId="77777777" w:rsidR="00EF60F7" w:rsidRDefault="00DD5D17" w:rsidP="00853C0F">
            <w:pPr>
              <w:pStyle w:val="Celda"/>
              <w:keepNext/>
            </w:pPr>
            <w:r>
              <w:t>Plan</w:t>
            </w:r>
          </w:p>
        </w:tc>
        <w:tc>
          <w:tcPr>
            <w:tcW w:w="2120" w:type="pct"/>
          </w:tcPr>
          <w:p w14:paraId="1CF30728" w14:textId="77777777" w:rsidR="00EF60F7" w:rsidRDefault="00DD5D17" w:rsidP="00853C0F">
            <w:pPr>
              <w:pStyle w:val="Celda"/>
              <w:keepNext/>
            </w:pPr>
            <w:r>
              <w:t>Precio (RN-008)</w:t>
            </w:r>
          </w:p>
        </w:tc>
        <w:tc>
          <w:tcPr>
            <w:tcW w:w="2126" w:type="pct"/>
          </w:tcPr>
          <w:p w14:paraId="1CF30729" w14:textId="77777777" w:rsidR="00EF60F7" w:rsidRDefault="00DD5D17" w:rsidP="00853C0F">
            <w:pPr>
              <w:pStyle w:val="Celda"/>
              <w:keepNext/>
            </w:pPr>
            <w:r>
              <w:t>Qué incluye</w:t>
            </w:r>
          </w:p>
        </w:tc>
      </w:tr>
      <w:tr w:rsidR="00EF60F7" w14:paraId="1CF3072E" w14:textId="77777777" w:rsidTr="00853C0F">
        <w:trPr>
          <w:cantSplit/>
        </w:trPr>
        <w:tc>
          <w:tcPr>
            <w:tcW w:w="754" w:type="pct"/>
          </w:tcPr>
          <w:p w14:paraId="1CF3072B" w14:textId="77777777" w:rsidR="00EF60F7" w:rsidRDefault="00DD5D17" w:rsidP="00853C0F">
            <w:pPr>
              <w:pStyle w:val="Celda"/>
              <w:keepNext/>
            </w:pPr>
            <w:r>
              <w:t>Gratuito</w:t>
            </w:r>
          </w:p>
        </w:tc>
        <w:tc>
          <w:tcPr>
            <w:tcW w:w="2120" w:type="pct"/>
          </w:tcPr>
          <w:p w14:paraId="1CF3072C" w14:textId="77777777" w:rsidR="00EF60F7" w:rsidRDefault="00DD5D17" w:rsidP="00853C0F">
            <w:pPr>
              <w:pStyle w:val="Celda"/>
              <w:keepNext/>
            </w:pPr>
            <w:r>
              <w:t>$0</w:t>
            </w:r>
          </w:p>
        </w:tc>
        <w:tc>
          <w:tcPr>
            <w:tcW w:w="2126" w:type="pct"/>
          </w:tcPr>
          <w:p w14:paraId="1CF3072D" w14:textId="77777777" w:rsidR="00EF60F7" w:rsidRDefault="00DD5D17" w:rsidP="00853C0F">
            <w:pPr>
              <w:pStyle w:val="Celda"/>
              <w:keepNext/>
            </w:pPr>
            <w:r>
              <w:t xml:space="preserve">Todas las capacidades, </w:t>
            </w:r>
            <w:r>
              <w:rPr>
                <w:b/>
                <w:bCs/>
              </w:rPr>
              <w:t>incluidos los dos grafos en funcionamiento</w:t>
            </w:r>
            <w:r>
              <w:t xml:space="preserve">, limitadas por </w:t>
            </w:r>
            <w:r>
              <w:rPr>
                <w:b/>
                <w:bCs/>
              </w:rPr>
              <w:t>volumen</w:t>
            </w:r>
            <w:r>
              <w:t>: 5 mascotas vinculadas, 30 citas por mes y 2 cuentas de personal (RN-003).</w:t>
            </w:r>
          </w:p>
        </w:tc>
      </w:tr>
      <w:tr w:rsidR="00EF60F7" w14:paraId="1CF30732" w14:textId="77777777" w:rsidTr="00853C0F">
        <w:trPr>
          <w:cantSplit/>
        </w:trPr>
        <w:tc>
          <w:tcPr>
            <w:tcW w:w="754" w:type="pct"/>
          </w:tcPr>
          <w:p w14:paraId="1CF3072F" w14:textId="77777777" w:rsidR="00EF60F7" w:rsidRDefault="00DD5D17">
            <w:pPr>
              <w:pStyle w:val="Celda"/>
            </w:pPr>
            <w:r>
              <w:t>Profesional</w:t>
            </w:r>
          </w:p>
        </w:tc>
        <w:tc>
          <w:tcPr>
            <w:tcW w:w="2120" w:type="pct"/>
          </w:tcPr>
          <w:p w14:paraId="1CF30730" w14:textId="77777777" w:rsidR="00EF60F7" w:rsidRDefault="00DD5D17">
            <w:pPr>
              <w:pStyle w:val="Celda"/>
            </w:pPr>
            <w:r>
              <w:rPr>
                <w:b/>
                <w:bCs/>
              </w:rPr>
              <w:t>$100.000 COP / mes por clínica</w:t>
            </w:r>
            <w:r>
              <w:t xml:space="preserve"> · </w:t>
            </w:r>
            <w:r>
              <w:rPr>
                <w:b/>
                <w:bCs/>
              </w:rPr>
              <w:t>$960.000 COP / año</w:t>
            </w:r>
            <w:r>
              <w:t xml:space="preserve"> con pago anual anticipado (equivale a $80.000/mes, 20 % de descuento)</w:t>
            </w:r>
          </w:p>
        </w:tc>
        <w:tc>
          <w:tcPr>
            <w:tcW w:w="2126" w:type="pct"/>
          </w:tcPr>
          <w:p w14:paraId="1CF30731" w14:textId="77777777" w:rsidR="00EF60F7" w:rsidRDefault="00DD5D17">
            <w:pPr>
              <w:pStyle w:val="Celda"/>
            </w:pPr>
            <w:r>
              <w:t xml:space="preserve">Las mismas capacidades </w:t>
            </w:r>
            <w:r>
              <w:rPr>
                <w:b/>
                <w:bCs/>
              </w:rPr>
              <w:t>sin límites de volumen</w:t>
            </w:r>
            <w:r>
              <w:t>.</w:t>
            </w:r>
          </w:p>
        </w:tc>
      </w:tr>
    </w:tbl>
    <w:p w14:paraId="1CF30733" w14:textId="77777777" w:rsidR="00EF60F7" w:rsidRDefault="00DD5D17">
      <w:pPr>
        <w:pStyle w:val="FirstParagraph"/>
      </w:pPr>
      <w:r>
        <w:rPr>
          <w:b/>
          <w:bCs/>
        </w:rPr>
        <w:t>Método de facturación.</w:t>
      </w:r>
      <w:r>
        <w:t xml:space="preserve"> El cobro es por </w:t>
      </w:r>
      <w:r>
        <w:rPr>
          <w:b/>
          <w:bCs/>
        </w:rPr>
        <w:t>suscripción</w:t>
      </w:r>
      <w:r>
        <w:t xml:space="preserve"> (mensual, o anual con descuento). El </w:t>
      </w:r>
      <w:r>
        <w:rPr>
          <w:b/>
          <w:bCs/>
        </w:rPr>
        <w:t>cobro real mediante pasarela de pago se pospone a una fase posterior</w:t>
      </w:r>
      <w:r>
        <w:t xml:space="preserve"> (RF-F.1); en la v2.0 el sistema gestiona el </w:t>
      </w:r>
      <w:r>
        <w:rPr>
          <w:b/>
          <w:bCs/>
        </w:rPr>
        <w:t>estado del plan y sus límites</w:t>
      </w:r>
      <w:r>
        <w:t xml:space="preserve"> (RN-003), y congela los beneficios si la suscripción no está al día.</w:t>
      </w:r>
    </w:p>
    <w:p w14:paraId="1CF30734" w14:textId="77777777" w:rsidR="00EF60F7" w:rsidRDefault="00DD5D17">
      <w:pPr>
        <w:pStyle w:val="Textodebloque"/>
      </w:pPr>
      <w:r>
        <w:t xml:space="preserve">A diferencia de un freemium que oculta lo principal, en Zooki el plan gratuito incluye los grafos funcionando para que la clínica compruebe su valor </w:t>
      </w:r>
      <w:r>
        <w:rPr>
          <w:b/>
          <w:bCs/>
        </w:rPr>
        <w:t>antes</w:t>
      </w:r>
      <w:r>
        <w:t xml:space="preserve"> </w:t>
      </w:r>
      <w:r>
        <w:t>de pagar; lo que limita es el volumen. Ese es el gancho de conversión. Las capas avanzadas (aprendizaje del grafo con los datos de la propia clínica) se prevén para una versión posterior (RF-F.8) y serán un beneficio adicional del plan profesional.</w:t>
      </w:r>
    </w:p>
    <w:p w14:paraId="1CF30735" w14:textId="67AD4BE4" w:rsidR="00EF60F7" w:rsidRDefault="00DD5D17">
      <w:pPr>
        <w:pStyle w:val="FirstParagraph"/>
      </w:pPr>
      <w:r>
        <w:rPr>
          <w:b/>
          <w:bCs/>
        </w:rPr>
        <w:t>Referencia de mercado.</w:t>
      </w:r>
      <w:r>
        <w:t xml:space="preserve"> </w:t>
      </w:r>
      <w:hyperlink r:id="rId8">
        <w:r>
          <w:rPr>
            <w:rStyle w:val="Hipervnculo"/>
          </w:rPr>
          <w:t>OkVet</w:t>
        </w:r>
      </w:hyperlink>
      <w:r>
        <w:t xml:space="preserve">, un software veterinario colombiano, cobra </w:t>
      </w:r>
      <w:r>
        <w:rPr>
          <w:b/>
          <w:bCs/>
        </w:rPr>
        <w:t>$132.999 COP/mes</w:t>
      </w:r>
      <w:r>
        <w:t xml:space="preserve"> </w:t>
      </w:r>
      <w:r>
        <w:t>por su plan Pro (consultado el 5 de octubre de 2026), que incluye facturación electrónica, inventario y hospitalización; su plan gratuito admite 50 agendamientos al mes. Zooki se ubica por debajo porque no tiene esos módulos, pero ofrece el triage y el soporte a la decisión clínica, que aquel no tiene.</w:t>
      </w:r>
    </w:p>
    <w:p w14:paraId="1CF30736" w14:textId="77777777" w:rsidR="00EF60F7" w:rsidRDefault="00DD5D17">
      <w:pPr>
        <w:pStyle w:val="Ttulo1"/>
      </w:pPr>
      <w:bookmarkStart w:id="10" w:name="_791dbcbc4864fd328548d605c03b6d5ccf808f7"/>
      <w:bookmarkStart w:id="11" w:name="_Toc243684005"/>
      <w:bookmarkEnd w:id="8"/>
      <w:r>
        <w:lastRenderedPageBreak/>
        <w:t>5. Proyección de retorno (ROI)</w:t>
      </w:r>
      <w:bookmarkEnd w:id="11"/>
    </w:p>
    <w:p w14:paraId="1CF30737" w14:textId="77777777" w:rsidR="00EF60F7" w:rsidRDefault="00DD5D17">
      <w:pPr>
        <w:pStyle w:val="FirstParagraph"/>
      </w:pPr>
      <w:r>
        <w:rPr>
          <w:b/>
          <w:bCs/>
        </w:rPr>
        <w:t>Supuestos:</w:t>
      </w:r>
      <w:r>
        <w:t xml:space="preserve"> inversión inicial $5.800.000 · plan profesional </w:t>
      </w:r>
      <w:r>
        <w:rPr>
          <w:b/>
          <w:bCs/>
        </w:rPr>
        <w:t>$100.000/mes</w:t>
      </w:r>
      <w:r>
        <w:t xml:space="preserve"> </w:t>
      </w:r>
      <w:r>
        <w:t xml:space="preserve">por clínica (RN-008) · costo operativo de la plataforma ≈ $50.000/mes (hosting compartido, repartido entre todas las clínicas) · se consideran solo las clínicas de </w:t>
      </w:r>
      <w:r>
        <w:rPr>
          <w:b/>
          <w:bCs/>
        </w:rPr>
        <w:t>pago</w:t>
      </w:r>
      <w:r>
        <w:t>.</w:t>
      </w:r>
    </w:p>
    <w:p w14:paraId="1CF30738" w14:textId="77777777" w:rsidR="00EF60F7" w:rsidRDefault="00DD5D17">
      <w:pPr>
        <w:pStyle w:val="Rotulo"/>
      </w:pPr>
      <w:r>
        <w:t>Tabla 5</w:t>
      </w:r>
    </w:p>
    <w:p w14:paraId="1CF30739" w14:textId="77777777" w:rsidR="00EF60F7" w:rsidRDefault="00DD5D17">
      <w:pPr>
        <w:pStyle w:val="RotuloTitulo"/>
      </w:pPr>
      <w:r>
        <w:t>5. Proyección de retorno (ROI)</w:t>
      </w:r>
    </w:p>
    <w:tbl>
      <w:tblPr>
        <w:tblStyle w:val="Table"/>
        <w:tblW w:w="5000" w:type="pct"/>
        <w:tblLook w:val="0020" w:firstRow="1" w:lastRow="0" w:firstColumn="0" w:lastColumn="0" w:noHBand="0" w:noVBand="0"/>
      </w:tblPr>
      <w:tblGrid>
        <w:gridCol w:w="1523"/>
        <w:gridCol w:w="1444"/>
        <w:gridCol w:w="1931"/>
        <w:gridCol w:w="1444"/>
        <w:gridCol w:w="1180"/>
        <w:gridCol w:w="2038"/>
      </w:tblGrid>
      <w:tr w:rsidR="00EF60F7" w14:paraId="1CF30740" w14:textId="77777777" w:rsidTr="00853C0F">
        <w:trPr>
          <w:cnfStyle w:val="100000000000" w:firstRow="1" w:lastRow="0" w:firstColumn="0" w:lastColumn="0" w:oddVBand="0" w:evenVBand="0" w:oddHBand="0" w:evenHBand="0" w:firstRowFirstColumn="0" w:firstRowLastColumn="0" w:lastRowFirstColumn="0" w:lastRowLastColumn="0"/>
          <w:cantSplit/>
          <w:tblHeader/>
        </w:trPr>
        <w:tc>
          <w:tcPr>
            <w:tcW w:w="797" w:type="pct"/>
          </w:tcPr>
          <w:p w14:paraId="1CF3073A" w14:textId="77777777" w:rsidR="00EF60F7" w:rsidRDefault="00DD5D17" w:rsidP="00853C0F">
            <w:pPr>
              <w:pStyle w:val="Celda"/>
              <w:keepNext/>
            </w:pPr>
            <w:r>
              <w:t>Clínicas de pago</w:t>
            </w:r>
          </w:p>
        </w:tc>
        <w:tc>
          <w:tcPr>
            <w:tcW w:w="755" w:type="pct"/>
          </w:tcPr>
          <w:p w14:paraId="1CF3073B" w14:textId="77777777" w:rsidR="00EF60F7" w:rsidRDefault="00DD5D17" w:rsidP="00853C0F">
            <w:pPr>
              <w:pStyle w:val="Celda"/>
              <w:keepNext/>
            </w:pPr>
            <w:r>
              <w:t>Ingreso anual</w:t>
            </w:r>
          </w:p>
        </w:tc>
        <w:tc>
          <w:tcPr>
            <w:tcW w:w="1010" w:type="pct"/>
          </w:tcPr>
          <w:p w14:paraId="1CF3073C" w14:textId="77777777" w:rsidR="00EF60F7" w:rsidRDefault="00DD5D17" w:rsidP="00853C0F">
            <w:pPr>
              <w:pStyle w:val="Celda"/>
              <w:keepNext/>
            </w:pPr>
            <w:r>
              <w:t>Costo operativo anual</w:t>
            </w:r>
          </w:p>
        </w:tc>
        <w:tc>
          <w:tcPr>
            <w:tcW w:w="755" w:type="pct"/>
          </w:tcPr>
          <w:p w14:paraId="1CF3073D" w14:textId="77777777" w:rsidR="00EF60F7" w:rsidRDefault="00DD5D17" w:rsidP="00853C0F">
            <w:pPr>
              <w:pStyle w:val="Celda"/>
              <w:keepNext/>
            </w:pPr>
            <w:r>
              <w:t>Utilidad anual</w:t>
            </w:r>
          </w:p>
        </w:tc>
        <w:tc>
          <w:tcPr>
            <w:tcW w:w="617" w:type="pct"/>
          </w:tcPr>
          <w:p w14:paraId="1CF3073E" w14:textId="77777777" w:rsidR="00EF60F7" w:rsidRDefault="00DD5D17" w:rsidP="00853C0F">
            <w:pPr>
              <w:pStyle w:val="Celda"/>
              <w:keepNext/>
            </w:pPr>
            <w:r>
              <w:t>ROI 1.er año</w:t>
            </w:r>
          </w:p>
        </w:tc>
        <w:tc>
          <w:tcPr>
            <w:tcW w:w="1067" w:type="pct"/>
          </w:tcPr>
          <w:p w14:paraId="1CF3073F" w14:textId="77777777" w:rsidR="00EF60F7" w:rsidRDefault="00DD5D17" w:rsidP="00853C0F">
            <w:pPr>
              <w:pStyle w:val="Celda"/>
              <w:keepNext/>
            </w:pPr>
            <w:r>
              <w:t>Recuperación (payback)</w:t>
            </w:r>
          </w:p>
        </w:tc>
      </w:tr>
      <w:tr w:rsidR="00EF60F7" w14:paraId="1CF30747" w14:textId="77777777" w:rsidTr="00853C0F">
        <w:trPr>
          <w:cantSplit/>
        </w:trPr>
        <w:tc>
          <w:tcPr>
            <w:tcW w:w="797" w:type="pct"/>
          </w:tcPr>
          <w:p w14:paraId="1CF30741" w14:textId="77777777" w:rsidR="00EF60F7" w:rsidRDefault="00DD5D17" w:rsidP="00853C0F">
            <w:pPr>
              <w:pStyle w:val="Celda"/>
              <w:keepNext/>
            </w:pPr>
            <w:r>
              <w:t>3</w:t>
            </w:r>
          </w:p>
        </w:tc>
        <w:tc>
          <w:tcPr>
            <w:tcW w:w="755" w:type="pct"/>
          </w:tcPr>
          <w:p w14:paraId="1CF30742" w14:textId="77777777" w:rsidR="00EF60F7" w:rsidRDefault="00DD5D17" w:rsidP="00853C0F">
            <w:pPr>
              <w:pStyle w:val="Celda"/>
              <w:keepNext/>
            </w:pPr>
            <w:r>
              <w:t>$3.600.000</w:t>
            </w:r>
          </w:p>
        </w:tc>
        <w:tc>
          <w:tcPr>
            <w:tcW w:w="1010" w:type="pct"/>
          </w:tcPr>
          <w:p w14:paraId="1CF30743" w14:textId="77777777" w:rsidR="00EF60F7" w:rsidRDefault="00DD5D17" w:rsidP="00853C0F">
            <w:pPr>
              <w:pStyle w:val="Celda"/>
              <w:keepNext/>
            </w:pPr>
            <w:r>
              <w:t>$600.000</w:t>
            </w:r>
          </w:p>
        </w:tc>
        <w:tc>
          <w:tcPr>
            <w:tcW w:w="755" w:type="pct"/>
          </w:tcPr>
          <w:p w14:paraId="1CF30744" w14:textId="77777777" w:rsidR="00EF60F7" w:rsidRDefault="00DD5D17" w:rsidP="00853C0F">
            <w:pPr>
              <w:pStyle w:val="Celda"/>
              <w:keepNext/>
            </w:pPr>
            <w:r>
              <w:t>$3.000.000</w:t>
            </w:r>
          </w:p>
        </w:tc>
        <w:tc>
          <w:tcPr>
            <w:tcW w:w="617" w:type="pct"/>
          </w:tcPr>
          <w:p w14:paraId="1CF30745" w14:textId="77777777" w:rsidR="00EF60F7" w:rsidRDefault="00DD5D17" w:rsidP="00853C0F">
            <w:pPr>
              <w:pStyle w:val="Celda"/>
              <w:keepNext/>
            </w:pPr>
            <w:r>
              <w:t>−</w:t>
            </w:r>
            <w:r>
              <w:t>48%</w:t>
            </w:r>
          </w:p>
        </w:tc>
        <w:tc>
          <w:tcPr>
            <w:tcW w:w="1067" w:type="pct"/>
          </w:tcPr>
          <w:p w14:paraId="1CF30746" w14:textId="77777777" w:rsidR="00EF60F7" w:rsidRDefault="00DD5D17" w:rsidP="00853C0F">
            <w:pPr>
              <w:pStyle w:val="Celda"/>
              <w:keepNext/>
            </w:pPr>
            <w:r>
              <w:t>~23 meses</w:t>
            </w:r>
          </w:p>
        </w:tc>
      </w:tr>
      <w:tr w:rsidR="00EF60F7" w14:paraId="1CF3074E" w14:textId="77777777" w:rsidTr="00853C0F">
        <w:trPr>
          <w:cantSplit/>
        </w:trPr>
        <w:tc>
          <w:tcPr>
            <w:tcW w:w="797" w:type="pct"/>
          </w:tcPr>
          <w:p w14:paraId="1CF30748" w14:textId="77777777" w:rsidR="00EF60F7" w:rsidRDefault="00DD5D17" w:rsidP="00853C0F">
            <w:pPr>
              <w:pStyle w:val="Celda"/>
              <w:keepNext/>
            </w:pPr>
            <w:r>
              <w:t>5</w:t>
            </w:r>
          </w:p>
        </w:tc>
        <w:tc>
          <w:tcPr>
            <w:tcW w:w="755" w:type="pct"/>
          </w:tcPr>
          <w:p w14:paraId="1CF30749" w14:textId="77777777" w:rsidR="00EF60F7" w:rsidRDefault="00DD5D17" w:rsidP="00853C0F">
            <w:pPr>
              <w:pStyle w:val="Celda"/>
              <w:keepNext/>
            </w:pPr>
            <w:r>
              <w:t>$6.000.000</w:t>
            </w:r>
          </w:p>
        </w:tc>
        <w:tc>
          <w:tcPr>
            <w:tcW w:w="1010" w:type="pct"/>
          </w:tcPr>
          <w:p w14:paraId="1CF3074A" w14:textId="77777777" w:rsidR="00EF60F7" w:rsidRDefault="00DD5D17" w:rsidP="00853C0F">
            <w:pPr>
              <w:pStyle w:val="Celda"/>
              <w:keepNext/>
            </w:pPr>
            <w:r>
              <w:t>$600.000</w:t>
            </w:r>
          </w:p>
        </w:tc>
        <w:tc>
          <w:tcPr>
            <w:tcW w:w="755" w:type="pct"/>
          </w:tcPr>
          <w:p w14:paraId="1CF3074B" w14:textId="77777777" w:rsidR="00EF60F7" w:rsidRDefault="00DD5D17" w:rsidP="00853C0F">
            <w:pPr>
              <w:pStyle w:val="Celda"/>
              <w:keepNext/>
            </w:pPr>
            <w:r>
              <w:t>$5.400.000</w:t>
            </w:r>
          </w:p>
        </w:tc>
        <w:tc>
          <w:tcPr>
            <w:tcW w:w="617" w:type="pct"/>
          </w:tcPr>
          <w:p w14:paraId="1CF3074C" w14:textId="77777777" w:rsidR="00EF60F7" w:rsidRDefault="00DD5D17" w:rsidP="00853C0F">
            <w:pPr>
              <w:pStyle w:val="Celda"/>
              <w:keepNext/>
            </w:pPr>
            <w:r>
              <w:t>−</w:t>
            </w:r>
            <w:r>
              <w:t>7%</w:t>
            </w:r>
          </w:p>
        </w:tc>
        <w:tc>
          <w:tcPr>
            <w:tcW w:w="1067" w:type="pct"/>
          </w:tcPr>
          <w:p w14:paraId="1CF3074D" w14:textId="77777777" w:rsidR="00EF60F7" w:rsidRDefault="00DD5D17" w:rsidP="00853C0F">
            <w:pPr>
              <w:pStyle w:val="Celda"/>
              <w:keepNext/>
            </w:pPr>
            <w:r>
              <w:t>~13 meses</w:t>
            </w:r>
          </w:p>
        </w:tc>
      </w:tr>
      <w:tr w:rsidR="00EF60F7" w14:paraId="1CF30755" w14:textId="77777777" w:rsidTr="00853C0F">
        <w:trPr>
          <w:cantSplit/>
        </w:trPr>
        <w:tc>
          <w:tcPr>
            <w:tcW w:w="797" w:type="pct"/>
          </w:tcPr>
          <w:p w14:paraId="1CF3074F" w14:textId="77777777" w:rsidR="00EF60F7" w:rsidRDefault="00DD5D17" w:rsidP="00853C0F">
            <w:pPr>
              <w:pStyle w:val="Celda"/>
              <w:keepNext/>
            </w:pPr>
            <w:r>
              <w:t>10</w:t>
            </w:r>
          </w:p>
        </w:tc>
        <w:tc>
          <w:tcPr>
            <w:tcW w:w="755" w:type="pct"/>
          </w:tcPr>
          <w:p w14:paraId="1CF30750" w14:textId="77777777" w:rsidR="00EF60F7" w:rsidRDefault="00DD5D17" w:rsidP="00853C0F">
            <w:pPr>
              <w:pStyle w:val="Celda"/>
              <w:keepNext/>
            </w:pPr>
            <w:r>
              <w:t>$12.000.000</w:t>
            </w:r>
          </w:p>
        </w:tc>
        <w:tc>
          <w:tcPr>
            <w:tcW w:w="1010" w:type="pct"/>
          </w:tcPr>
          <w:p w14:paraId="1CF30751" w14:textId="77777777" w:rsidR="00EF60F7" w:rsidRDefault="00DD5D17" w:rsidP="00853C0F">
            <w:pPr>
              <w:pStyle w:val="Celda"/>
              <w:keepNext/>
            </w:pPr>
            <w:r>
              <w:t>$600.000</w:t>
            </w:r>
          </w:p>
        </w:tc>
        <w:tc>
          <w:tcPr>
            <w:tcW w:w="755" w:type="pct"/>
          </w:tcPr>
          <w:p w14:paraId="1CF30752" w14:textId="77777777" w:rsidR="00EF60F7" w:rsidRDefault="00DD5D17" w:rsidP="00853C0F">
            <w:pPr>
              <w:pStyle w:val="Celda"/>
              <w:keepNext/>
            </w:pPr>
            <w:r>
              <w:t>$11.400.000</w:t>
            </w:r>
          </w:p>
        </w:tc>
        <w:tc>
          <w:tcPr>
            <w:tcW w:w="617" w:type="pct"/>
          </w:tcPr>
          <w:p w14:paraId="1CF30753" w14:textId="77777777" w:rsidR="00EF60F7" w:rsidRDefault="00DD5D17" w:rsidP="00853C0F">
            <w:pPr>
              <w:pStyle w:val="Celda"/>
              <w:keepNext/>
            </w:pPr>
            <w:r>
              <w:t>+97%</w:t>
            </w:r>
          </w:p>
        </w:tc>
        <w:tc>
          <w:tcPr>
            <w:tcW w:w="1067" w:type="pct"/>
          </w:tcPr>
          <w:p w14:paraId="1CF30754" w14:textId="77777777" w:rsidR="00EF60F7" w:rsidRDefault="00DD5D17" w:rsidP="00853C0F">
            <w:pPr>
              <w:pStyle w:val="Celda"/>
              <w:keepNext/>
            </w:pPr>
            <w:r>
              <w:t>~6 meses</w:t>
            </w:r>
          </w:p>
        </w:tc>
      </w:tr>
      <w:tr w:rsidR="00EF60F7" w14:paraId="1CF3075C" w14:textId="77777777" w:rsidTr="00853C0F">
        <w:trPr>
          <w:cantSplit/>
        </w:trPr>
        <w:tc>
          <w:tcPr>
            <w:tcW w:w="797" w:type="pct"/>
          </w:tcPr>
          <w:p w14:paraId="1CF30756" w14:textId="77777777" w:rsidR="00EF60F7" w:rsidRDefault="00DD5D17" w:rsidP="00853C0F">
            <w:pPr>
              <w:pStyle w:val="Celda"/>
              <w:keepNext/>
            </w:pPr>
            <w:r>
              <w:t>15</w:t>
            </w:r>
          </w:p>
        </w:tc>
        <w:tc>
          <w:tcPr>
            <w:tcW w:w="755" w:type="pct"/>
          </w:tcPr>
          <w:p w14:paraId="1CF30757" w14:textId="77777777" w:rsidR="00EF60F7" w:rsidRDefault="00DD5D17" w:rsidP="00853C0F">
            <w:pPr>
              <w:pStyle w:val="Celda"/>
              <w:keepNext/>
            </w:pPr>
            <w:r>
              <w:t>$18.000.000</w:t>
            </w:r>
          </w:p>
        </w:tc>
        <w:tc>
          <w:tcPr>
            <w:tcW w:w="1010" w:type="pct"/>
          </w:tcPr>
          <w:p w14:paraId="1CF30758" w14:textId="77777777" w:rsidR="00EF60F7" w:rsidRDefault="00DD5D17" w:rsidP="00853C0F">
            <w:pPr>
              <w:pStyle w:val="Celda"/>
              <w:keepNext/>
            </w:pPr>
            <w:r>
              <w:t>$600.000</w:t>
            </w:r>
          </w:p>
        </w:tc>
        <w:tc>
          <w:tcPr>
            <w:tcW w:w="755" w:type="pct"/>
          </w:tcPr>
          <w:p w14:paraId="1CF30759" w14:textId="77777777" w:rsidR="00EF60F7" w:rsidRDefault="00DD5D17" w:rsidP="00853C0F">
            <w:pPr>
              <w:pStyle w:val="Celda"/>
              <w:keepNext/>
            </w:pPr>
            <w:r>
              <w:t>$17.400.000</w:t>
            </w:r>
          </w:p>
        </w:tc>
        <w:tc>
          <w:tcPr>
            <w:tcW w:w="617" w:type="pct"/>
          </w:tcPr>
          <w:p w14:paraId="1CF3075A" w14:textId="77777777" w:rsidR="00EF60F7" w:rsidRDefault="00DD5D17" w:rsidP="00853C0F">
            <w:pPr>
              <w:pStyle w:val="Celda"/>
              <w:keepNext/>
            </w:pPr>
            <w:r>
              <w:t>+200%</w:t>
            </w:r>
          </w:p>
        </w:tc>
        <w:tc>
          <w:tcPr>
            <w:tcW w:w="1067" w:type="pct"/>
          </w:tcPr>
          <w:p w14:paraId="1CF3075B" w14:textId="77777777" w:rsidR="00EF60F7" w:rsidRDefault="00DD5D17" w:rsidP="00853C0F">
            <w:pPr>
              <w:pStyle w:val="Celda"/>
              <w:keepNext/>
            </w:pPr>
            <w:r>
              <w:t>~4 meses</w:t>
            </w:r>
          </w:p>
        </w:tc>
      </w:tr>
      <w:tr w:rsidR="00EF60F7" w14:paraId="1CF30763" w14:textId="77777777" w:rsidTr="00853C0F">
        <w:trPr>
          <w:cantSplit/>
        </w:trPr>
        <w:tc>
          <w:tcPr>
            <w:tcW w:w="797" w:type="pct"/>
          </w:tcPr>
          <w:p w14:paraId="1CF3075D" w14:textId="77777777" w:rsidR="00EF60F7" w:rsidRDefault="00DD5D17">
            <w:pPr>
              <w:pStyle w:val="Celda"/>
            </w:pPr>
            <w:r>
              <w:t>20</w:t>
            </w:r>
          </w:p>
        </w:tc>
        <w:tc>
          <w:tcPr>
            <w:tcW w:w="755" w:type="pct"/>
          </w:tcPr>
          <w:p w14:paraId="1CF3075E" w14:textId="77777777" w:rsidR="00EF60F7" w:rsidRDefault="00DD5D17">
            <w:pPr>
              <w:pStyle w:val="Celda"/>
            </w:pPr>
            <w:r>
              <w:t>$24.000.000</w:t>
            </w:r>
          </w:p>
        </w:tc>
        <w:tc>
          <w:tcPr>
            <w:tcW w:w="1010" w:type="pct"/>
          </w:tcPr>
          <w:p w14:paraId="1CF3075F" w14:textId="77777777" w:rsidR="00EF60F7" w:rsidRDefault="00DD5D17">
            <w:pPr>
              <w:pStyle w:val="Celda"/>
            </w:pPr>
            <w:r>
              <w:t>$600.000</w:t>
            </w:r>
          </w:p>
        </w:tc>
        <w:tc>
          <w:tcPr>
            <w:tcW w:w="755" w:type="pct"/>
          </w:tcPr>
          <w:p w14:paraId="1CF30760" w14:textId="77777777" w:rsidR="00EF60F7" w:rsidRDefault="00DD5D17">
            <w:pPr>
              <w:pStyle w:val="Celda"/>
            </w:pPr>
            <w:r>
              <w:t>$23.400.000</w:t>
            </w:r>
          </w:p>
        </w:tc>
        <w:tc>
          <w:tcPr>
            <w:tcW w:w="617" w:type="pct"/>
          </w:tcPr>
          <w:p w14:paraId="1CF30761" w14:textId="77777777" w:rsidR="00EF60F7" w:rsidRDefault="00DD5D17">
            <w:pPr>
              <w:pStyle w:val="Celda"/>
            </w:pPr>
            <w:r>
              <w:t>+303%</w:t>
            </w:r>
          </w:p>
        </w:tc>
        <w:tc>
          <w:tcPr>
            <w:tcW w:w="1067" w:type="pct"/>
          </w:tcPr>
          <w:p w14:paraId="1CF30762" w14:textId="77777777" w:rsidR="00EF60F7" w:rsidRDefault="00DD5D17">
            <w:pPr>
              <w:pStyle w:val="Celda"/>
            </w:pPr>
            <w:r>
              <w:t>~3 meses</w:t>
            </w:r>
          </w:p>
        </w:tc>
      </w:tr>
    </w:tbl>
    <w:p w14:paraId="1CF30764" w14:textId="77777777" w:rsidR="00EF60F7" w:rsidRDefault="00DD5D17">
      <w:pPr>
        <w:pStyle w:val="FirstParagraph"/>
      </w:pPr>
      <w:r>
        <w:rPr>
          <w:b/>
          <w:bCs/>
        </w:rPr>
        <w:t>Fórmulas usadas:</w:t>
      </w:r>
    </w:p>
    <w:p w14:paraId="1CF30765" w14:textId="77777777" w:rsidR="00EF60F7" w:rsidRDefault="00DD5D17">
      <w:pPr>
        <w:pStyle w:val="Compact"/>
        <w:numPr>
          <w:ilvl w:val="0"/>
          <w:numId w:val="2"/>
        </w:numPr>
      </w:pPr>
      <w:r>
        <w:t>Utilidad anual = Ingreso anual − Costo operativo anual.</w:t>
      </w:r>
    </w:p>
    <w:p w14:paraId="1CF30766" w14:textId="77777777" w:rsidR="00EF60F7" w:rsidRDefault="00DD5D17">
      <w:pPr>
        <w:pStyle w:val="Compact"/>
        <w:numPr>
          <w:ilvl w:val="0"/>
          <w:numId w:val="2"/>
        </w:numPr>
      </w:pPr>
      <w:r>
        <w:t>ROI 1.er año = (Utilidad anual − Inversión inicial) ÷ Inversión inicial × 100.</w:t>
      </w:r>
    </w:p>
    <w:p w14:paraId="1CF30767" w14:textId="77777777" w:rsidR="00EF60F7" w:rsidRDefault="00DD5D17">
      <w:pPr>
        <w:pStyle w:val="Compact"/>
        <w:numPr>
          <w:ilvl w:val="0"/>
          <w:numId w:val="2"/>
        </w:numPr>
      </w:pPr>
      <w:r>
        <w:t>Recuperación (meses) = Inversión inicial ÷ (ingreso mensual − costo operativo mensual).</w:t>
      </w:r>
    </w:p>
    <w:p w14:paraId="1CF30768" w14:textId="77777777" w:rsidR="00EF60F7" w:rsidRDefault="00DD5D17">
      <w:pPr>
        <w:pStyle w:val="FirstParagraph"/>
      </w:pPr>
      <w:r>
        <w:rPr>
          <w:b/>
          <w:bCs/>
        </w:rPr>
        <w:t>Lectura.</w:t>
      </w:r>
      <w:r>
        <w:t xml:space="preserve"> Con 3 clínicas de pago la inversión tarda casi dos años en recuperarse, y con 5 apenas pasa del año (unos 13 meses). A partir de </w:t>
      </w:r>
      <w:r>
        <w:rPr>
          <w:b/>
          <w:bCs/>
        </w:rPr>
        <w:t>6 clínicas</w:t>
      </w:r>
      <w:r>
        <w:t xml:space="preserve"> </w:t>
      </w:r>
      <w:r>
        <w:t>se recupera dentro del primer año, y de ahí hacia arriba el retorno crece rápido (con 20 clínicas el ROI del primer año supera el 300%), porque el costo marginal de atender una clínica más es casi nulo: la misma instancia multi-inquilino sirve a todas. Si las clínicas pagan el año por anticipado ($80.000 de mes efectivo), el ingreso baja un 20 % pero mejora la caja inicial.</w:t>
      </w:r>
    </w:p>
    <w:p w14:paraId="1CF30769" w14:textId="77777777" w:rsidR="00EF60F7" w:rsidRDefault="00DD5D17">
      <w:pPr>
        <w:pStyle w:val="Ttulo1"/>
      </w:pPr>
      <w:bookmarkStart w:id="12" w:name="_afab96c44a53d29fc6abffd1c54620121564c07"/>
      <w:bookmarkStart w:id="13" w:name="_Toc243684006"/>
      <w:bookmarkEnd w:id="10"/>
      <w:r>
        <w:lastRenderedPageBreak/>
        <w:t>6. Punto de equilibrio</w:t>
      </w:r>
      <w:bookmarkEnd w:id="13"/>
    </w:p>
    <w:p w14:paraId="1CF3076A" w14:textId="77777777" w:rsidR="00EF60F7" w:rsidRDefault="00DD5D17">
      <w:pPr>
        <w:pStyle w:val="FirstParagraph"/>
      </w:pPr>
      <w:r>
        <w:t xml:space="preserve">Con los supuestos anteriores, el </w:t>
      </w:r>
      <w:r>
        <w:rPr>
          <w:b/>
          <w:bCs/>
        </w:rPr>
        <w:t>punto de equilibrio operativo</w:t>
      </w:r>
      <w:r>
        <w:t xml:space="preserve"> </w:t>
      </w:r>
      <w:r>
        <w:t xml:space="preserve">(cubrir el costo mensual de la plataforma) se alcanza con </w:t>
      </w:r>
      <w:r>
        <w:rPr>
          <w:b/>
          <w:bCs/>
        </w:rPr>
        <w:t>1 clínica de pago</w:t>
      </w:r>
      <w:r>
        <w:t xml:space="preserve"> ($100.000 &gt; $50.000/mes). El </w:t>
      </w:r>
      <w:r>
        <w:rPr>
          <w:b/>
          <w:bCs/>
        </w:rPr>
        <w:t>punto de equilibrio de la inversión</w:t>
      </w:r>
      <w:r>
        <w:t xml:space="preserve"> (recuperar los $5.800.000 dentro del primer año) se logra con </w:t>
      </w:r>
      <w:r>
        <w:rPr>
          <w:b/>
          <w:bCs/>
        </w:rPr>
        <w:t>6 clínicas</w:t>
      </w:r>
      <w:r>
        <w:t xml:space="preserve"> que pagan mes a mes (unos 10,5 meses), o con </w:t>
      </w:r>
      <w:r>
        <w:rPr>
          <w:b/>
          <w:bCs/>
        </w:rPr>
        <w:t>7</w:t>
      </w:r>
      <w:r>
        <w:t xml:space="preserve"> si todas pagan el año anticipado. Con 10 clínicas se recupera en unos 6 meses y con 20 en unos 3.</w:t>
      </w:r>
    </w:p>
    <w:p w14:paraId="1CF3076B" w14:textId="77777777" w:rsidR="00EF60F7" w:rsidRDefault="00DD5D17">
      <w:pPr>
        <w:pStyle w:val="Ttulo1"/>
      </w:pPr>
      <w:bookmarkStart w:id="14" w:name="_1cbe416c0381e2b19f7c3fdc908c127d480d585"/>
      <w:bookmarkStart w:id="15" w:name="_Toc243684007"/>
      <w:bookmarkEnd w:id="12"/>
      <w:r>
        <w:lastRenderedPageBreak/>
        <w:t>7. Supuestos y notas</w:t>
      </w:r>
      <w:bookmarkEnd w:id="15"/>
    </w:p>
    <w:p w14:paraId="1CF3076C" w14:textId="77777777" w:rsidR="00EF60F7" w:rsidRDefault="00DD5D17">
      <w:pPr>
        <w:pStyle w:val="Compact"/>
        <w:numPr>
          <w:ilvl w:val="0"/>
          <w:numId w:val="3"/>
        </w:numPr>
      </w:pPr>
      <w:r>
        <w:t xml:space="preserve">Los </w:t>
      </w:r>
      <w:r>
        <w:rPr>
          <w:b/>
          <w:bCs/>
        </w:rPr>
        <w:t>límites</w:t>
      </w:r>
      <w:r>
        <w:t xml:space="preserve"> del plan gratuito (RN-003) y el </w:t>
      </w:r>
      <w:r>
        <w:rPr>
          <w:b/>
          <w:bCs/>
        </w:rPr>
        <w:t>precio</w:t>
      </w:r>
      <w:r>
        <w:t xml:space="preserve"> </w:t>
      </w:r>
      <w:r>
        <w:t>del plan profesional (RN-008) están fijados en las reglas de negocio. El precio es el inicial: el super-administrador puede cambiarlo en el catálogo de planes.</w:t>
      </w:r>
    </w:p>
    <w:p w14:paraId="1CF3076D" w14:textId="77777777" w:rsidR="00EF60F7" w:rsidRDefault="00DD5D17">
      <w:pPr>
        <w:pStyle w:val="Compact"/>
        <w:numPr>
          <w:ilvl w:val="0"/>
          <w:numId w:val="3"/>
        </w:numPr>
      </w:pPr>
      <w:r>
        <w:t xml:space="preserve">Las </w:t>
      </w:r>
      <w:r>
        <w:rPr>
          <w:b/>
          <w:bCs/>
        </w:rPr>
        <w:t>145 h</w:t>
      </w:r>
      <w:r>
        <w:t xml:space="preserve"> son una estimación (no se llevó registro de horas) y aumentan con el desarrollo; cambiarlas cambia la inversión y la recuperación en la misma proporción.</w:t>
      </w:r>
    </w:p>
    <w:p w14:paraId="1CF3076E" w14:textId="77777777" w:rsidR="00EF60F7" w:rsidRDefault="00DD5D17">
      <w:pPr>
        <w:pStyle w:val="Compact"/>
        <w:numPr>
          <w:ilvl w:val="0"/>
          <w:numId w:val="3"/>
        </w:numPr>
      </w:pPr>
      <w:r>
        <w:t>Se supone que todas las clínicas de pago pagan desde el primer mes; una adopción gradual alarga la recuperación.</w:t>
      </w:r>
    </w:p>
    <w:p w14:paraId="1CF3076F" w14:textId="77777777" w:rsidR="00EF60F7" w:rsidRDefault="00DD5D17">
      <w:pPr>
        <w:pStyle w:val="Compact"/>
        <w:numPr>
          <w:ilvl w:val="0"/>
          <w:numId w:val="3"/>
        </w:numPr>
      </w:pPr>
      <w:r>
        <w:t>Montos en COP; USD a TRM $3.273 (5-oct-2026), solo de referencia.</w:t>
      </w:r>
    </w:p>
    <w:p w14:paraId="1CF30770" w14:textId="77777777" w:rsidR="00EF60F7" w:rsidRDefault="00DD5D17">
      <w:pPr>
        <w:pStyle w:val="Compact"/>
        <w:numPr>
          <w:ilvl w:val="0"/>
          <w:numId w:val="3"/>
        </w:numPr>
      </w:pPr>
      <w:r>
        <w:t xml:space="preserve">El </w:t>
      </w:r>
      <w:r>
        <w:rPr>
          <w:b/>
          <w:bCs/>
        </w:rPr>
        <w:t>costo operativo</w:t>
      </w:r>
      <w:r>
        <w:t xml:space="preserve"> y el </w:t>
      </w:r>
      <w:r>
        <w:rPr>
          <w:b/>
          <w:bCs/>
        </w:rPr>
        <w:t>número de clínicas</w:t>
      </w:r>
      <w:r>
        <w:t xml:space="preserve"> son parámetros editables; cámbialos para ver otros escenarios.</w:t>
      </w:r>
    </w:p>
    <w:p w14:paraId="1CF30771" w14:textId="77777777" w:rsidR="00EF60F7" w:rsidRDefault="00DD5D17">
      <w:pPr>
        <w:pStyle w:val="Compact"/>
        <w:numPr>
          <w:ilvl w:val="0"/>
          <w:numId w:val="3"/>
        </w:numPr>
      </w:pPr>
      <w:r>
        <w:t>No se incluye impuesto ni pasarela de pago (fase futura); tampoco costos de marketing o soporte, que escalarían con la adopción.</w:t>
      </w:r>
    </w:p>
    <w:p w14:paraId="1CF30772" w14:textId="77777777" w:rsidR="00EF60F7" w:rsidRDefault="00DD5D17">
      <w:pPr>
        <w:pStyle w:val="Compact"/>
        <w:numPr>
          <w:ilvl w:val="0"/>
          <w:numId w:val="3"/>
        </w:numPr>
      </w:pPr>
      <w:r>
        <w:t>Los servicios externos se usan en su plan gratuito, que tiene topes: Brevo, por ejemplo, permite 300 correos al día. Con muchas clínicas los recordatorios superan ese tope y el costo operativo debe incluir un plan de pago de correo.</w:t>
      </w:r>
    </w:p>
    <w:p w14:paraId="1CF30773" w14:textId="77777777" w:rsidR="00EF60F7" w:rsidRDefault="00DD5D17">
      <w:pPr>
        <w:pStyle w:val="Compact"/>
        <w:numPr>
          <w:ilvl w:val="0"/>
          <w:numId w:val="3"/>
        </w:numPr>
      </w:pPr>
      <w:r>
        <w:t xml:space="preserve">La ventaja económica del modelo SaaS multi-inquilino es que el costo de infraestructura se </w:t>
      </w:r>
      <w:r>
        <w:rPr>
          <w:b/>
          <w:bCs/>
        </w:rPr>
        <w:t>comparte</w:t>
      </w:r>
      <w:r>
        <w:t xml:space="preserve"> entre todas las clínicas: sumar una clínica más casi no agrega costo.</w:t>
      </w:r>
    </w:p>
    <w:p w14:paraId="1CF30774" w14:textId="77777777" w:rsidR="00EF60F7" w:rsidRDefault="00DD5D17">
      <w:pPr>
        <w:pStyle w:val="FirstParagraph"/>
      </w:pPr>
      <w:r>
        <w:rPr>
          <w:i/>
          <w:iCs/>
        </w:rPr>
        <w:t>Documento elaborado por Juan Sebastián Carvajal Home — Ficha 3142784 · SENA, Florencia (Caquetá) · 2026. Uso académico.</w:t>
      </w:r>
      <w:bookmarkEnd w:id="14"/>
    </w:p>
    <w:sectPr w:rsidR="00EF60F7">
      <w:headerReference w:type="default" r:id="rId9"/>
      <w:footerReference w:type="default" r:id="rId10"/>
      <w:headerReference w:type="first" r:id="rId11"/>
      <w:footerReference w:type="first" r:id="rId12"/>
      <w:footnotePr>
        <w:numRestart w:val="eachSect"/>
      </w:footnotePr>
      <w:pgSz w:w="12240" w:h="15840"/>
      <w:pgMar w:top="1928" w:right="1440" w:bottom="1474" w:left="1440"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627FA" w14:textId="77777777" w:rsidR="00DD5D17" w:rsidRDefault="00DD5D17">
      <w:pPr>
        <w:spacing w:after="0" w:line="240" w:lineRule="auto"/>
      </w:pPr>
      <w:r>
        <w:separator/>
      </w:r>
    </w:p>
  </w:endnote>
  <w:endnote w:type="continuationSeparator" w:id="0">
    <w:p w14:paraId="030CF52E" w14:textId="77777777" w:rsidR="00DD5D17" w:rsidRDefault="00DD5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3077E" w14:textId="77777777" w:rsidR="00EF60F7" w:rsidRDefault="00DD5D17">
    <w:pPr>
      <w:pBdr>
        <w:top w:val="single" w:sz="6" w:space="4" w:color="404040"/>
      </w:pBdr>
      <w:spacing w:after="0" w:line="240" w:lineRule="auto"/>
      <w:jc w:val="right"/>
    </w:pPr>
    <w:r>
      <w:rPr>
        <w:color w:val="1F3864"/>
        <w:sz w:val="16"/>
        <w:szCs w:val="16"/>
      </w:rPr>
      <w:t>Servicio Nacional de Aprendizaje (SENA) · Ficha 3142784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30780" w14:textId="77777777" w:rsidR="00EF60F7" w:rsidRDefault="00EF60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78A5F" w14:textId="77777777" w:rsidR="00DD5D17" w:rsidRDefault="00DD5D17">
      <w:pPr>
        <w:spacing w:after="0" w:line="240" w:lineRule="auto"/>
      </w:pPr>
      <w:r>
        <w:separator/>
      </w:r>
    </w:p>
  </w:footnote>
  <w:footnote w:type="continuationSeparator" w:id="0">
    <w:p w14:paraId="1CCB77A5" w14:textId="77777777" w:rsidR="00DD5D17" w:rsidRDefault="00DD5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
      <w:tblW w:w="9360" w:type="dxa"/>
      <w:tblLayout w:type="fixed"/>
      <w:tblCellMar>
        <w:left w:w="0" w:type="dxa"/>
        <w:right w:w="0" w:type="dxa"/>
      </w:tblCellMar>
      <w:tblLook w:val="04A0" w:firstRow="1" w:lastRow="0" w:firstColumn="1" w:lastColumn="0" w:noHBand="0" w:noVBand="1"/>
    </w:tblPr>
    <w:tblGrid>
      <w:gridCol w:w="2200"/>
      <w:gridCol w:w="4960"/>
      <w:gridCol w:w="2200"/>
    </w:tblGrid>
    <w:tr w:rsidR="00EF60F7" w14:paraId="1CF3077C" w14:textId="77777777" w:rsidTr="00EF60F7">
      <w:trPr>
        <w:cnfStyle w:val="100000000000" w:firstRow="1" w:lastRow="0" w:firstColumn="0" w:lastColumn="0" w:oddVBand="0" w:evenVBand="0" w:oddHBand="0" w:evenHBand="0" w:firstRowFirstColumn="0" w:firstRowLastColumn="0" w:lastRowFirstColumn="0" w:lastRowLastColumn="0"/>
      </w:trPr>
      <w:tc>
        <w:tcPr>
          <w:tcW w:w="2200" w:type="dxa"/>
          <w:tcBorders>
            <w:bottom w:val="single" w:sz="6" w:space="0" w:color="404040"/>
          </w:tcBorders>
        </w:tcPr>
        <w:p w14:paraId="1CF30777" w14:textId="77777777" w:rsidR="00EF60F7" w:rsidRDefault="00DD5D17">
          <w:pPr>
            <w:spacing w:after="0" w:line="240" w:lineRule="auto"/>
          </w:pPr>
          <w:r>
            <w:rPr>
              <w:noProof/>
            </w:rPr>
            <w:drawing>
              <wp:inline distT="0" distB="0" distL="0" distR="0" wp14:anchorId="1CF30781" wp14:editId="1CF30782">
                <wp:extent cx="324000" cy="324000"/>
                <wp:effectExtent l="0" t="0" r="0" b="0"/>
                <wp:docPr id="9001" name="Logo Zooki"/>
                <wp:cNvGraphicFramePr/>
                <a:graphic xmlns:a="http://schemas.openxmlformats.org/drawingml/2006/main">
                  <a:graphicData uri="http://schemas.openxmlformats.org/drawingml/2006/picture">
                    <pic:pic xmlns:pic="http://schemas.openxmlformats.org/drawingml/2006/picture">
                      <pic:nvPicPr>
                        <pic:cNvPr id="9001" name="logo.png"/>
                        <pic:cNvPicPr/>
                      </pic:nvPicPr>
                      <pic:blipFill>
                        <a:blip r:embed="rId1"/>
                        <a:stretch>
                          <a:fillRect/>
                        </a:stretch>
                      </pic:blipFill>
                      <pic:spPr>
                        <a:xfrm>
                          <a:off x="0" y="0"/>
                          <a:ext cx="324000" cy="324000"/>
                        </a:xfrm>
                        <a:prstGeom prst="rect">
                          <a:avLst/>
                        </a:prstGeom>
                      </pic:spPr>
                    </pic:pic>
                  </a:graphicData>
                </a:graphic>
              </wp:inline>
            </w:drawing>
          </w:r>
          <w:r>
            <w:rPr>
              <w:color w:val="1565C0"/>
              <w:sz w:val="26"/>
              <w:szCs w:val="26"/>
            </w:rPr>
            <w:t xml:space="preserve"> Zooki</w:t>
          </w:r>
        </w:p>
      </w:tc>
      <w:tc>
        <w:tcPr>
          <w:tcW w:w="4960" w:type="dxa"/>
          <w:tcBorders>
            <w:bottom w:val="single" w:sz="6" w:space="0" w:color="404040"/>
          </w:tcBorders>
        </w:tcPr>
        <w:p w14:paraId="1CF30778" w14:textId="77777777" w:rsidR="00EF60F7" w:rsidRDefault="00DD5D17">
          <w:pPr>
            <w:spacing w:after="0" w:line="240" w:lineRule="auto"/>
            <w:jc w:val="center"/>
          </w:pPr>
          <w:r>
            <w:rPr>
              <w:sz w:val="17"/>
              <w:szCs w:val="17"/>
            </w:rPr>
            <w:t>Zooki v2.0</w:t>
          </w:r>
        </w:p>
        <w:p w14:paraId="1CF30779" w14:textId="77777777" w:rsidR="00EF60F7" w:rsidRDefault="00DD5D17">
          <w:pPr>
            <w:spacing w:after="0" w:line="240" w:lineRule="auto"/>
            <w:jc w:val="center"/>
          </w:pPr>
          <w:r>
            <w:rPr>
              <w:sz w:val="17"/>
              <w:szCs w:val="17"/>
            </w:rPr>
            <w:t>Presupuesto y Retorno de la Inversión (ROI)</w:t>
          </w:r>
        </w:p>
      </w:tc>
      <w:tc>
        <w:tcPr>
          <w:tcW w:w="2200" w:type="dxa"/>
          <w:tcBorders>
            <w:bottom w:val="single" w:sz="6" w:space="0" w:color="404040"/>
          </w:tcBorders>
        </w:tcPr>
        <w:p w14:paraId="1CF3077A" w14:textId="77777777" w:rsidR="00EF60F7" w:rsidRDefault="00DD5D17">
          <w:pPr>
            <w:spacing w:after="0" w:line="240" w:lineRule="auto"/>
            <w:jc w:val="right"/>
          </w:pPr>
          <w:r>
            <w:rPr>
              <w:sz w:val="17"/>
              <w:szCs w:val="17"/>
            </w:rPr>
            <w:t>Rev. 1.0</w:t>
          </w:r>
        </w:p>
        <w:p w14:paraId="1CF3077B" w14:textId="77777777" w:rsidR="00EF60F7" w:rsidRDefault="00DD5D17">
          <w:pPr>
            <w:spacing w:after="0" w:line="240" w:lineRule="auto"/>
            <w:jc w:val="right"/>
          </w:pPr>
          <w:r>
            <w:rPr>
              <w:sz w:val="17"/>
              <w:szCs w:val="17"/>
            </w:rPr>
            <w:t xml:space="preserve">Pág. </w:t>
          </w:r>
          <w:r>
            <w:rPr>
              <w:sz w:val="17"/>
              <w:szCs w:val="17"/>
            </w:rPr>
            <w:fldChar w:fldCharType="begin"/>
          </w:r>
          <w:r>
            <w:rPr>
              <w:sz w:val="17"/>
              <w:szCs w:val="17"/>
            </w:rPr>
            <w:instrText xml:space="preserve"> PAGE </w:instrText>
          </w:r>
          <w:r>
            <w:rPr>
              <w:sz w:val="17"/>
              <w:szCs w:val="17"/>
            </w:rPr>
            <w:fldChar w:fldCharType="separate"/>
          </w:r>
          <w:r>
            <w:rPr>
              <w:sz w:val="17"/>
              <w:szCs w:val="17"/>
            </w:rPr>
            <w:t>1</w:t>
          </w:r>
          <w:r>
            <w:rPr>
              <w:sz w:val="17"/>
              <w:szCs w:val="17"/>
            </w:rPr>
            <w:fldChar w:fldCharType="end"/>
          </w:r>
        </w:p>
      </w:tc>
    </w:tr>
  </w:tbl>
  <w:p w14:paraId="1CF3077D" w14:textId="77777777" w:rsidR="00EF60F7" w:rsidRDefault="00EF60F7">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3077F" w14:textId="77777777" w:rsidR="00EF60F7" w:rsidRDefault="00EF60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A211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068BE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45779396">
    <w:abstractNumId w:val="0"/>
  </w:num>
  <w:num w:numId="2" w16cid:durableId="109904621">
    <w:abstractNumId w:val="1"/>
  </w:num>
  <w:num w:numId="3" w16cid:durableId="379403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F60F7"/>
    <w:rsid w:val="0001095C"/>
    <w:rsid w:val="00853C0F"/>
    <w:rsid w:val="00DD5D17"/>
    <w:rsid w:val="00EF6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306A0"/>
  <w15:docId w15:val="{64C7579B-47D2-4920-893C-D2DF20C3A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pPr>
        <w:spacing w:after="120" w:line="288" w:lineRule="auto"/>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qFormat/>
    <w:pPr>
      <w:keepNext/>
      <w:keepLines/>
      <w:pageBreakBefore/>
      <w:spacing w:after="200" w:line="240" w:lineRule="auto"/>
      <w:outlineLvl w:val="0"/>
    </w:pPr>
    <w:rPr>
      <w:b/>
      <w:bCs/>
      <w:sz w:val="32"/>
      <w:szCs w:val="32"/>
    </w:rPr>
  </w:style>
  <w:style w:type="paragraph" w:styleId="Ttulo2">
    <w:name w:val="heading 2"/>
    <w:basedOn w:val="Normal"/>
    <w:next w:val="Textoindependiente"/>
    <w:qFormat/>
    <w:pPr>
      <w:keepNext/>
      <w:keepLines/>
      <w:spacing w:before="280" w:line="240" w:lineRule="auto"/>
      <w:outlineLvl w:val="1"/>
    </w:pPr>
    <w:rPr>
      <w:b/>
      <w:bCs/>
      <w:sz w:val="26"/>
      <w:szCs w:val="26"/>
    </w:rPr>
  </w:style>
  <w:style w:type="paragraph" w:styleId="Ttulo3">
    <w:name w:val="heading 3"/>
    <w:basedOn w:val="Normal"/>
    <w:next w:val="Textoindependiente"/>
    <w:qFormat/>
    <w:pPr>
      <w:keepNext/>
      <w:keepLines/>
      <w:spacing w:before="240" w:after="80" w:line="240" w:lineRule="auto"/>
      <w:outlineLvl w:val="2"/>
    </w:pPr>
    <w:rPr>
      <w:b/>
      <w:bCs/>
      <w:sz w:val="23"/>
      <w:szCs w:val="23"/>
    </w:rPr>
  </w:style>
  <w:style w:type="paragraph" w:styleId="Ttulo4">
    <w:name w:val="heading 4"/>
    <w:basedOn w:val="Normal"/>
    <w:next w:val="Textoindependiente"/>
    <w:qFormat/>
    <w:pPr>
      <w:keepNext/>
      <w:keepLines/>
      <w:spacing w:before="200" w:after="80" w:line="240" w:lineRule="auto"/>
      <w:outlineLvl w:val="3"/>
    </w:pPr>
    <w:rPr>
      <w:b/>
      <w:bCs/>
    </w:rPr>
  </w:style>
  <w:style w:type="paragraph" w:styleId="Ttulo5">
    <w:name w:val="heading 5"/>
    <w:basedOn w:val="Normal"/>
    <w:next w:val="Textoindependiente"/>
    <w:qFormat/>
    <w:pPr>
      <w:keepNext/>
      <w:keepLines/>
      <w:spacing w:before="200" w:after="80" w:line="240" w:lineRule="auto"/>
      <w:outlineLvl w:val="4"/>
    </w:pPr>
    <w:rPr>
      <w:b/>
      <w:bCs/>
      <w:i/>
      <w:iCs/>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Textoindependiente"/>
    <w:link w:val="TtuloC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TextoindependienteCar">
    <w:name w:val="Texto independiente Car"/>
    <w:basedOn w:val="Fuentedeprrafopredeter"/>
    <w:link w:val="Textoindependiente"/>
  </w:style>
  <w:style w:type="character" w:customStyle="1" w:styleId="SectionNumber">
    <w:name w:val="Section Number"/>
    <w:basedOn w:val="TextoindependienteCar"/>
  </w:style>
  <w:style w:type="character" w:styleId="Refdenotaalpie">
    <w:name w:val="footnote reference"/>
    <w:basedOn w:val="TextoindependienteCar"/>
    <w:rPr>
      <w:vertAlign w:val="superscript"/>
    </w:rPr>
  </w:style>
  <w:style w:type="paragraph" w:styleId="TtuloTDC">
    <w:name w:val="TOC Heading"/>
    <w:basedOn w:val="Ttulo1"/>
    <w:next w:val="Textoindependiente"/>
    <w:uiPriority w:val="39"/>
    <w:unhideWhenUsed/>
    <w:qFormat/>
    <w:pPr>
      <w:spacing w:before="240" w:line="259" w:lineRule="auto"/>
      <w:outlineLvl w:val="9"/>
    </w:pPr>
    <w:rPr>
      <w:rFonts w:asciiTheme="majorHAnsi" w:eastAsiaTheme="majorEastAsia" w:hAnsiTheme="majorHAnsi" w:cstheme="majorBidi"/>
      <w:b w:val="0"/>
      <w:bCs w:val="0"/>
      <w:color w:val="0F4761" w:themeColor="accent1" w:themeShade="BF"/>
    </w:rPr>
  </w:style>
  <w:style w:type="paragraph" w:styleId="Textoindependiente">
    <w:name w:val="Body Text"/>
    <w:basedOn w:val="Normal"/>
    <w:link w:val="TextoindependienteCar"/>
    <w:qFormat/>
  </w:style>
  <w:style w:type="paragraph" w:customStyle="1" w:styleId="FirstParagraph">
    <w:name w:val="First Paragraph"/>
    <w:basedOn w:val="Textoindependiente"/>
    <w:next w:val="Textoindependiente"/>
    <w:qFormat/>
  </w:style>
  <w:style w:type="paragraph" w:customStyle="1" w:styleId="Compact">
    <w:name w:val="Compact"/>
    <w:basedOn w:val="Normal"/>
    <w:qFormat/>
    <w:pPr>
      <w:spacing w:after="40"/>
    </w:pPr>
  </w:style>
  <w:style w:type="paragraph" w:styleId="Textodebloque">
    <w:name w:val="Block Text"/>
    <w:basedOn w:val="Normal"/>
    <w:qFormat/>
    <w:pPr>
      <w:pBdr>
        <w:left w:val="single" w:sz="12" w:space="8" w:color="BFBFBF"/>
      </w:pBdr>
      <w:ind w:left="300"/>
    </w:pPr>
    <w:rPr>
      <w:color w:val="262626"/>
    </w:rPr>
  </w:style>
  <w:style w:type="paragraph" w:customStyle="1" w:styleId="PortadaEspacio">
    <w:name w:val="PortadaEspacio"/>
    <w:basedOn w:val="Normal"/>
    <w:qFormat/>
    <w:pPr>
      <w:spacing w:after="0" w:line="240" w:lineRule="auto"/>
    </w:pPr>
  </w:style>
  <w:style w:type="paragraph" w:customStyle="1" w:styleId="PortadaTitulo">
    <w:name w:val="PortadaTitulo"/>
    <w:basedOn w:val="Normal"/>
    <w:qFormat/>
    <w:pPr>
      <w:pBdr>
        <w:top w:val="thickThinSmallGap" w:sz="24" w:space="8" w:color="000000"/>
      </w:pBdr>
      <w:spacing w:after="160" w:line="240" w:lineRule="auto"/>
      <w:ind w:left="2950"/>
    </w:pPr>
    <w:rPr>
      <w:b/>
      <w:bCs/>
      <w:color w:val="595959"/>
      <w:sz w:val="36"/>
      <w:szCs w:val="36"/>
    </w:rPr>
  </w:style>
  <w:style w:type="paragraph" w:customStyle="1" w:styleId="PortadaProyecto">
    <w:name w:val="PortadaProyecto"/>
    <w:basedOn w:val="Normal"/>
    <w:qFormat/>
    <w:pPr>
      <w:spacing w:after="20" w:line="240" w:lineRule="auto"/>
      <w:ind w:left="2950"/>
    </w:pPr>
    <w:rPr>
      <w:b/>
      <w:bCs/>
      <w:color w:val="595959"/>
      <w:sz w:val="22"/>
      <w:szCs w:val="22"/>
    </w:rPr>
  </w:style>
  <w:style w:type="paragraph" w:customStyle="1" w:styleId="PortadaRevision">
    <w:name w:val="PortadaRevision"/>
    <w:basedOn w:val="Normal"/>
    <w:qFormat/>
    <w:pPr>
      <w:spacing w:after="0" w:line="240" w:lineRule="auto"/>
      <w:ind w:left="2950"/>
    </w:pPr>
    <w:rPr>
      <w:color w:val="1F3864"/>
      <w:sz w:val="20"/>
      <w:szCs w:val="20"/>
    </w:rPr>
  </w:style>
  <w:style w:type="paragraph" w:customStyle="1" w:styleId="PortadaAutoria">
    <w:name w:val="PortadaAutoria"/>
    <w:basedOn w:val="Normal"/>
    <w:qFormat/>
    <w:pPr>
      <w:spacing w:after="0" w:line="240" w:lineRule="auto"/>
      <w:ind w:left="2950"/>
    </w:pPr>
    <w:rPr>
      <w:color w:val="404040"/>
      <w:sz w:val="19"/>
      <w:szCs w:val="19"/>
    </w:rPr>
  </w:style>
  <w:style w:type="paragraph" w:customStyle="1" w:styleId="PortadaPie">
    <w:name w:val="PortadaPie"/>
    <w:basedOn w:val="Normal"/>
    <w:qFormat/>
    <w:pPr>
      <w:pBdr>
        <w:top w:val="thickThinSmallGap" w:sz="24" w:space="8" w:color="000000"/>
      </w:pBdr>
      <w:tabs>
        <w:tab w:val="right" w:pos="9360"/>
      </w:tabs>
      <w:spacing w:after="0" w:line="240" w:lineRule="auto"/>
    </w:pPr>
    <w:rPr>
      <w:color w:val="1F3864"/>
      <w:sz w:val="19"/>
      <w:szCs w:val="19"/>
    </w:rPr>
  </w:style>
  <w:style w:type="paragraph" w:customStyle="1" w:styleId="TituloSeccion">
    <w:name w:val="TituloSeccion"/>
    <w:basedOn w:val="Normal"/>
    <w:qFormat/>
    <w:pPr>
      <w:keepNext/>
      <w:pageBreakBefore/>
      <w:spacing w:after="240" w:line="240" w:lineRule="auto"/>
    </w:pPr>
    <w:rPr>
      <w:b/>
      <w:bCs/>
      <w:sz w:val="32"/>
      <w:szCs w:val="32"/>
    </w:rPr>
  </w:style>
  <w:style w:type="paragraph" w:customStyle="1" w:styleId="FichaTexto">
    <w:name w:val="FichaTexto"/>
    <w:basedOn w:val="Normal"/>
    <w:qFormat/>
    <w:pPr>
      <w:spacing w:before="1400" w:line="240" w:lineRule="auto"/>
    </w:pPr>
    <w:rPr>
      <w:sz w:val="18"/>
      <w:szCs w:val="18"/>
    </w:rPr>
  </w:style>
  <w:style w:type="paragraph" w:customStyle="1" w:styleId="Rotulo">
    <w:name w:val="Rotulo"/>
    <w:basedOn w:val="Normal"/>
    <w:qFormat/>
    <w:pPr>
      <w:keepNext/>
      <w:spacing w:before="120" w:after="0" w:line="240" w:lineRule="auto"/>
    </w:pPr>
    <w:rPr>
      <w:b/>
      <w:bCs/>
      <w:sz w:val="19"/>
      <w:szCs w:val="19"/>
    </w:rPr>
  </w:style>
  <w:style w:type="paragraph" w:customStyle="1" w:styleId="RotuloTitulo">
    <w:name w:val="RotuloTitulo"/>
    <w:basedOn w:val="Normal"/>
    <w:qFormat/>
    <w:pPr>
      <w:keepNext/>
      <w:spacing w:after="60" w:line="240" w:lineRule="auto"/>
    </w:pPr>
    <w:rPr>
      <w:i/>
      <w:iCs/>
      <w:sz w:val="19"/>
      <w:szCs w:val="19"/>
    </w:rPr>
  </w:style>
  <w:style w:type="paragraph" w:customStyle="1" w:styleId="Celda">
    <w:name w:val="Celda"/>
    <w:basedOn w:val="Normal"/>
    <w:qFormat/>
    <w:pPr>
      <w:spacing w:before="20" w:after="20" w:line="240" w:lineRule="auto"/>
    </w:pPr>
    <w:rPr>
      <w:sz w:val="18"/>
      <w:szCs w:val="18"/>
    </w:rPr>
  </w:style>
  <w:style w:type="paragraph" w:customStyle="1" w:styleId="FiguraImagen">
    <w:name w:val="FiguraImagen"/>
    <w:basedOn w:val="Normal"/>
    <w:qFormat/>
    <w:pPr>
      <w:spacing w:after="0" w:line="240" w:lineRule="auto"/>
      <w:jc w:val="center"/>
    </w:pPr>
  </w:style>
  <w:style w:type="paragraph" w:styleId="TDC1">
    <w:name w:val="toc 1"/>
    <w:basedOn w:val="Normal"/>
    <w:uiPriority w:val="39"/>
    <w:qFormat/>
    <w:pPr>
      <w:tabs>
        <w:tab w:val="right" w:pos="9360"/>
      </w:tabs>
      <w:spacing w:before="160" w:after="40" w:line="240" w:lineRule="auto"/>
    </w:pPr>
    <w:rPr>
      <w:b/>
      <w:bCs/>
      <w:caps/>
      <w:sz w:val="19"/>
      <w:szCs w:val="19"/>
    </w:rPr>
  </w:style>
  <w:style w:type="paragraph" w:styleId="TDC2">
    <w:name w:val="toc 2"/>
    <w:basedOn w:val="Normal"/>
    <w:uiPriority w:val="39"/>
    <w:qFormat/>
    <w:pPr>
      <w:tabs>
        <w:tab w:val="right" w:pos="9360"/>
      </w:tabs>
      <w:spacing w:after="30" w:line="240" w:lineRule="auto"/>
      <w:ind w:left="510"/>
    </w:pPr>
    <w:rPr>
      <w:sz w:val="19"/>
      <w:szCs w:val="19"/>
    </w:rPr>
  </w:style>
  <w:style w:type="character" w:styleId="Hipervnculo">
    <w:name w:val="Hyperlink"/>
    <w:basedOn w:val="Fuentedeprrafopredeter"/>
    <w:uiPriority w:val="99"/>
    <w:rPr>
      <w:color w:val="1F4E8C"/>
    </w:rPr>
  </w:style>
  <w:style w:type="character" w:customStyle="1" w:styleId="VerbatimChar">
    <w:name w:val="Verbatim Char"/>
    <w:basedOn w:val="Fuentedeprrafopredeter"/>
    <w:link w:val="SourceCode"/>
    <w:rPr>
      <w:rFonts w:ascii="Consolas" w:hAnsi="Consolas"/>
      <w:sz w:val="18"/>
      <w:szCs w:val="18"/>
    </w:rPr>
  </w:style>
  <w:style w:type="table" w:customStyle="1" w:styleId="Table">
    <w:name w:val="Table"/>
    <w:qFormat/>
    <w:tblP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40" w:type="dxa"/>
        <w:left w:w="100" w:type="dxa"/>
        <w:bottom w:w="40" w:type="dxa"/>
        <w:right w:w="100" w:type="dxa"/>
      </w:tblCellMar>
    </w:tblPr>
    <w:tblStylePr w:type="firstRow">
      <w:rPr>
        <w:b/>
        <w:bCs/>
      </w:rPr>
      <w:tblPr/>
      <w:tcPr>
        <w:shd w:val="clear" w:color="auto" w:fill="D9D9D9"/>
        <w:vAlign w:val="bottom"/>
      </w:tc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8"/>
      <w:szCs w:val="18"/>
    </w:rPr>
  </w:style>
  <w:style w:type="character" w:customStyle="1" w:styleId="DataTypeTok">
    <w:name w:val="DataTypeTok"/>
    <w:basedOn w:val="VerbatimChar"/>
    <w:rPr>
      <w:rFonts w:ascii="Consolas" w:hAnsi="Consolas"/>
      <w:color w:val="902000"/>
      <w:sz w:val="18"/>
      <w:szCs w:val="18"/>
    </w:rPr>
  </w:style>
  <w:style w:type="character" w:customStyle="1" w:styleId="DecValTok">
    <w:name w:val="DecValTok"/>
    <w:basedOn w:val="VerbatimChar"/>
    <w:rPr>
      <w:rFonts w:ascii="Consolas" w:hAnsi="Consolas"/>
      <w:color w:val="40A070"/>
      <w:sz w:val="18"/>
      <w:szCs w:val="18"/>
    </w:rPr>
  </w:style>
  <w:style w:type="character" w:customStyle="1" w:styleId="BaseNTok">
    <w:name w:val="BaseNTok"/>
    <w:basedOn w:val="VerbatimChar"/>
    <w:rPr>
      <w:rFonts w:ascii="Consolas" w:hAnsi="Consolas"/>
      <w:color w:val="40A070"/>
      <w:sz w:val="18"/>
      <w:szCs w:val="18"/>
    </w:rPr>
  </w:style>
  <w:style w:type="character" w:customStyle="1" w:styleId="FloatTok">
    <w:name w:val="FloatTok"/>
    <w:basedOn w:val="VerbatimChar"/>
    <w:rPr>
      <w:rFonts w:ascii="Consolas" w:hAnsi="Consolas"/>
      <w:color w:val="40A070"/>
      <w:sz w:val="18"/>
      <w:szCs w:val="18"/>
    </w:rPr>
  </w:style>
  <w:style w:type="character" w:customStyle="1" w:styleId="ConstantTok">
    <w:name w:val="ConstantTok"/>
    <w:basedOn w:val="VerbatimChar"/>
    <w:rPr>
      <w:rFonts w:ascii="Consolas" w:hAnsi="Consolas"/>
      <w:color w:val="880000"/>
      <w:sz w:val="18"/>
      <w:szCs w:val="18"/>
    </w:rPr>
  </w:style>
  <w:style w:type="character" w:customStyle="1" w:styleId="CharTok">
    <w:name w:val="CharTok"/>
    <w:basedOn w:val="VerbatimChar"/>
    <w:rPr>
      <w:rFonts w:ascii="Consolas" w:hAnsi="Consolas"/>
      <w:color w:val="4070A0"/>
      <w:sz w:val="18"/>
      <w:szCs w:val="18"/>
    </w:rPr>
  </w:style>
  <w:style w:type="character" w:customStyle="1" w:styleId="SpecialCharTok">
    <w:name w:val="SpecialCharTok"/>
    <w:basedOn w:val="VerbatimChar"/>
    <w:rPr>
      <w:rFonts w:ascii="Consolas" w:hAnsi="Consolas"/>
      <w:color w:val="4070A0"/>
      <w:sz w:val="18"/>
      <w:szCs w:val="18"/>
    </w:rPr>
  </w:style>
  <w:style w:type="character" w:customStyle="1" w:styleId="StringTok">
    <w:name w:val="StringTok"/>
    <w:basedOn w:val="VerbatimChar"/>
    <w:rPr>
      <w:rFonts w:ascii="Consolas" w:hAnsi="Consolas"/>
      <w:color w:val="4070A0"/>
      <w:sz w:val="18"/>
      <w:szCs w:val="18"/>
    </w:rPr>
  </w:style>
  <w:style w:type="character" w:customStyle="1" w:styleId="VerbatimStringTok">
    <w:name w:val="VerbatimStringTok"/>
    <w:basedOn w:val="VerbatimChar"/>
    <w:rPr>
      <w:rFonts w:ascii="Consolas" w:hAnsi="Consolas"/>
      <w:color w:val="4070A0"/>
      <w:sz w:val="18"/>
      <w:szCs w:val="18"/>
    </w:rPr>
  </w:style>
  <w:style w:type="character" w:customStyle="1" w:styleId="SpecialStringTok">
    <w:name w:val="SpecialStringTok"/>
    <w:basedOn w:val="VerbatimChar"/>
    <w:rPr>
      <w:rFonts w:ascii="Consolas" w:hAnsi="Consolas"/>
      <w:color w:val="BB6688"/>
      <w:sz w:val="18"/>
      <w:szCs w:val="18"/>
    </w:rPr>
  </w:style>
  <w:style w:type="character" w:customStyle="1" w:styleId="ImportTok">
    <w:name w:val="ImportTok"/>
    <w:basedOn w:val="VerbatimChar"/>
    <w:rPr>
      <w:rFonts w:ascii="Consolas" w:hAnsi="Consolas"/>
      <w:b/>
      <w:color w:val="008000"/>
      <w:sz w:val="18"/>
      <w:szCs w:val="18"/>
    </w:rPr>
  </w:style>
  <w:style w:type="character" w:customStyle="1" w:styleId="CommentTok">
    <w:name w:val="CommentTok"/>
    <w:basedOn w:val="VerbatimChar"/>
    <w:rPr>
      <w:rFonts w:ascii="Consolas" w:hAnsi="Consolas"/>
      <w:i/>
      <w:color w:val="60A0B0"/>
      <w:sz w:val="18"/>
      <w:szCs w:val="18"/>
    </w:rPr>
  </w:style>
  <w:style w:type="character" w:customStyle="1" w:styleId="DocumentationTok">
    <w:name w:val="DocumentationTok"/>
    <w:basedOn w:val="VerbatimChar"/>
    <w:rPr>
      <w:rFonts w:ascii="Consolas" w:hAnsi="Consolas"/>
      <w:i/>
      <w:color w:val="BA2121"/>
      <w:sz w:val="18"/>
      <w:szCs w:val="18"/>
    </w:rPr>
  </w:style>
  <w:style w:type="character" w:customStyle="1" w:styleId="AnnotationTok">
    <w:name w:val="AnnotationTok"/>
    <w:basedOn w:val="VerbatimChar"/>
    <w:rPr>
      <w:rFonts w:ascii="Consolas" w:hAnsi="Consolas"/>
      <w:b/>
      <w:i/>
      <w:color w:val="60A0B0"/>
      <w:sz w:val="18"/>
      <w:szCs w:val="18"/>
    </w:rPr>
  </w:style>
  <w:style w:type="character" w:customStyle="1" w:styleId="CommentVarTok">
    <w:name w:val="CommentVarTok"/>
    <w:basedOn w:val="VerbatimChar"/>
    <w:rPr>
      <w:rFonts w:ascii="Consolas" w:hAnsi="Consolas"/>
      <w:b/>
      <w:i/>
      <w:color w:val="60A0B0"/>
      <w:sz w:val="18"/>
      <w:szCs w:val="18"/>
    </w:rPr>
  </w:style>
  <w:style w:type="character" w:customStyle="1" w:styleId="OtherTok">
    <w:name w:val="OtherTok"/>
    <w:basedOn w:val="VerbatimChar"/>
    <w:rPr>
      <w:rFonts w:ascii="Consolas" w:hAnsi="Consolas"/>
      <w:color w:val="007020"/>
      <w:sz w:val="18"/>
      <w:szCs w:val="18"/>
    </w:rPr>
  </w:style>
  <w:style w:type="character" w:customStyle="1" w:styleId="FunctionTok">
    <w:name w:val="FunctionTok"/>
    <w:basedOn w:val="VerbatimChar"/>
    <w:rPr>
      <w:rFonts w:ascii="Consolas" w:hAnsi="Consolas"/>
      <w:color w:val="06287E"/>
      <w:sz w:val="18"/>
      <w:szCs w:val="18"/>
    </w:rPr>
  </w:style>
  <w:style w:type="character" w:customStyle="1" w:styleId="VariableTok">
    <w:name w:val="VariableTok"/>
    <w:basedOn w:val="VerbatimChar"/>
    <w:rPr>
      <w:rFonts w:ascii="Consolas" w:hAnsi="Consolas"/>
      <w:color w:val="19177C"/>
      <w:sz w:val="18"/>
      <w:szCs w:val="18"/>
    </w:rPr>
  </w:style>
  <w:style w:type="character" w:customStyle="1" w:styleId="ControlFlowTok">
    <w:name w:val="ControlFlowTok"/>
    <w:basedOn w:val="VerbatimChar"/>
    <w:rPr>
      <w:rFonts w:ascii="Consolas" w:hAnsi="Consolas"/>
      <w:b/>
      <w:color w:val="007020"/>
      <w:sz w:val="18"/>
      <w:szCs w:val="18"/>
    </w:rPr>
  </w:style>
  <w:style w:type="character" w:customStyle="1" w:styleId="OperatorTok">
    <w:name w:val="OperatorTok"/>
    <w:basedOn w:val="VerbatimChar"/>
    <w:rPr>
      <w:rFonts w:ascii="Consolas" w:hAnsi="Consolas"/>
      <w:color w:val="666666"/>
      <w:sz w:val="18"/>
      <w:szCs w:val="18"/>
    </w:rPr>
  </w:style>
  <w:style w:type="character" w:customStyle="1" w:styleId="BuiltInTok">
    <w:name w:val="BuiltInTok"/>
    <w:basedOn w:val="VerbatimChar"/>
    <w:rPr>
      <w:rFonts w:ascii="Consolas" w:hAnsi="Consolas"/>
      <w:color w:val="008000"/>
      <w:sz w:val="18"/>
      <w:szCs w:val="18"/>
    </w:rPr>
  </w:style>
  <w:style w:type="character" w:customStyle="1" w:styleId="ExtensionTok">
    <w:name w:val="ExtensionTok"/>
    <w:basedOn w:val="VerbatimChar"/>
    <w:rPr>
      <w:rFonts w:ascii="Consolas" w:hAnsi="Consolas"/>
      <w:sz w:val="18"/>
      <w:szCs w:val="18"/>
    </w:rPr>
  </w:style>
  <w:style w:type="character" w:customStyle="1" w:styleId="PreprocessorTok">
    <w:name w:val="PreprocessorTok"/>
    <w:basedOn w:val="VerbatimChar"/>
    <w:rPr>
      <w:rFonts w:ascii="Consolas" w:hAnsi="Consolas"/>
      <w:color w:val="BC7A00"/>
      <w:sz w:val="18"/>
      <w:szCs w:val="18"/>
    </w:rPr>
  </w:style>
  <w:style w:type="character" w:customStyle="1" w:styleId="AttributeTok">
    <w:name w:val="AttributeTok"/>
    <w:basedOn w:val="VerbatimChar"/>
    <w:rPr>
      <w:rFonts w:ascii="Consolas" w:hAnsi="Consolas"/>
      <w:color w:val="7D9029"/>
      <w:sz w:val="18"/>
      <w:szCs w:val="18"/>
    </w:rPr>
  </w:style>
  <w:style w:type="character" w:customStyle="1" w:styleId="RegionMarkerTok">
    <w:name w:val="RegionMarkerTok"/>
    <w:basedOn w:val="VerbatimChar"/>
    <w:rPr>
      <w:rFonts w:ascii="Consolas" w:hAnsi="Consolas"/>
      <w:sz w:val="18"/>
      <w:szCs w:val="18"/>
    </w:rPr>
  </w:style>
  <w:style w:type="character" w:customStyle="1" w:styleId="InformationTok">
    <w:name w:val="InformationTok"/>
    <w:basedOn w:val="VerbatimChar"/>
    <w:rPr>
      <w:rFonts w:ascii="Consolas" w:hAnsi="Consolas"/>
      <w:b/>
      <w:i/>
      <w:color w:val="60A0B0"/>
      <w:sz w:val="18"/>
      <w:szCs w:val="18"/>
    </w:rPr>
  </w:style>
  <w:style w:type="character" w:customStyle="1" w:styleId="WarningTok">
    <w:name w:val="WarningTok"/>
    <w:basedOn w:val="VerbatimChar"/>
    <w:rPr>
      <w:rFonts w:ascii="Consolas" w:hAnsi="Consolas"/>
      <w:b/>
      <w:i/>
      <w:color w:val="60A0B0"/>
      <w:sz w:val="18"/>
      <w:szCs w:val="18"/>
    </w:rPr>
  </w:style>
  <w:style w:type="character" w:customStyle="1" w:styleId="AlertTok">
    <w:name w:val="AlertTok"/>
    <w:basedOn w:val="VerbatimChar"/>
    <w:rPr>
      <w:rFonts w:ascii="Consolas" w:hAnsi="Consolas"/>
      <w:b/>
      <w:color w:val="FF0000"/>
      <w:sz w:val="18"/>
      <w:szCs w:val="18"/>
    </w:rPr>
  </w:style>
  <w:style w:type="character" w:customStyle="1" w:styleId="ErrorTok">
    <w:name w:val="ErrorTok"/>
    <w:basedOn w:val="VerbatimChar"/>
    <w:rPr>
      <w:rFonts w:ascii="Consolas" w:hAnsi="Consolas"/>
      <w:b/>
      <w:color w:val="FF0000"/>
      <w:sz w:val="18"/>
      <w:szCs w:val="18"/>
    </w:rPr>
  </w:style>
  <w:style w:type="character" w:customStyle="1" w:styleId="NormalTok">
    <w:name w:val="NormalTok"/>
    <w:basedOn w:val="VerbatimChar"/>
    <w:rPr>
      <w:rFonts w:ascii="Consolas" w:hAnsi="Consola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kvet.co/okvet-plan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1471</Words>
  <Characters>8091</Characters>
  <Application>Microsoft Office Word</Application>
  <DocSecurity>0</DocSecurity>
  <Lines>67</Lines>
  <Paragraphs>19</Paragraphs>
  <ScaleCrop>false</ScaleCrop>
  <Company/>
  <LinksUpToDate>false</LinksUpToDate>
  <CharactersWithSpaces>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Sebastian Carvajal</cp:lastModifiedBy>
  <cp:revision>2</cp:revision>
  <dcterms:created xsi:type="dcterms:W3CDTF">2026-10-24T02:28:00Z</dcterms:created>
  <dcterms:modified xsi:type="dcterms:W3CDTF">2026-10-24T02:32:00Z</dcterms:modified>
</cp:coreProperties>
</file>