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AFD5C" w14:textId="77777777" w:rsidR="004F7670" w:rsidRDefault="004F7670">
      <w:pPr>
        <w:pStyle w:val="PortadaEspacio"/>
        <w:spacing w:before="3800"/>
      </w:pPr>
    </w:p>
    <w:p w14:paraId="1B9AFD5D" w14:textId="77777777" w:rsidR="004F7670" w:rsidRDefault="006C618A">
      <w:pPr>
        <w:pStyle w:val="PortadaTitulo"/>
      </w:pPr>
      <w:r>
        <w:t>Sistema de Gestión Veterinaria Inteligente</w:t>
      </w:r>
    </w:p>
    <w:p w14:paraId="1B9AFD5E" w14:textId="77777777" w:rsidR="004F7670" w:rsidRDefault="006C618A">
      <w:pPr>
        <w:pStyle w:val="PortadaProyecto"/>
      </w:pPr>
      <w:r>
        <w:t>Proyecto: Zooki v2.0</w:t>
      </w:r>
    </w:p>
    <w:p w14:paraId="1B9AFD5F" w14:textId="77777777" w:rsidR="004F7670" w:rsidRDefault="004F7670">
      <w:pPr>
        <w:pStyle w:val="PortadaAutoria"/>
        <w:spacing w:after="200"/>
      </w:pPr>
    </w:p>
    <w:p w14:paraId="1B9AFD60" w14:textId="77777777" w:rsidR="004F7670" w:rsidRDefault="006C618A">
      <w:pPr>
        <w:pStyle w:val="PortadaAutoria"/>
      </w:pPr>
      <w:r>
        <w:t>Elaborado por: Juan Sebastián Carvajal Home</w:t>
      </w:r>
    </w:p>
    <w:p w14:paraId="1B9AFD61" w14:textId="77777777" w:rsidR="004F7670" w:rsidRDefault="006C618A">
      <w:pPr>
        <w:pStyle w:val="PortadaAutoria"/>
      </w:pPr>
      <w:r>
        <w:t>Instructor: Oscar Eduardo Yanguas</w:t>
      </w:r>
    </w:p>
    <w:p w14:paraId="1B9AFD62" w14:textId="77777777" w:rsidR="004F7670" w:rsidRDefault="006C618A">
      <w:pPr>
        <w:pStyle w:val="PortadaAutoria"/>
      </w:pPr>
      <w:r>
        <w:t>Tecnología en Análisis y Desarrollo de Software (ADSO) · Ficha 3142784</w:t>
      </w:r>
    </w:p>
    <w:p w14:paraId="1B9AFD63" w14:textId="77777777" w:rsidR="004F7670" w:rsidRDefault="006C618A">
      <w:pPr>
        <w:pStyle w:val="PortadaAutoria"/>
      </w:pPr>
      <w:r>
        <w:t>Servicio Nacional de Aprendizaje (SENA) · Centro Tecnológico de la Amazonia</w:t>
      </w:r>
    </w:p>
    <w:p w14:paraId="1B9AFD64" w14:textId="77777777" w:rsidR="004F7670" w:rsidRDefault="006C618A">
      <w:pPr>
        <w:pStyle w:val="PortadaAutoria"/>
      </w:pPr>
      <w:r>
        <w:t>Florencia, Caquetá</w:t>
      </w:r>
    </w:p>
    <w:p w14:paraId="1B9AFD65" w14:textId="77777777" w:rsidR="004F7670" w:rsidRDefault="004F7670">
      <w:pPr>
        <w:pStyle w:val="PortadaEspacio"/>
        <w:spacing w:before="2600"/>
      </w:pPr>
    </w:p>
    <w:p w14:paraId="1B9AFD66" w14:textId="77777777" w:rsidR="004F7670" w:rsidRDefault="006C618A">
      <w:pPr>
        <w:pStyle w:val="PortadaPie"/>
      </w:pPr>
      <w:r>
        <w:rPr>
          <w:noProof/>
        </w:rPr>
        <w:drawing>
          <wp:inline distT="0" distB="0" distL="0" distR="0" wp14:anchorId="1B9AFDC1" wp14:editId="1B9AFDC2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1B9AFD67" w14:textId="77777777" w:rsidR="004F7670" w:rsidRDefault="006C618A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4F7670" w14:paraId="1B9AFD6B" w14:textId="77777777" w:rsidTr="00220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B9AFD68" w14:textId="77777777" w:rsidR="004F7670" w:rsidRDefault="006C618A" w:rsidP="0022095D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B9AFD69" w14:textId="77777777" w:rsidR="004F7670" w:rsidRDefault="006C618A" w:rsidP="0022095D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1B9AFD6A" w14:textId="77777777" w:rsidR="004F7670" w:rsidRDefault="006C618A" w:rsidP="0022095D">
            <w:pPr>
              <w:pStyle w:val="Celda"/>
              <w:keepNext/>
            </w:pPr>
            <w:r>
              <w:t>Autor</w:t>
            </w:r>
          </w:p>
        </w:tc>
      </w:tr>
      <w:tr w:rsidR="004F7670" w14:paraId="1B9AFD6F" w14:textId="77777777" w:rsidTr="0022095D">
        <w:trPr>
          <w:cantSplit/>
        </w:trPr>
        <w:tc>
          <w:tcPr>
            <w:tcW w:w="1153" w:type="pct"/>
          </w:tcPr>
          <w:p w14:paraId="1B9AFD6C" w14:textId="77777777" w:rsidR="004F7670" w:rsidRDefault="006C618A">
            <w:pPr>
              <w:pStyle w:val="Celda"/>
            </w:pPr>
            <w:r>
              <w:t>22/10/2026</w:t>
            </w:r>
          </w:p>
        </w:tc>
        <w:tc>
          <w:tcPr>
            <w:tcW w:w="962" w:type="pct"/>
          </w:tcPr>
          <w:p w14:paraId="1B9AFD6D" w14:textId="77777777" w:rsidR="004F7670" w:rsidRDefault="006C618A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1B9AFD6E" w14:textId="77777777" w:rsidR="004F7670" w:rsidRDefault="006C618A">
            <w:pPr>
              <w:pStyle w:val="Celda"/>
            </w:pPr>
            <w:r>
              <w:t>Juan Sebastián Carvajal Home</w:t>
            </w:r>
          </w:p>
        </w:tc>
      </w:tr>
    </w:tbl>
    <w:p w14:paraId="1B9AFD70" w14:textId="77777777" w:rsidR="004F7670" w:rsidRDefault="006C618A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4F7670" w14:paraId="1B9AFD73" w14:textId="77777777" w:rsidTr="00220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1B9AFD71" w14:textId="77777777" w:rsidR="004F7670" w:rsidRDefault="006C618A" w:rsidP="0022095D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1B9AFD72" w14:textId="77777777" w:rsidR="004F7670" w:rsidRDefault="006C618A" w:rsidP="0022095D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4F7670" w14:paraId="1B9AFD76" w14:textId="77777777" w:rsidTr="0022095D">
        <w:trPr>
          <w:cantSplit/>
          <w:trHeight w:val="1250"/>
        </w:trPr>
        <w:tc>
          <w:tcPr>
            <w:tcW w:w="2500" w:type="pct"/>
          </w:tcPr>
          <w:p w14:paraId="1B9AFD74" w14:textId="77777777" w:rsidR="004F7670" w:rsidRDefault="004F7670" w:rsidP="0022095D">
            <w:pPr>
              <w:pStyle w:val="Celda"/>
              <w:keepNext/>
            </w:pPr>
          </w:p>
        </w:tc>
        <w:tc>
          <w:tcPr>
            <w:tcW w:w="2500" w:type="pct"/>
          </w:tcPr>
          <w:p w14:paraId="1B9AFD75" w14:textId="77777777" w:rsidR="004F7670" w:rsidRDefault="004F7670" w:rsidP="0022095D">
            <w:pPr>
              <w:pStyle w:val="Celda"/>
              <w:keepNext/>
            </w:pPr>
          </w:p>
        </w:tc>
      </w:tr>
      <w:tr w:rsidR="004F7670" w14:paraId="1B9AFD79" w14:textId="77777777" w:rsidTr="0022095D">
        <w:trPr>
          <w:cantSplit/>
        </w:trPr>
        <w:tc>
          <w:tcPr>
            <w:tcW w:w="2500" w:type="pct"/>
          </w:tcPr>
          <w:p w14:paraId="1B9AFD77" w14:textId="77777777" w:rsidR="004F7670" w:rsidRDefault="006C618A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1B9AFD78" w14:textId="77777777" w:rsidR="004F7670" w:rsidRDefault="006C618A">
            <w:pPr>
              <w:pStyle w:val="Celda"/>
            </w:pPr>
            <w:r>
              <w:t>Fdo.: Oscar Eduardo Yanguas — Instructor</w:t>
            </w:r>
          </w:p>
        </w:tc>
      </w:tr>
    </w:tbl>
    <w:p w14:paraId="1B9AFD7A" w14:textId="77777777" w:rsidR="004F7670" w:rsidRDefault="006C618A">
      <w:pPr>
        <w:pStyle w:val="TituloSeccion"/>
      </w:pPr>
      <w:r>
        <w:lastRenderedPageBreak/>
        <w:t>Contenido</w:t>
      </w:r>
    </w:p>
    <w:p w14:paraId="0A1AFE21" w14:textId="7D1B3AFD" w:rsidR="0022095D" w:rsidRDefault="006C618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600203" w:history="1">
        <w:r w:rsidR="0022095D" w:rsidRPr="00187F78">
          <w:rPr>
            <w:rStyle w:val="Hipervnculo"/>
            <w:noProof/>
          </w:rPr>
          <w:t>Historial de versiones</w:t>
        </w:r>
        <w:r w:rsidR="0022095D">
          <w:rPr>
            <w:noProof/>
            <w:webHidden/>
          </w:rPr>
          <w:tab/>
        </w:r>
        <w:r w:rsidR="0022095D">
          <w:rPr>
            <w:noProof/>
            <w:webHidden/>
          </w:rPr>
          <w:fldChar w:fldCharType="begin"/>
        </w:r>
        <w:r w:rsidR="0022095D">
          <w:rPr>
            <w:noProof/>
            <w:webHidden/>
          </w:rPr>
          <w:instrText xml:space="preserve"> PAGEREF _Toc243600203 \h </w:instrText>
        </w:r>
        <w:r w:rsidR="0022095D">
          <w:rPr>
            <w:noProof/>
            <w:webHidden/>
          </w:rPr>
        </w:r>
        <w:r w:rsidR="0022095D">
          <w:rPr>
            <w:noProof/>
            <w:webHidden/>
          </w:rPr>
          <w:fldChar w:fldCharType="separate"/>
        </w:r>
        <w:r w:rsidR="0022095D">
          <w:rPr>
            <w:noProof/>
            <w:webHidden/>
          </w:rPr>
          <w:t>5</w:t>
        </w:r>
        <w:r w:rsidR="0022095D">
          <w:rPr>
            <w:noProof/>
            <w:webHidden/>
          </w:rPr>
          <w:fldChar w:fldCharType="end"/>
        </w:r>
      </w:hyperlink>
    </w:p>
    <w:p w14:paraId="4893E64B" w14:textId="2567B752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04" w:history="1">
        <w:r w:rsidRPr="00187F78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F6AED3" w14:textId="226DB870" w:rsidR="0022095D" w:rsidRDefault="0022095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600205" w:history="1">
        <w:r w:rsidRPr="00187F78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9DBDDA" w14:textId="285967F9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06" w:history="1">
        <w:r w:rsidRPr="00187F78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892EF0" w14:textId="7283278D" w:rsidR="0022095D" w:rsidRDefault="0022095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600207" w:history="1">
        <w:r w:rsidRPr="00187F78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DA5F63" w14:textId="5CB228D4" w:rsidR="0022095D" w:rsidRDefault="0022095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600208" w:history="1">
        <w:r w:rsidRPr="00187F78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8A4DA0" w14:textId="44BE6903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09" w:history="1">
        <w:r w:rsidRPr="00187F78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D0EC48" w14:textId="49E884F0" w:rsidR="0022095D" w:rsidRDefault="0022095D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600210" w:history="1">
        <w:r w:rsidRPr="00187F78">
          <w:rPr>
            <w:rStyle w:val="Hipervnculo"/>
            <w:noProof/>
          </w:rPr>
          <w:t>Actualizar una instalación v2 existente a alpha.5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057B6C" w14:textId="684F09A7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11" w:history="1">
        <w:r w:rsidRPr="00187F78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5C9C0E" w14:textId="0FF7E554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12" w:history="1">
        <w:r w:rsidRPr="00187F78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DB72F1" w14:textId="203F0DAB" w:rsidR="0022095D" w:rsidRDefault="0022095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600213" w:history="1">
        <w:r w:rsidRPr="00187F78">
          <w:rPr>
            <w:rStyle w:val="Hipervnculo"/>
            <w:noProof/>
          </w:rPr>
          <w:t>Pruebas automáticas y registro público (D3)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9AFD7B" w14:textId="50D57EAD" w:rsidR="004F7670" w:rsidRDefault="006C618A">
      <w:pPr>
        <w:pStyle w:val="TDC1"/>
      </w:pPr>
      <w:r>
        <w:fldChar w:fldCharType="end"/>
      </w:r>
    </w:p>
    <w:p w14:paraId="1B9AFD7C" w14:textId="77777777" w:rsidR="004F7670" w:rsidRDefault="006C618A">
      <w:r>
        <w:br w:type="page"/>
      </w:r>
    </w:p>
    <w:p w14:paraId="1B9AFD7D" w14:textId="77777777" w:rsidR="004F7670" w:rsidRDefault="006C618A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1B9AFD7E" w14:textId="77777777" w:rsidR="004F7670" w:rsidRDefault="006C618A">
      <w:pPr>
        <w:pStyle w:val="Ttulo1"/>
      </w:pPr>
      <w:bookmarkStart w:id="0" w:name="_9f22e6e94e3706d259b118e7bb6dddd97264afb"/>
      <w:bookmarkStart w:id="1" w:name="_Toc243600203"/>
      <w:r>
        <w:lastRenderedPageBreak/>
        <w:t>Historial de versiones</w:t>
      </w:r>
      <w:bookmarkEnd w:id="1"/>
    </w:p>
    <w:p w14:paraId="1B9AFD7F" w14:textId="77777777" w:rsidR="004F7670" w:rsidRDefault="006C618A">
      <w:pPr>
        <w:pStyle w:val="FirstParagraph"/>
      </w:pPr>
      <w:r>
        <w:t xml:space="preserve">El historial completo de versiones (v1.0.0 → v2.0.0-alpha.5),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 La versión preparada para publicar es </w:t>
      </w:r>
      <w:r>
        <w:rPr>
          <w:b/>
          <w:bCs/>
        </w:rPr>
        <w:t>2.0.0-alpha.5</w:t>
      </w:r>
      <w:r>
        <w:t xml:space="preserve">: agenda con triage, disponibilidad coordinada, Grafo II, urgencias, ausencias, llegadas y el nuevo Inicio del veterinario. Su publicación requiere las verificaciones y la integración del dueño; la versión de producción se confirma después del despliegue. </w:t>
      </w:r>
      <w:r>
        <w:t>El conocimiento está pendiente de validación veterinaria y es apoyo a la decisión, no diagnóstico automático.</w:t>
      </w:r>
    </w:p>
    <w:p w14:paraId="1B9AFD80" w14:textId="77777777" w:rsidR="004F7670" w:rsidRDefault="006C618A">
      <w:pPr>
        <w:pStyle w:val="Ttulo1"/>
      </w:pPr>
      <w:bookmarkStart w:id="2" w:name="_40eb1cfbc3af9bee854cb6fd2dd7fccbbbd5bef"/>
      <w:bookmarkStart w:id="3" w:name="_Toc243600204"/>
      <w:bookmarkEnd w:id="0"/>
      <w:r>
        <w:lastRenderedPageBreak/>
        <w:t>Arquitectura del Sistema</w:t>
      </w:r>
      <w:bookmarkEnd w:id="3"/>
    </w:p>
    <w:p w14:paraId="1B9AFD81" w14:textId="77777777" w:rsidR="004F7670" w:rsidRDefault="006C618A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1B9AFD82" w14:textId="77777777" w:rsidR="004F7670" w:rsidRDefault="006C618A">
      <w:pPr>
        <w:pStyle w:val="Rotulo"/>
      </w:pPr>
      <w:r>
        <w:t>Figura 1</w:t>
      </w:r>
    </w:p>
    <w:p w14:paraId="1B9AFD83" w14:textId="77777777" w:rsidR="004F7670" w:rsidRDefault="006C618A">
      <w:pPr>
        <w:pStyle w:val="RotuloTitulo"/>
      </w:pPr>
      <w:r>
        <w:t>Arquitectura del Sistema</w:t>
      </w:r>
    </w:p>
    <w:p w14:paraId="1B9AFD84" w14:textId="77777777" w:rsidR="004F7670" w:rsidRDefault="006C618A">
      <w:pPr>
        <w:pStyle w:val="FiguraImagen"/>
      </w:pPr>
      <w:r>
        <w:rPr>
          <w:noProof/>
        </w:rPr>
        <w:drawing>
          <wp:inline distT="0" distB="0" distL="0" distR="0" wp14:anchorId="1B9AFDC3" wp14:editId="1B9AFDC4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goWLsK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9AFD85" w14:textId="77777777" w:rsidR="004F7670" w:rsidRDefault="006C618A">
      <w:pPr>
        <w:pStyle w:val="Ttulo2"/>
      </w:pPr>
      <w:bookmarkStart w:id="4" w:name="_10761f43c4828466c1f61dd939afeb8e25fa6bf"/>
      <w:bookmarkStart w:id="5" w:name="_Toc243600205"/>
      <w:r>
        <w:t>Estructura de Directorios</w:t>
      </w:r>
      <w:bookmarkEnd w:id="5"/>
    </w:p>
    <w:p w14:paraId="1B9AFD86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1B9AFD87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1B9AFD88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1B9AFD89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1B9AFD8A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1B9AFD8B" w14:textId="77777777" w:rsidR="004F7670" w:rsidRDefault="006C618A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1B9AFD8C" w14:textId="77777777" w:rsidR="004F7670" w:rsidRDefault="006C618A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1B9AFD8D" w14:textId="77777777" w:rsidR="004F7670" w:rsidRDefault="006C618A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1B9AFD8E" w14:textId="77777777" w:rsidR="004F7670" w:rsidRDefault="006C618A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1B9AFD8F" w14:textId="77777777" w:rsidR="004F7670" w:rsidRDefault="006C618A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1B9AFD90" w14:textId="77777777" w:rsidR="004F7670" w:rsidRDefault="006C618A">
      <w:pPr>
        <w:pStyle w:val="Ttulo1"/>
      </w:pPr>
      <w:bookmarkStart w:id="6" w:name="_afbddb14cf0a5917350b872bc54fb6e01642379"/>
      <w:bookmarkStart w:id="7" w:name="_Toc243600206"/>
      <w:bookmarkEnd w:id="2"/>
      <w:bookmarkEnd w:id="4"/>
      <w:r>
        <w:lastRenderedPageBreak/>
        <w:t>Guía de Instalación y Configuración</w:t>
      </w:r>
      <w:bookmarkEnd w:id="7"/>
    </w:p>
    <w:p w14:paraId="1B9AFD91" w14:textId="77777777" w:rsidR="004F7670" w:rsidRDefault="006C618A">
      <w:pPr>
        <w:pStyle w:val="Ttulo2"/>
      </w:pPr>
      <w:bookmarkStart w:id="8" w:name="_05387fb6cc619f8aa2529950c7d4d457a3eef7c"/>
      <w:bookmarkStart w:id="9" w:name="_Toc243600207"/>
      <w:r>
        <w:t>Requisitos del Sistema</w:t>
      </w:r>
      <w:bookmarkEnd w:id="9"/>
    </w:p>
    <w:p w14:paraId="1B9AFD92" w14:textId="77777777" w:rsidR="004F7670" w:rsidRDefault="006C618A">
      <w:pPr>
        <w:pStyle w:val="Compact"/>
        <w:numPr>
          <w:ilvl w:val="0"/>
          <w:numId w:val="4"/>
        </w:numPr>
      </w:pPr>
      <w:r>
        <w:t>Servidor web Apache o Nginx.</w:t>
      </w:r>
    </w:p>
    <w:p w14:paraId="1B9AFD93" w14:textId="77777777" w:rsidR="004F7670" w:rsidRDefault="006C618A">
      <w:pPr>
        <w:pStyle w:val="Compact"/>
        <w:numPr>
          <w:ilvl w:val="0"/>
          <w:numId w:val="4"/>
        </w:numPr>
      </w:pPr>
      <w:r>
        <w:t xml:space="preserve">PHP 8.2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1B9AFD94" w14:textId="77777777" w:rsidR="004F7670" w:rsidRDefault="006C618A">
      <w:pPr>
        <w:pStyle w:val="Compact"/>
        <w:numPr>
          <w:ilvl w:val="0"/>
          <w:numId w:val="4"/>
        </w:numPr>
      </w:pPr>
      <w:r>
        <w:t>Servidor MySQL/MariaDB.</w:t>
      </w:r>
    </w:p>
    <w:p w14:paraId="1B9AFD95" w14:textId="77777777" w:rsidR="004F7670" w:rsidRDefault="006C618A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1B9AFD96" w14:textId="77777777" w:rsidR="004F7670" w:rsidRDefault="006C618A">
      <w:pPr>
        <w:pStyle w:val="Ttulo2"/>
      </w:pPr>
      <w:bookmarkStart w:id="10" w:name="_dcf3b639bee90e6ccb2d036fcb726d64a5de47c"/>
      <w:bookmarkStart w:id="11" w:name="_Toc243600208"/>
      <w:bookmarkEnd w:id="8"/>
      <w:r>
        <w:t>Configuración Paso a Paso</w:t>
      </w:r>
      <w:bookmarkEnd w:id="11"/>
    </w:p>
    <w:p w14:paraId="1B9AFD97" w14:textId="77777777" w:rsidR="004F7670" w:rsidRDefault="006C618A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1B9AFD98" w14:textId="77777777" w:rsidR="004F7670" w:rsidRDefault="006C618A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1B9AFD99" w14:textId="77777777" w:rsidR="004F7670" w:rsidRDefault="006C618A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1B9AFD9A" w14:textId="77777777" w:rsidR="004F7670" w:rsidRDefault="006C618A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1B9AFD9B" w14:textId="77777777" w:rsidR="004F7670" w:rsidRDefault="006C618A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1B9AFD9C" w14:textId="77777777" w:rsidR="004F7670" w:rsidRDefault="006C618A">
      <w:pPr>
        <w:pStyle w:val="FirstParagraph"/>
        <w:numPr>
          <w:ilvl w:val="0"/>
          <w:numId w:val="5"/>
        </w:numPr>
      </w:pPr>
      <w:r>
        <w:rPr>
          <w:b/>
          <w:bCs/>
        </w:rPr>
        <w:t>Crear la Base de Datos (v2):</w:t>
      </w:r>
      <w:r>
        <w:t xml:space="preserve"> En una base </w:t>
      </w:r>
      <w:r>
        <w:rPr>
          <w:b/>
          <w:bCs/>
        </w:rPr>
        <w:t>vacía</w:t>
      </w:r>
      <w:r>
        <w:t xml:space="preserve"> (por ejemplo, </w:t>
      </w:r>
      <w:r>
        <w:rPr>
          <w:rStyle w:val="VerbatimChar"/>
        </w:rPr>
        <w:t>zooki_db</w:t>
      </w:r>
      <w:r>
        <w:t xml:space="preserve"> recién creada con </w:t>
      </w:r>
      <w:r>
        <w:rPr>
          <w:rStyle w:val="VerbatimChar"/>
        </w:rPr>
        <w:t>utf8mb4</w:t>
      </w:r>
      <w:r>
        <w:t xml:space="preserve">), importa en este orden </w:t>
      </w:r>
      <w:r>
        <w:rPr>
          <w:rStyle w:val="VerbatimChar"/>
        </w:rPr>
        <w:t>database/01_schema.sql</w:t>
      </w:r>
      <w:r>
        <w:t xml:space="preserve"> (el esquema) y </w:t>
      </w:r>
      <w:r>
        <w:rPr>
          <w:rStyle w:val="VerbatimChar"/>
        </w:rPr>
        <w:t>database/02_semilla.sql</w:t>
      </w:r>
      <w:r>
        <w:t xml:space="preserve"> (roles, planes y catálogos). Luego corre </w:t>
      </w:r>
      <w:r>
        <w:rPr>
          <w:rStyle w:val="VerbatimChar"/>
        </w:rPr>
        <w:t>php scripts/migrar.php</w:t>
      </w:r>
      <w:r>
        <w:t>: aplica las migraciones que falten y vuelve a aplicar la semilla sin duplicar nada. La v2 no migra datos de la v1: sobre una base v1 el esquema falla y el migrador se niega a correr.</w:t>
      </w:r>
    </w:p>
    <w:p w14:paraId="1B9AFD9D" w14:textId="77777777" w:rsidR="004F7670" w:rsidRDefault="006C618A">
      <w:pPr>
        <w:pStyle w:val="FirstParagraph"/>
        <w:numPr>
          <w:ilvl w:val="0"/>
          <w:numId w:val="5"/>
        </w:numPr>
      </w:pPr>
      <w:r>
        <w:rPr>
          <w:b/>
          <w:bCs/>
        </w:rPr>
        <w:t>Crear el super-administrador:</w:t>
      </w:r>
      <w:r>
        <w:t xml:space="preserve"> </w:t>
      </w:r>
      <w:r>
        <w:rPr>
          <w:rStyle w:val="VerbatimChar"/>
        </w:rPr>
        <w:t>php scripts/crear_superadmin.php</w:t>
      </w:r>
      <w:r>
        <w:t xml:space="preserve"> </w:t>
      </w:r>
      <w:r>
        <w:t xml:space="preserve">pide por consola el correo, el nombre y la contraseña (sin mostrarla) y crea la cuenta de la plataforma. Se niega si el correo ya existe. Ninguna credencial queda en el código ni en el SQL. En producción: </w:t>
      </w:r>
      <w:r>
        <w:rPr>
          <w:rStyle w:val="VerbatimChar"/>
        </w:rPr>
        <w:t>docker exec -it zooki_web php scripts/crear_superadmin.php</w:t>
      </w:r>
      <w:r>
        <w:t>.</w:t>
      </w:r>
    </w:p>
    <w:p w14:paraId="1B9AFD9E" w14:textId="77777777" w:rsidR="004F7670" w:rsidRDefault="006C618A">
      <w:pPr>
        <w:pStyle w:val="Ttulo1"/>
      </w:pPr>
      <w:bookmarkStart w:id="12" w:name="_5233c221c4a8823eebc12df8512a06fd868d428"/>
      <w:bookmarkStart w:id="13" w:name="_Toc243600209"/>
      <w:bookmarkEnd w:id="6"/>
      <w:bookmarkEnd w:id="10"/>
      <w:r>
        <w:lastRenderedPageBreak/>
        <w:t>Migraciones de la base de datos</w:t>
      </w:r>
      <w:bookmarkEnd w:id="13"/>
    </w:p>
    <w:p w14:paraId="1B9AFD9F" w14:textId="77777777" w:rsidR="004F7670" w:rsidRDefault="006C618A">
      <w:pPr>
        <w:pStyle w:val="FirstParagraph"/>
      </w:pPr>
      <w:r>
        <w:t xml:space="preserve">La base nace de dos archivos que no son migraciones: </w:t>
      </w:r>
      <w:r>
        <w:rPr>
          <w:rStyle w:val="VerbatimChar"/>
        </w:rPr>
        <w:t>database/01_schema.sql</w:t>
      </w:r>
      <w:r>
        <w:t xml:space="preserve"> (las 58 tablas del esquema actual) y </w:t>
      </w:r>
      <w:r>
        <w:rPr>
          <w:rStyle w:val="VerbatimChar"/>
        </w:rPr>
        <w:t>database/02_semilla.sql</w:t>
      </w:r>
      <w:r>
        <w:t xml:space="preserve"> (datos semilla). Las migraciones son los archivos </w:t>
      </w:r>
      <w:r>
        <w:rPr>
          <w:rStyle w:val="VerbatimChar"/>
        </w:rPr>
        <w:t>database/NN_nombre.sql</w:t>
      </w:r>
      <w:r>
        <w:t xml:space="preserve"> </w:t>
      </w:r>
      <w:r>
        <w:t xml:space="preserve">con número </w:t>
      </w:r>
      <w:r>
        <w:rPr>
          <w:b/>
          <w:bCs/>
        </w:rPr>
        <w:t>03 o mayor</w:t>
      </w:r>
      <w:r>
        <w:t xml:space="preserve">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, carga el conocimiento si la migración terminó bien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1B9AFDA0" w14:textId="77777777" w:rsidR="004F7670" w:rsidRDefault="006C618A">
      <w:pPr>
        <w:pStyle w:val="Ttulo2"/>
      </w:pPr>
      <w:bookmarkStart w:id="14" w:name="_f4299c1ff8e9f7a1407b1d9e14a82daeba9728c"/>
      <w:bookmarkStart w:id="15" w:name="_Toc243600210"/>
      <w:r>
        <w:t>Actualizar una instalación v2 existente a alpha.5</w:t>
      </w:r>
      <w:bookmarkEnd w:id="15"/>
    </w:p>
    <w:p w14:paraId="1B9AFDA1" w14:textId="77777777" w:rsidR="004F7670" w:rsidRDefault="006C618A">
      <w:pPr>
        <w:pStyle w:val="FirstParagraph"/>
      </w:pPr>
      <w:r>
        <w:t xml:space="preserve">La actualización desde alpha.4 conserva la base y los archivos: </w:t>
      </w:r>
      <w:r>
        <w:rPr>
          <w:b/>
          <w:bCs/>
        </w:rPr>
        <w:t>no se vuelve a importar 01/02 ni se reinician los volúmenes</w:t>
      </w:r>
      <w:r>
        <w:t xml:space="preserve">. El arranque aplica las migraciones 08, 09 y 10 pendientes y la semilla idempotente. Antes de integrar a </w:t>
      </w:r>
      <w:r>
        <w:rPr>
          <w:rStyle w:val="VerbatimChar"/>
        </w:rPr>
        <w:t>main</w:t>
      </w:r>
      <w:r>
        <w:t xml:space="preserve">, el dueño comprueba ambos trabajos del CI (general y MySQL 8), realiza un respaldo legible de la base y de los archivos subidos y revisa el PR de la rama de release. Si Dokploy sigue </w:t>
      </w:r>
      <w:r>
        <w:rPr>
          <w:rStyle w:val="VerbatimChar"/>
        </w:rPr>
        <w:t>main</w:t>
      </w:r>
      <w:r>
        <w:t>, el merge puede iniciar el despliegue automáticamente.</w:t>
      </w:r>
    </w:p>
    <w:p w14:paraId="1B9AFDA2" w14:textId="77777777" w:rsidR="004F7670" w:rsidRDefault="006C618A">
      <w:pPr>
        <w:pStyle w:val="Textoindependiente"/>
      </w:pPr>
      <w:r>
        <w:t xml:space="preserve">Después del despliegue se revisan los logs completos de migración y conocimiento, </w:t>
      </w:r>
      <w:r>
        <w:rPr>
          <w:rStyle w:val="VerbatimChar"/>
        </w:rPr>
        <w:t>php scripts/migrar.php --revisar</w:t>
      </w:r>
      <w:r>
        <w:t xml:space="preserve"> dentro del contenedor y la versión </w:t>
      </w:r>
      <w:r>
        <w:rPr>
          <w:b/>
          <w:bCs/>
        </w:rPr>
        <w:t>2.0.0-alpha.5</w:t>
      </w:r>
      <w:r>
        <w:t xml:space="preserve"> en el contenedor y en pantalla. Apache también puede arrancar aunque falle una migración: que abra el sitio no acredita una actualización correcta. Se conserva el Schedule existente de </w:t>
      </w:r>
      <w:r>
        <w:rPr>
          <w:rStyle w:val="VerbatimChar"/>
        </w:rPr>
        <w:t>scripts/vigilar_atenciones.php</w:t>
      </w:r>
      <w:r>
        <w:t xml:space="preserve"> cada cinco minutos: ahora procesa también la cascada y los eventos pendientes de agenda; no depende de abrir el calendario ni requiere duplicar ese trabajador.</w:t>
      </w:r>
    </w:p>
    <w:p w14:paraId="1B9AFDA3" w14:textId="77777777" w:rsidR="004F7670" w:rsidRDefault="006C618A">
      <w:pPr>
        <w:pStyle w:val="Textoindependiente"/>
      </w:pPr>
      <w:r>
        <w:t xml:space="preserve">El Grafo I vive versionado en </w:t>
      </w:r>
      <w:r>
        <w:rPr>
          <w:rStyle w:val="VerbatimChar"/>
        </w:rPr>
        <w:t>database/conocimiento/</w:t>
      </w:r>
      <w:r>
        <w:t xml:space="preserve">, con fuentes por elemento y validación veterinaria pendiente. </w:t>
      </w:r>
      <w:r>
        <w:t xml:space="preserve">En XAMPP, después de </w:t>
      </w:r>
      <w:r>
        <w:rPr>
          <w:rStyle w:val="VerbatimChar"/>
        </w:rPr>
        <w:t>php scripts/migrar.php</w:t>
      </w:r>
      <w:r>
        <w:t xml:space="preserve">, ejecutar </w:t>
      </w:r>
      <w:r>
        <w:rPr>
          <w:rStyle w:val="VerbatimChar"/>
        </w:rPr>
        <w:t>php scripts/cargar_conocimiento.php</w:t>
      </w:r>
      <w:r>
        <w:t xml:space="preserve">; con </w:t>
      </w:r>
      <w:r>
        <w:rPr>
          <w:rStyle w:val="VerbatimChar"/>
        </w:rPr>
        <w:t>--revisar</w:t>
      </w:r>
      <w:r>
        <w:t xml:space="preserve"> se valida y se muestran cambios sin escribir. La carga conserva IDs, retira lógicamente y no duplica al repetir el mismo conjunto.</w:t>
      </w:r>
    </w:p>
    <w:p w14:paraId="1B9AFDA4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Volumen nuevo:</w:t>
      </w:r>
      <w:r>
        <w:t xml:space="preserve"> cuando el volumen </w:t>
      </w:r>
      <w:r>
        <w:rPr>
          <w:rStyle w:val="VerbatimChar"/>
        </w:rPr>
        <w:t>db_data</w:t>
      </w:r>
      <w:r>
        <w:t xml:space="preserve"> está vacío, MySQL ejecuta en orden alfabético los </w:t>
      </w:r>
      <w:r>
        <w:rPr>
          <w:rStyle w:val="VerbatimChar"/>
        </w:rPr>
        <w:t>.sql</w:t>
      </w:r>
      <w:r>
        <w:t xml:space="preserve"> del primer nivel de </w:t>
      </w:r>
      <w:r>
        <w:rPr>
          <w:rStyle w:val="VerbatimChar"/>
        </w:rPr>
        <w:t>database/</w:t>
      </w:r>
      <w:r>
        <w:t xml:space="preserve"> (</w:t>
      </w:r>
      <w:r>
        <w:rPr>
          <w:rStyle w:val="VerbatimChar"/>
        </w:rPr>
        <w:t>01</w:t>
      </w:r>
      <w:r>
        <w:t xml:space="preserve">, </w:t>
      </w:r>
      <w:r>
        <w:rPr>
          <w:rStyle w:val="VerbatimChar"/>
        </w:rPr>
        <w:t>02</w:t>
      </w:r>
      <w:r>
        <w:t xml:space="preserve"> y las migraciones). Las subcarpetas no se recorren: por eso el modelo de drawDB vive en </w:t>
      </w:r>
      <w:r>
        <w:rPr>
          <w:rStyle w:val="VerbatimChar"/>
        </w:rPr>
        <w:t>database/modelo/</w:t>
      </w:r>
      <w:r>
        <w:t>.</w:t>
      </w:r>
    </w:p>
    <w:p w14:paraId="1B9AFDA5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</w:t>
      </w:r>
      <w:r>
        <w:t xml:space="preserve">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1B9AFDA6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Semilla:</w:t>
      </w:r>
      <w:r>
        <w:t xml:space="preserve"> el migrador aplica </w:t>
      </w:r>
      <w:r>
        <w:rPr>
          <w:rStyle w:val="VerbatimChar"/>
        </w:rPr>
        <w:t>02_semilla.sql</w:t>
      </w:r>
      <w:r>
        <w:t xml:space="preserve"> en cada arranque, después de las migraciones. Solo inserta lo que falta (</w:t>
      </w:r>
      <w:r>
        <w:rPr>
          <w:rStyle w:val="VerbatimChar"/>
        </w:rPr>
        <w:t>INSERT IGNORE</w:t>
      </w:r>
      <w:r>
        <w:t xml:space="preserve"> con claves explícitas e índices únicos) y nunca sobrescribe: un precio o un nombre cambiados desde la plataforma se conservan.</w:t>
      </w:r>
    </w:p>
    <w:p w14:paraId="1B9AFDA7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Base v1:</w:t>
      </w:r>
      <w:r>
        <w:t xml:space="preserve"> si la base no tiene la tabla </w:t>
      </w:r>
      <w:r>
        <w:rPr>
          <w:rStyle w:val="VerbatimChar"/>
        </w:rPr>
        <w:t>clinicas</w:t>
      </w:r>
      <w:r>
        <w:t xml:space="preserve"> o la columna </w:t>
      </w:r>
      <w:r>
        <w:rPr>
          <w:rStyle w:val="VerbatimChar"/>
        </w:rPr>
        <w:t>usuarios.id_usuario</w:t>
      </w:r>
      <w:r>
        <w:t>, el migrador se niega con un mensaje claro. Hay que respaldarla y crear la base de nuevo.</w:t>
      </w:r>
    </w:p>
    <w:p w14:paraId="1B9AFDA8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1B9AFDA9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 y la semilla; con </w:t>
      </w:r>
      <w:r>
        <w:rPr>
          <w:rStyle w:val="VerbatimChar"/>
        </w:rPr>
        <w:t>--revisar</w:t>
      </w:r>
      <w:r>
        <w:t xml:space="preserve"> solo muestra qué aplicaría.</w:t>
      </w:r>
    </w:p>
    <w:p w14:paraId="1B9AFDAA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(consulta </w:t>
      </w:r>
      <w:r>
        <w:rPr>
          <w:rStyle w:val="VerbatimChar"/>
        </w:rPr>
        <w:t>information_schema</w:t>
      </w:r>
      <w:r>
        <w:t xml:space="preserve"> antes de crear una columna o un índice, y revisa si la fila existe antes de insertarla), porque en una instalación nueva la corre MySQL al crear la base y luego el migrador. Si agrega filas a un catálogo global, van en </w:t>
      </w:r>
      <w:r>
        <w:rPr>
          <w:rStyle w:val="VerbatimChar"/>
        </w:rPr>
        <w:t>02_semilla.sql</w:t>
      </w:r>
      <w:r>
        <w:t xml:space="preserve"> con su id explícito.</w:t>
      </w:r>
    </w:p>
    <w:p w14:paraId="1B9AFDAB" w14:textId="77777777" w:rsidR="004F7670" w:rsidRDefault="006C618A">
      <w:pPr>
        <w:pStyle w:val="Compact"/>
        <w:numPr>
          <w:ilvl w:val="0"/>
          <w:numId w:val="6"/>
        </w:numPr>
      </w:pPr>
      <w:r>
        <w:rPr>
          <w:b/>
          <w:bCs/>
        </w:rPr>
        <w:t>CI:</w:t>
      </w:r>
      <w:r>
        <w:t xml:space="preserve"> GitHub Actions carga </w:t>
      </w:r>
      <w:r>
        <w:rPr>
          <w:rStyle w:val="VerbatimChar"/>
        </w:rPr>
        <w:t>01_schema.sql</w:t>
      </w:r>
      <w:r>
        <w:t xml:space="preserve"> y </w:t>
      </w:r>
      <w:r>
        <w:rPr>
          <w:rStyle w:val="VerbatimChar"/>
        </w:rPr>
        <w:t>02_semilla.sql</w:t>
      </w:r>
      <w:r>
        <w:t xml:space="preserve"> en un MySQL 8 vacío, corre el migrador dos veces, comprueba los conteos de la semilla y crea la base desde un volumen vacío como lo hace </w:t>
      </w:r>
      <w:r>
        <w:rPr>
          <w:rStyle w:val="VerbatimChar"/>
        </w:rPr>
        <w:t>docker-compose.yml</w:t>
      </w:r>
      <w:r>
        <w:t>.</w:t>
      </w:r>
    </w:p>
    <w:p w14:paraId="1B9AFDAC" w14:textId="77777777" w:rsidR="004F7670" w:rsidRDefault="006C618A">
      <w:pPr>
        <w:pStyle w:val="Ttulo1"/>
      </w:pPr>
      <w:bookmarkStart w:id="16" w:name="_d9c5b7939f8499c03b80e00b5d3f2be6e2dc8f7"/>
      <w:bookmarkStart w:id="17" w:name="_Toc243600211"/>
      <w:bookmarkEnd w:id="12"/>
      <w:bookmarkEnd w:id="14"/>
      <w:r>
        <w:lastRenderedPageBreak/>
        <w:t>Modelo de Base de Datos</w:t>
      </w:r>
      <w:bookmarkEnd w:id="17"/>
    </w:p>
    <w:p w14:paraId="1B9AFDAD" w14:textId="77777777" w:rsidR="004F7670" w:rsidRDefault="006C618A">
      <w:pPr>
        <w:pStyle w:val="FirstParagraph"/>
      </w:pPr>
      <w:r>
        <w:t xml:space="preserve">Zooki v2 es una plataforma </w:t>
      </w:r>
      <w:r>
        <w:rPr>
          <w:b/>
          <w:bCs/>
        </w:rPr>
        <w:t>multi-inquilino</w:t>
      </w:r>
      <w:r>
        <w:t>: cada clínica es un inquilino (</w:t>
      </w:r>
      <w:r>
        <w:rPr>
          <w:rStyle w:val="VerbatimChar"/>
        </w:rPr>
        <w:t>id_clinica</w:t>
      </w:r>
      <w:r>
        <w:t xml:space="preserve">) y toda consulta de negocio se filtra por la clínica del contexto activo. El modelo completo está en documentacion/MER.md; el ejecutable, en </w:t>
      </w:r>
      <w:r>
        <w:rPr>
          <w:rStyle w:val="VerbatimChar"/>
        </w:rPr>
        <w:t>database/01_schema.sql</w:t>
      </w:r>
      <w:r>
        <w:t>. Las tablas se agrupan así:</w:t>
      </w:r>
    </w:p>
    <w:p w14:paraId="1B9AFDAE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Plataforma:</w:t>
      </w:r>
      <w:r>
        <w:t xml:space="preserve"> </w:t>
      </w:r>
      <w:r>
        <w:rPr>
          <w:rStyle w:val="VerbatimChar"/>
        </w:rPr>
        <w:t>planes</w:t>
      </w:r>
      <w:r>
        <w:t xml:space="preserve">, </w:t>
      </w:r>
      <w:r>
        <w:rPr>
          <w:rStyle w:val="VerbatimChar"/>
        </w:rPr>
        <w:t>clinicas</w:t>
      </w:r>
      <w:r>
        <w:t xml:space="preserve">, </w:t>
      </w:r>
      <w:r>
        <w:rPr>
          <w:rStyle w:val="VerbatimChar"/>
        </w:rPr>
        <w:t>suscripciones</w:t>
      </w:r>
      <w:r>
        <w:t xml:space="preserve"> y </w:t>
      </w:r>
      <w:r>
        <w:rPr>
          <w:rStyle w:val="VerbatimChar"/>
        </w:rPr>
        <w:t>plantillas_comunicacion</w:t>
      </w:r>
      <w:r>
        <w:t>.</w:t>
      </w:r>
    </w:p>
    <w:p w14:paraId="1B9AFDAF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Identidad y acceso:</w:t>
      </w:r>
      <w:r>
        <w:t xml:space="preserve"> </w:t>
      </w:r>
      <w:r>
        <w:rPr>
          <w:rStyle w:val="VerbatimChar"/>
        </w:rPr>
        <w:t>usuarios</w:t>
      </w:r>
      <w:r>
        <w:t xml:space="preserve"> (una identidad por persona, con clave </w:t>
      </w:r>
      <w:r>
        <w:rPr>
          <w:rStyle w:val="VerbatimChar"/>
        </w:rPr>
        <w:t>id_usuario</w:t>
      </w:r>
      <w:r>
        <w:t xml:space="preserve">; el documento y el correo son únicos pero corregibles), </w:t>
      </w:r>
      <w:r>
        <w:rPr>
          <w:rStyle w:val="VerbatimChar"/>
        </w:rPr>
        <w:t>roles</w:t>
      </w:r>
      <w:r>
        <w:t xml:space="preserve">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propietario</w:t>
      </w:r>
      <w:r>
        <w:t xml:space="preserve"> y </w:t>
      </w:r>
      <w:r>
        <w:rPr>
          <w:rStyle w:val="VerbatimChar"/>
        </w:rPr>
        <w:t>super-administrador</w:t>
      </w:r>
      <w:r>
        <w:t xml:space="preserve">), </w:t>
      </w:r>
      <w:r>
        <w:rPr>
          <w:rStyle w:val="VerbatimChar"/>
        </w:rPr>
        <w:t>usuario_clinica</w:t>
      </w:r>
      <w:r>
        <w:t xml:space="preserve"> (rol de personal en cada clínica),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consentimientos_datos</w:t>
      </w:r>
      <w:r>
        <w:t xml:space="preserve">, </w:t>
      </w:r>
      <w:r>
        <w:rPr>
          <w:rStyle w:val="VerbatimChar"/>
        </w:rPr>
        <w:t>password_resets</w:t>
      </w:r>
      <w:r>
        <w:t xml:space="preserve">, </w:t>
      </w:r>
      <w:r>
        <w:rPr>
          <w:rStyle w:val="VerbatimChar"/>
        </w:rPr>
        <w:t>verificaciones_email</w:t>
      </w:r>
      <w:r>
        <w:t xml:space="preserve">, </w:t>
      </w:r>
      <w:r>
        <w:rPr>
          <w:rStyle w:val="VerbatimChar"/>
        </w:rPr>
        <w:t>intentos_login</w:t>
      </w:r>
      <w:r>
        <w:t xml:space="preserve"> y </w:t>
      </w:r>
      <w:r>
        <w:rPr>
          <w:rStyle w:val="VerbatimChar"/>
        </w:rPr>
        <w:t>casos_soporte</w:t>
      </w:r>
      <w:r>
        <w:t>.</w:t>
      </w:r>
    </w:p>
    <w:p w14:paraId="1B9AFDB0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Pacientes:</w:t>
      </w:r>
      <w:r>
        <w:t xml:space="preserve"> </w:t>
      </w:r>
      <w:r>
        <w:rPr>
          <w:rStyle w:val="VerbatimChar"/>
        </w:rPr>
        <w:t>mascotas</w:t>
      </w:r>
      <w:r>
        <w:t xml:space="preserve"> (ficha global con carnet QR), </w:t>
      </w:r>
      <w:r>
        <w:rPr>
          <w:rStyle w:val="VerbatimChar"/>
        </w:rPr>
        <w:t>mascota_clinica</w:t>
      </w:r>
      <w:r>
        <w:t xml:space="preserve"> (vínculo y número de historia por clínica), </w:t>
      </w:r>
      <w:r>
        <w:rPr>
          <w:rStyle w:val="VerbatimChar"/>
        </w:rPr>
        <w:t>mascota_colores</w:t>
      </w:r>
      <w:r>
        <w:t xml:space="preserve">, </w:t>
      </w:r>
      <w:r>
        <w:rPr>
          <w:rStyle w:val="VerbatimChar"/>
        </w:rPr>
        <w:t>alertas_medicas</w:t>
      </w:r>
      <w:r>
        <w:t xml:space="preserve">, </w:t>
      </w:r>
      <w:r>
        <w:rPr>
          <w:rStyle w:val="VerbatimChar"/>
        </w:rPr>
        <w:t>carnet_escaneos</w:t>
      </w:r>
      <w:r>
        <w:t xml:space="preserve"> e </w:t>
      </w:r>
      <w:r>
        <w:rPr>
          <w:rStyle w:val="VerbatimChar"/>
        </w:rPr>
        <w:t>ingresos_emergencia</w:t>
      </w:r>
      <w:r>
        <w:t xml:space="preserve">; catálogos globales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colores_base</w:t>
      </w:r>
      <w:r>
        <w:t>.</w:t>
      </w:r>
    </w:p>
    <w:p w14:paraId="1B9AFDB1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Agenda:</w:t>
      </w:r>
      <w:r>
        <w:t xml:space="preserve">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citas</w:t>
      </w:r>
      <w:r>
        <w:t xml:space="preserve"> (con triage de 4 niveles y protección contra doble reserva), </w:t>
      </w:r>
      <w:r>
        <w:rPr>
          <w:rStyle w:val="VerbatimChar"/>
        </w:rPr>
        <w:t>cita_sintomas</w:t>
      </w:r>
      <w:r>
        <w:t xml:space="preserve"> y </w:t>
      </w:r>
      <w:r>
        <w:rPr>
          <w:rStyle w:val="VerbatimChar"/>
        </w:rPr>
        <w:t>reasignaciones</w:t>
      </w:r>
      <w:r>
        <w:t>.</w:t>
      </w:r>
    </w:p>
    <w:p w14:paraId="1B9AFDB2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Historia clínica:</w:t>
      </w:r>
      <w:r>
        <w:t xml:space="preserve">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consulta_sintomas</w:t>
      </w:r>
      <w:r>
        <w:t xml:space="preserve">, </w:t>
      </w:r>
      <w:r>
        <w:rPr>
          <w:rStyle w:val="VerbatimChar"/>
        </w:rPr>
        <w:t>tratamientos</w:t>
      </w:r>
      <w:r>
        <w:t xml:space="preserve"> y </w:t>
      </w:r>
      <w:r>
        <w:rPr>
          <w:rStyle w:val="VerbatimChar"/>
        </w:rPr>
        <w:t>archivos_clinicos</w:t>
      </w:r>
      <w:r>
        <w:t>.</w:t>
      </w:r>
    </w:p>
    <w:p w14:paraId="1B9AFDB3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Prevención:</w:t>
      </w:r>
      <w:r>
        <w:t xml:space="preserve">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; catálogos por clínica </w:t>
      </w:r>
      <w:r>
        <w:rPr>
          <w:rStyle w:val="VerbatimChar"/>
        </w:rPr>
        <w:t>vacunas_base</w:t>
      </w:r>
      <w:r>
        <w:t xml:space="preserve">, </w:t>
      </w:r>
      <w:r>
        <w:rPr>
          <w:rStyle w:val="VerbatimChar"/>
        </w:rPr>
        <w:t>especie_vacunas</w:t>
      </w:r>
      <w:r>
        <w:t xml:space="preserve">, </w:t>
      </w:r>
      <w:r>
        <w:rPr>
          <w:rStyle w:val="VerbatimChar"/>
        </w:rPr>
        <w:t>laboratorios_base</w:t>
      </w:r>
      <w:r>
        <w:t xml:space="preserve"> y </w:t>
      </w:r>
      <w:r>
        <w:rPr>
          <w:rStyle w:val="VerbatimChar"/>
        </w:rPr>
        <w:t>productos_desparasitacion_base</w:t>
      </w:r>
      <w:r>
        <w:t>.</w:t>
      </w:r>
    </w:p>
    <w:p w14:paraId="1B9AFDB4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Grafo clínico (global):</w:t>
      </w:r>
      <w:r>
        <w:t xml:space="preserve"> </w:t>
      </w:r>
      <w:r>
        <w:rPr>
          <w:rStyle w:val="VerbatimChar"/>
        </w:rPr>
        <w:t>grafo_nodos</w:t>
      </w:r>
      <w:r>
        <w:t xml:space="preserve"> y </w:t>
      </w:r>
      <w:r>
        <w:rPr>
          <w:rStyle w:val="VerbatimChar"/>
        </w:rPr>
        <w:t>grafo_aristas</w:t>
      </w:r>
      <w:r>
        <w:t>.</w:t>
      </w:r>
    </w:p>
    <w:p w14:paraId="1B9AFDB5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Reputación:</w:t>
      </w:r>
      <w:r>
        <w:t xml:space="preserve"> </w:t>
      </w:r>
      <w:r>
        <w:rPr>
          <w:rStyle w:val="VerbatimChar"/>
        </w:rPr>
        <w:t>especialidades</w:t>
      </w:r>
      <w:r>
        <w:t xml:space="preserve">, </w:t>
      </w:r>
      <w:r>
        <w:rPr>
          <w:rStyle w:val="VerbatimChar"/>
        </w:rPr>
        <w:t>veterinario_perfil</w:t>
      </w:r>
      <w:r>
        <w:t xml:space="preserve">, </w:t>
      </w:r>
      <w:r>
        <w:rPr>
          <w:rStyle w:val="VerbatimChar"/>
        </w:rPr>
        <w:t>veterinario_especialidades</w:t>
      </w:r>
      <w:r>
        <w:t xml:space="preserve"> y </w:t>
      </w:r>
      <w:r>
        <w:rPr>
          <w:rStyle w:val="VerbatimChar"/>
        </w:rPr>
        <w:t>resenas_veterinario</w:t>
      </w:r>
      <w:r>
        <w:t>.</w:t>
      </w:r>
    </w:p>
    <w:p w14:paraId="1B9AFDB6" w14:textId="77777777" w:rsidR="004F7670" w:rsidRDefault="006C618A">
      <w:pPr>
        <w:pStyle w:val="Compact"/>
        <w:numPr>
          <w:ilvl w:val="0"/>
          <w:numId w:val="7"/>
        </w:numPr>
      </w:pPr>
      <w:r>
        <w:rPr>
          <w:b/>
          <w:bCs/>
        </w:rPr>
        <w:t>Comunicaciones y auditoría:</w:t>
      </w:r>
      <w:r>
        <w:t xml:space="preserve">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auditoria_mascotas</w:t>
      </w:r>
      <w:r>
        <w:t xml:space="preserve"> y </w:t>
      </w:r>
      <w:r>
        <w:rPr>
          <w:rStyle w:val="VerbatimChar"/>
        </w:rPr>
        <w:t>auditoria_sistema</w:t>
      </w:r>
      <w:r>
        <w:t>.</w:t>
      </w:r>
    </w:p>
    <w:p w14:paraId="1B9AFDB7" w14:textId="77777777" w:rsidR="004F7670" w:rsidRDefault="006C618A">
      <w:pPr>
        <w:pStyle w:val="Ttulo1"/>
      </w:pPr>
      <w:bookmarkStart w:id="18" w:name="_42308d7be4873d2fef4c2b6ff2abcb3a9ef9d83"/>
      <w:bookmarkStart w:id="19" w:name="_Toc243600212"/>
      <w:bookmarkEnd w:id="16"/>
      <w:r>
        <w:lastRenderedPageBreak/>
        <w:t>Principios de Diseño (SOLID)</w:t>
      </w:r>
      <w:bookmarkEnd w:id="19"/>
    </w:p>
    <w:p w14:paraId="1B9AFDB8" w14:textId="77777777" w:rsidR="004F7670" w:rsidRDefault="006C618A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1B9AFDB9" w14:textId="77777777" w:rsidR="004F7670" w:rsidRDefault="006C618A">
      <w:pPr>
        <w:pStyle w:val="Compact"/>
        <w:numPr>
          <w:ilvl w:val="0"/>
          <w:numId w:val="8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1B9AFDBA" w14:textId="77777777" w:rsidR="004F7670" w:rsidRDefault="006C618A">
      <w:pPr>
        <w:pStyle w:val="Compact"/>
        <w:numPr>
          <w:ilvl w:val="0"/>
          <w:numId w:val="8"/>
        </w:numPr>
      </w:pPr>
      <w:r>
        <w:rPr>
          <w:b/>
          <w:bCs/>
        </w:rPr>
        <w:t>Abierto/Cerrado (OCP):</w:t>
      </w:r>
      <w:r>
        <w:t xml:space="preserve"> Modularidad en el enrutamiento centralizado que permite agregar nuevas rutas de controladores sin modificar la estructura del despachador inicial.</w:t>
      </w:r>
    </w:p>
    <w:p w14:paraId="1B9AFDBB" w14:textId="77777777" w:rsidR="004F7670" w:rsidRDefault="006C618A">
      <w:pPr>
        <w:pStyle w:val="Compact"/>
        <w:numPr>
          <w:ilvl w:val="0"/>
          <w:numId w:val="8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</w:p>
    <w:p w14:paraId="1B9AFDBC" w14:textId="77777777" w:rsidR="004F7670" w:rsidRDefault="006C618A">
      <w:pPr>
        <w:pStyle w:val="Ttulo1"/>
      </w:pPr>
      <w:bookmarkStart w:id="20" w:name="_62a42e488eb8293b8c1acca966a2edbcc05788c"/>
      <w:bookmarkStart w:id="21" w:name="_Toc243600213"/>
      <w:bookmarkEnd w:id="18"/>
      <w:r>
        <w:lastRenderedPageBreak/>
        <w:t>Pruebas automáticas y registro público (D3)</w:t>
      </w:r>
      <w:bookmarkEnd w:id="21"/>
    </w:p>
    <w:p w14:paraId="1B9AFDBD" w14:textId="77777777" w:rsidR="004F7670" w:rsidRDefault="006C618A">
      <w:pPr>
        <w:pStyle w:val="FirstParagraph"/>
      </w:pPr>
      <w:r>
        <w:rPr>
          <w:rStyle w:val="VerbatimChar"/>
        </w:rPr>
        <w:t>tests/bootstrap.php</w:t>
      </w:r>
      <w:r>
        <w:t xml:space="preserve"> impide que PHPUnit abra implícitamente la base de la aplicación, antes de leer </w:t>
      </w:r>
      <w:r>
        <w:rPr>
          <w:rStyle w:val="VerbatimChar"/>
        </w:rPr>
        <w:t>.env</w:t>
      </w:r>
      <w:r>
        <w:t xml:space="preserve">, y deja el almacén de intentos sin conexión por defecto. Las pruebas inyectan SQLite en memoria; </w:t>
      </w:r>
      <w:r>
        <w:rPr>
          <w:rStyle w:val="VerbatimChar"/>
        </w:rPr>
        <w:t>BaseV2MysqlTest</w:t>
      </w:r>
      <w:r>
        <w:t xml:space="preserve"> usa exclusivamente </w:t>
      </w:r>
      <w:r>
        <w:rPr>
          <w:rStyle w:val="VerbatimChar"/>
        </w:rPr>
        <w:t>zooki_test_base_v2</w:t>
      </w:r>
      <w:r>
        <w:t xml:space="preserve"> y borra esa base en cada prueba. No se debe apuntar a una base de trabajo. Los subprocesos PHP heredan la guarda mediante </w:t>
      </w:r>
      <w:r>
        <w:rPr>
          <w:rStyle w:val="VerbatimChar"/>
        </w:rPr>
        <w:t>ZOOKI_ENTORNO_PRUEBAS</w:t>
      </w:r>
      <w:r>
        <w:t>.</w:t>
      </w:r>
    </w:p>
    <w:p w14:paraId="1B9AFDBE" w14:textId="77777777" w:rsidR="004F7670" w:rsidRDefault="006C618A">
      <w:pPr>
        <w:pStyle w:val="SourceCode"/>
      </w:pPr>
      <w:r>
        <w:rPr>
          <w:rStyle w:val="NormalTok"/>
        </w:rPr>
        <w:t>vendor</w:t>
      </w:r>
      <w:r>
        <w:rPr>
          <w:rStyle w:val="OperatorTok"/>
        </w:rPr>
        <w:t>/</w:t>
      </w:r>
      <w:r>
        <w:rPr>
          <w:rStyle w:val="NormalTok"/>
        </w:rPr>
        <w:t>bin</w:t>
      </w:r>
      <w:r>
        <w:rPr>
          <w:rStyle w:val="OperatorTok"/>
        </w:rPr>
        <w:t>/</w:t>
      </w:r>
      <w:r>
        <w:rPr>
          <w:rStyle w:val="NormalTok"/>
        </w:rPr>
        <w:t>phpunit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 xml:space="preserve">test </w:t>
      </w:r>
      <w:r>
        <w:rPr>
          <w:rStyle w:val="StringTok"/>
        </w:rPr>
        <w:t>"tests/Frontend/**/*.test.cjs"</w:t>
      </w:r>
    </w:p>
    <w:p w14:paraId="1B9AFDBF" w14:textId="77777777" w:rsidR="004F7670" w:rsidRDefault="006C618A">
      <w:pPr>
        <w:pStyle w:val="FirstParagraph"/>
      </w:pPr>
      <w:r>
        <w:t xml:space="preserve">Para habilitar la suite contra una instancia de MySQL/MariaDB propia de pruebas, define </w:t>
      </w:r>
      <w:r>
        <w:rPr>
          <w:rStyle w:val="VerbatimChar"/>
        </w:rPr>
        <w:t>ZOOKI_TEST_MYSQL_HOST</w:t>
      </w:r>
      <w:r>
        <w:t xml:space="preserve"> y, si corresponde, </w:t>
      </w:r>
      <w:r>
        <w:rPr>
          <w:rStyle w:val="VerbatimChar"/>
        </w:rPr>
        <w:t>ZOOKI_TEST_MYSQL_PORT</w:t>
      </w:r>
      <w:r>
        <w:t xml:space="preserve">, </w:t>
      </w:r>
      <w:r>
        <w:rPr>
          <w:rStyle w:val="VerbatimChar"/>
        </w:rPr>
        <w:t>ZOOKI_TEST_MYSQL_USER</w:t>
      </w:r>
      <w:r>
        <w:t xml:space="preserve"> y </w:t>
      </w:r>
      <w:r>
        <w:rPr>
          <w:rStyle w:val="VerbatimChar"/>
        </w:rPr>
        <w:t>ZOOKI_TEST_MYSQL_PASS</w:t>
      </w:r>
      <w:r>
        <w:t xml:space="preserve">. Deja </w:t>
      </w:r>
      <w:r>
        <w:rPr>
          <w:rStyle w:val="VerbatimChar"/>
        </w:rPr>
        <w:t>ZOOKI_TEST_MYSQL_DB</w:t>
      </w:r>
      <w:r>
        <w:t xml:space="preserve"> sin definir: la base predeterminada es </w:t>
      </w:r>
      <w:r>
        <w:rPr>
          <w:rStyle w:val="VerbatimChar"/>
        </w:rPr>
        <w:t>zooki_test_base_v2</w:t>
      </w:r>
      <w:r>
        <w:t xml:space="preserve">. La guarda rechaza otra base y </w:t>
      </w:r>
      <w:r>
        <w:rPr>
          <w:rStyle w:val="VerbatimChar"/>
        </w:rPr>
        <w:t>Database</w:t>
      </w:r>
      <w:r>
        <w:t xml:space="preserve"> solo admite la configuración de pruebas explícita; no reutiliza las credenciales de la aplicación.</w:t>
      </w:r>
    </w:p>
    <w:p w14:paraId="1B9AFDC0" w14:textId="77777777" w:rsidR="004F7670" w:rsidRDefault="006C618A">
      <w:pPr>
        <w:pStyle w:val="Textoindependiente"/>
      </w:pPr>
      <w:r>
        <w:t xml:space="preserve">El registro de clínicas y el autorregistro de propietarios verifican Turnstile en el servidor. Las claves de prueba de </w:t>
      </w:r>
      <w:r>
        <w:rPr>
          <w:rStyle w:val="VerbatimChar"/>
        </w:rPr>
        <w:t>.env.example</w:t>
      </w:r>
      <w:r>
        <w:t xml:space="preserve"> siempre aprueban; se sustituyen por las de Cloudflare en producción. La lista mantenida de correos desechables está en </w:t>
      </w:r>
      <w:r>
        <w:rPr>
          <w:rStyle w:val="VerbatimChar"/>
        </w:rPr>
        <w:t>config/dominios_desechables.txt</w:t>
      </w:r>
      <w:r>
        <w:t xml:space="preserve">, un dominio por línea. La tarea horaria existente </w:t>
      </w:r>
      <w:r>
        <w:rPr>
          <w:rStyle w:val="VerbatimChar"/>
        </w:rPr>
        <w:t>scripts/limpiar_cuentas_pendientes.php</w:t>
      </w:r>
      <w:r>
        <w:t xml:space="preserve"> limpia altas vencidas de personal y clínicas; no elimina identidades preexistentes al registrar una clínica.</w:t>
      </w:r>
      <w:bookmarkEnd w:id="20"/>
    </w:p>
    <w:sectPr w:rsidR="004F7670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BEE70" w14:textId="77777777" w:rsidR="006C618A" w:rsidRDefault="006C618A">
      <w:pPr>
        <w:spacing w:after="0" w:line="240" w:lineRule="auto"/>
      </w:pPr>
      <w:r>
        <w:separator/>
      </w:r>
    </w:p>
  </w:endnote>
  <w:endnote w:type="continuationSeparator" w:id="0">
    <w:p w14:paraId="0E292607" w14:textId="77777777" w:rsidR="006C618A" w:rsidRDefault="006C6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AFDCC" w14:textId="77777777" w:rsidR="004F7670" w:rsidRDefault="006C618A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AFDCE" w14:textId="77777777" w:rsidR="004F7670" w:rsidRDefault="004F76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54D6E" w14:textId="77777777" w:rsidR="006C618A" w:rsidRDefault="006C618A">
      <w:pPr>
        <w:spacing w:after="0" w:line="240" w:lineRule="auto"/>
      </w:pPr>
      <w:r>
        <w:separator/>
      </w:r>
    </w:p>
  </w:footnote>
  <w:footnote w:type="continuationSeparator" w:id="0">
    <w:p w14:paraId="68727569" w14:textId="77777777" w:rsidR="006C618A" w:rsidRDefault="006C6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4F7670" w14:paraId="1B9AFDCA" w14:textId="77777777" w:rsidTr="004F767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1B9AFDC5" w14:textId="77777777" w:rsidR="004F7670" w:rsidRDefault="006C618A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1B9AFDCF" wp14:editId="1B9AFDD0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B9AFDC6" w14:textId="77777777" w:rsidR="004F7670" w:rsidRDefault="006C618A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1B9AFDC7" w14:textId="77777777" w:rsidR="004F7670" w:rsidRDefault="006C618A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1B9AFDC8" w14:textId="77777777" w:rsidR="004F7670" w:rsidRDefault="004F7670">
          <w:pPr>
            <w:spacing w:after="0" w:line="240" w:lineRule="auto"/>
            <w:jc w:val="right"/>
          </w:pPr>
        </w:p>
        <w:p w14:paraId="1B9AFDC9" w14:textId="77777777" w:rsidR="004F7670" w:rsidRDefault="006C618A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1B9AFDCB" w14:textId="77777777" w:rsidR="004F7670" w:rsidRDefault="004F7670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AFDCD" w14:textId="77777777" w:rsidR="004F7670" w:rsidRDefault="004F76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0257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9347E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0A203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47002687">
    <w:abstractNumId w:val="0"/>
  </w:num>
  <w:num w:numId="2" w16cid:durableId="1477452925">
    <w:abstractNumId w:val="1"/>
  </w:num>
  <w:num w:numId="3" w16cid:durableId="594870519">
    <w:abstractNumId w:val="1"/>
  </w:num>
  <w:num w:numId="4" w16cid:durableId="750203685">
    <w:abstractNumId w:val="1"/>
  </w:num>
  <w:num w:numId="5" w16cid:durableId="12287614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98535827">
    <w:abstractNumId w:val="1"/>
  </w:num>
  <w:num w:numId="7" w16cid:durableId="1127700775">
    <w:abstractNumId w:val="1"/>
  </w:num>
  <w:num w:numId="8" w16cid:durableId="331877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7670"/>
    <w:rsid w:val="0022095D"/>
    <w:rsid w:val="004F7670"/>
    <w:rsid w:val="006C618A"/>
    <w:rsid w:val="00E9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AFD5C"/>
  <w15:docId w15:val="{9059BC66-9FDE-4537-9749-F283DB52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1974</Words>
  <Characters>10863</Characters>
  <Application>Microsoft Office Word</Application>
  <DocSecurity>0</DocSecurity>
  <Lines>90</Lines>
  <Paragraphs>25</Paragraphs>
  <ScaleCrop>false</ScaleCrop>
  <Company/>
  <LinksUpToDate>false</LinksUpToDate>
  <CharactersWithSpaces>12812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2026-10-23T03:22:00Z</dcterms:created>
  <dcterms:modified xsi:type="dcterms:W3CDTF">2026-10-23T03:23:00Z</dcterms:modified>
</cp:coreProperties>
</file>