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712E6" w14:textId="77777777" w:rsidR="008F0362" w:rsidRDefault="008F0362">
      <w:pPr>
        <w:pStyle w:val="PortadaEspacio"/>
        <w:spacing w:before="3800"/>
      </w:pPr>
    </w:p>
    <w:p w14:paraId="4A5712E7" w14:textId="77777777" w:rsidR="008F0362" w:rsidRDefault="00B659A6">
      <w:pPr>
        <w:pStyle w:val="PortadaTitulo"/>
      </w:pPr>
      <w:r>
        <w:t>Modelo Entidad-Relación (MER)</w:t>
      </w:r>
    </w:p>
    <w:p w14:paraId="4A5712E8" w14:textId="77777777" w:rsidR="008F0362" w:rsidRDefault="00B659A6">
      <w:pPr>
        <w:pStyle w:val="PortadaProyecto"/>
      </w:pPr>
      <w:r>
        <w:t>Proyecto: Zooki v2.0</w:t>
      </w:r>
    </w:p>
    <w:p w14:paraId="4A5712E9" w14:textId="77777777" w:rsidR="008F0362" w:rsidRDefault="008F0362">
      <w:pPr>
        <w:pStyle w:val="PortadaAutoria"/>
        <w:spacing w:after="200"/>
      </w:pPr>
    </w:p>
    <w:p w14:paraId="4A5712EA" w14:textId="77777777" w:rsidR="008F0362" w:rsidRDefault="00B659A6">
      <w:pPr>
        <w:pStyle w:val="PortadaAutoria"/>
      </w:pPr>
      <w:r>
        <w:t>Elaborado por: Juan Sebastián Carvajal Home</w:t>
      </w:r>
    </w:p>
    <w:p w14:paraId="4A5712EB" w14:textId="77777777" w:rsidR="008F0362" w:rsidRDefault="00B659A6">
      <w:pPr>
        <w:pStyle w:val="PortadaAutoria"/>
      </w:pPr>
      <w:r>
        <w:t>Instructor: Oscar Eduardo Yanguas</w:t>
      </w:r>
    </w:p>
    <w:p w14:paraId="4A5712EC" w14:textId="77777777" w:rsidR="008F0362" w:rsidRDefault="00B659A6">
      <w:pPr>
        <w:pStyle w:val="PortadaAutoria"/>
      </w:pPr>
      <w:r>
        <w:t>Tecnología en Análisis y Desarrollo de Software (ADSO) · Ficha 3142784</w:t>
      </w:r>
    </w:p>
    <w:p w14:paraId="4A5712ED" w14:textId="77777777" w:rsidR="008F0362" w:rsidRDefault="00B659A6">
      <w:pPr>
        <w:pStyle w:val="PortadaAutoria"/>
      </w:pPr>
      <w:r>
        <w:t>Servicio Nacional de Aprendizaje (SENA) · Centro Tecnológico de la Amazonia</w:t>
      </w:r>
    </w:p>
    <w:p w14:paraId="4A5712EE" w14:textId="77777777" w:rsidR="008F0362" w:rsidRDefault="00B659A6">
      <w:pPr>
        <w:pStyle w:val="PortadaAutoria"/>
      </w:pPr>
      <w:r>
        <w:t>Florencia, Caquetá</w:t>
      </w:r>
    </w:p>
    <w:p w14:paraId="4A5712EF" w14:textId="77777777" w:rsidR="008F0362" w:rsidRDefault="008F0362">
      <w:pPr>
        <w:pStyle w:val="PortadaEspacio"/>
        <w:spacing w:before="2600"/>
      </w:pPr>
    </w:p>
    <w:p w14:paraId="4A5712F0" w14:textId="77777777" w:rsidR="008F0362" w:rsidRDefault="00B659A6">
      <w:pPr>
        <w:pStyle w:val="PortadaPie"/>
      </w:pPr>
      <w:r>
        <w:rPr>
          <w:noProof/>
        </w:rPr>
        <w:drawing>
          <wp:inline distT="0" distB="0" distL="0" distR="0" wp14:anchorId="4A571342" wp14:editId="4A571343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A5712F1" w14:textId="77777777" w:rsidR="008F0362" w:rsidRDefault="00B659A6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8F0362" w14:paraId="4A5712F5" w14:textId="77777777" w:rsidTr="00710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4A5712F2" w14:textId="77777777" w:rsidR="008F0362" w:rsidRDefault="00B659A6" w:rsidP="007104BF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4A5712F3" w14:textId="77777777" w:rsidR="008F0362" w:rsidRDefault="00B659A6" w:rsidP="007104BF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4A5712F4" w14:textId="77777777" w:rsidR="008F0362" w:rsidRDefault="00B659A6" w:rsidP="007104BF">
            <w:pPr>
              <w:pStyle w:val="Celda"/>
              <w:keepNext/>
            </w:pPr>
            <w:r>
              <w:t>Autor</w:t>
            </w:r>
          </w:p>
        </w:tc>
      </w:tr>
      <w:tr w:rsidR="008F0362" w14:paraId="4A5712F9" w14:textId="77777777" w:rsidTr="007104BF">
        <w:trPr>
          <w:cantSplit/>
        </w:trPr>
        <w:tc>
          <w:tcPr>
            <w:tcW w:w="1153" w:type="pct"/>
          </w:tcPr>
          <w:p w14:paraId="4A5712F6" w14:textId="77777777" w:rsidR="008F0362" w:rsidRDefault="00B659A6">
            <w:pPr>
              <w:pStyle w:val="Celda"/>
            </w:pPr>
            <w:r>
              <w:t>06/10/2026</w:t>
            </w:r>
          </w:p>
        </w:tc>
        <w:tc>
          <w:tcPr>
            <w:tcW w:w="962" w:type="pct"/>
          </w:tcPr>
          <w:p w14:paraId="4A5712F7" w14:textId="77777777" w:rsidR="008F0362" w:rsidRDefault="00B659A6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4A5712F8" w14:textId="77777777" w:rsidR="008F0362" w:rsidRDefault="00B659A6">
            <w:pPr>
              <w:pStyle w:val="Celda"/>
            </w:pPr>
            <w:r>
              <w:t>Juan Sebastián Carvajal Home</w:t>
            </w:r>
          </w:p>
        </w:tc>
      </w:tr>
    </w:tbl>
    <w:p w14:paraId="4A5712FA" w14:textId="77777777" w:rsidR="008F0362" w:rsidRDefault="00B659A6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8F0362" w14:paraId="4A5712FD" w14:textId="77777777" w:rsidTr="00710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4A5712FB" w14:textId="77777777" w:rsidR="008F0362" w:rsidRDefault="00B659A6" w:rsidP="007104BF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4A5712FC" w14:textId="77777777" w:rsidR="008F0362" w:rsidRDefault="00B659A6" w:rsidP="007104BF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8F0362" w14:paraId="4A571300" w14:textId="77777777" w:rsidTr="007104BF">
        <w:trPr>
          <w:cantSplit/>
          <w:trHeight w:val="1250"/>
        </w:trPr>
        <w:tc>
          <w:tcPr>
            <w:tcW w:w="2500" w:type="pct"/>
          </w:tcPr>
          <w:p w14:paraId="4A5712FE" w14:textId="77777777" w:rsidR="008F0362" w:rsidRDefault="008F0362" w:rsidP="007104BF">
            <w:pPr>
              <w:pStyle w:val="Celda"/>
              <w:keepNext/>
            </w:pPr>
          </w:p>
        </w:tc>
        <w:tc>
          <w:tcPr>
            <w:tcW w:w="2500" w:type="pct"/>
          </w:tcPr>
          <w:p w14:paraId="4A5712FF" w14:textId="77777777" w:rsidR="008F0362" w:rsidRDefault="008F0362" w:rsidP="007104BF">
            <w:pPr>
              <w:pStyle w:val="Celda"/>
              <w:keepNext/>
            </w:pPr>
          </w:p>
        </w:tc>
      </w:tr>
      <w:tr w:rsidR="008F0362" w14:paraId="4A571303" w14:textId="77777777" w:rsidTr="007104BF">
        <w:trPr>
          <w:cantSplit/>
        </w:trPr>
        <w:tc>
          <w:tcPr>
            <w:tcW w:w="2500" w:type="pct"/>
          </w:tcPr>
          <w:p w14:paraId="4A571301" w14:textId="77777777" w:rsidR="008F0362" w:rsidRDefault="00B659A6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A571302" w14:textId="77777777" w:rsidR="008F0362" w:rsidRDefault="00B659A6">
            <w:pPr>
              <w:pStyle w:val="Celda"/>
            </w:pPr>
            <w:r>
              <w:t>Fdo.: Oscar Eduardo Yanguas — Instructor</w:t>
            </w:r>
          </w:p>
        </w:tc>
      </w:tr>
    </w:tbl>
    <w:p w14:paraId="4A571304" w14:textId="77777777" w:rsidR="008F0362" w:rsidRDefault="00B659A6">
      <w:pPr>
        <w:pStyle w:val="TituloSeccion"/>
      </w:pPr>
      <w:r>
        <w:lastRenderedPageBreak/>
        <w:t>Contenido</w:t>
      </w:r>
    </w:p>
    <w:p w14:paraId="356DFADF" w14:textId="791B11C1" w:rsidR="007104BF" w:rsidRDefault="00B659A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97152" w:history="1">
        <w:r w:rsidR="007104BF" w:rsidRPr="00BC6B9B">
          <w:rPr>
            <w:rStyle w:val="Hipervnculo"/>
            <w:noProof/>
          </w:rPr>
          <w:t>Aislamiento multi-inquilino</w:t>
        </w:r>
        <w:r w:rsidR="007104BF">
          <w:rPr>
            <w:noProof/>
            <w:webHidden/>
          </w:rPr>
          <w:tab/>
        </w:r>
        <w:r w:rsidR="007104BF">
          <w:rPr>
            <w:noProof/>
            <w:webHidden/>
          </w:rPr>
          <w:fldChar w:fldCharType="begin"/>
        </w:r>
        <w:r w:rsidR="007104BF">
          <w:rPr>
            <w:noProof/>
            <w:webHidden/>
          </w:rPr>
          <w:instrText xml:space="preserve"> PAGEREF _Toc242197152 \h </w:instrText>
        </w:r>
        <w:r w:rsidR="007104BF">
          <w:rPr>
            <w:noProof/>
            <w:webHidden/>
          </w:rPr>
        </w:r>
        <w:r w:rsidR="007104BF">
          <w:rPr>
            <w:noProof/>
            <w:webHidden/>
          </w:rPr>
          <w:fldChar w:fldCharType="separate"/>
        </w:r>
        <w:r w:rsidR="007104BF">
          <w:rPr>
            <w:noProof/>
            <w:webHidden/>
          </w:rPr>
          <w:t>5</w:t>
        </w:r>
        <w:r w:rsidR="007104BF">
          <w:rPr>
            <w:noProof/>
            <w:webHidden/>
          </w:rPr>
          <w:fldChar w:fldCharType="end"/>
        </w:r>
      </w:hyperlink>
    </w:p>
    <w:p w14:paraId="573E0D42" w14:textId="7487BA64" w:rsidR="007104BF" w:rsidRDefault="007104B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53" w:history="1">
        <w:r w:rsidRPr="00BC6B9B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8F8B6D" w14:textId="14F5A4D0" w:rsidR="007104BF" w:rsidRDefault="007104B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7154" w:history="1">
        <w:r w:rsidRPr="00BC6B9B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E47E08" w14:textId="2A969AF3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55" w:history="1">
        <w:r w:rsidRPr="00BC6B9B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C3E3E7" w14:textId="4FB868D3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56" w:history="1">
        <w:r w:rsidRPr="00BC6B9B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0B1472" w14:textId="677E00E5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57" w:history="1">
        <w:r w:rsidRPr="00BC6B9B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1C393F" w14:textId="447218B7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58" w:history="1">
        <w:r w:rsidRPr="00BC6B9B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D0BF0" w14:textId="5437A3CA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59" w:history="1">
        <w:r w:rsidRPr="00BC6B9B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4FDF50" w14:textId="2FEC9F8E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60" w:history="1">
        <w:r w:rsidRPr="00BC6B9B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36D3E8" w14:textId="767EAA57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61" w:history="1">
        <w:r w:rsidRPr="00BC6B9B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6C4EF0" w14:textId="3470CFFF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62" w:history="1">
        <w:r w:rsidRPr="00BC6B9B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1D16FF" w14:textId="78C4A1BB" w:rsidR="007104BF" w:rsidRDefault="007104B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7163" w:history="1">
        <w:r w:rsidRPr="00BC6B9B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571305" w14:textId="3107E4E4" w:rsidR="008F0362" w:rsidRDefault="00B659A6">
      <w:pPr>
        <w:pStyle w:val="TDC1"/>
      </w:pPr>
      <w:r>
        <w:fldChar w:fldCharType="end"/>
      </w:r>
    </w:p>
    <w:p w14:paraId="4A571306" w14:textId="77777777" w:rsidR="008F0362" w:rsidRDefault="00B659A6">
      <w:r>
        <w:br w:type="page"/>
      </w:r>
    </w:p>
    <w:p w14:paraId="4A571307" w14:textId="77777777" w:rsidR="008F0362" w:rsidRDefault="00B659A6">
      <w:pPr>
        <w:pStyle w:val="FirstParagraph"/>
      </w:pPr>
      <w:r>
        <w:lastRenderedPageBreak/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4A571308" w14:textId="77777777" w:rsidR="008F0362" w:rsidRDefault="00B659A6">
      <w:pPr>
        <w:pStyle w:val="Ttulo1"/>
      </w:pPr>
      <w:bookmarkStart w:id="0" w:name="_2169bb510914396473aa1c71ab8bc09f79b86cc"/>
      <w:bookmarkStart w:id="1" w:name="_Toc242197152"/>
      <w:r>
        <w:lastRenderedPageBreak/>
        <w:t>Aislamiento multi-inquilino</w:t>
      </w:r>
      <w:bookmarkEnd w:id="1"/>
    </w:p>
    <w:p w14:paraId="4A571309" w14:textId="77777777" w:rsidR="008F0362" w:rsidRDefault="00B659A6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4A57130A" w14:textId="77777777" w:rsidR="008F0362" w:rsidRDefault="00B659A6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</w:t>
      </w:r>
      <w:r>
        <w:t xml:space="preserve">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</w:t>
      </w:r>
      <w:r>
        <w:t>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4A57130B" w14:textId="77777777" w:rsidR="008F0362" w:rsidRDefault="00B659A6">
      <w:pPr>
        <w:pStyle w:val="Ttulo1"/>
      </w:pPr>
      <w:bookmarkStart w:id="2" w:name="_73c0ee2683bf723e155dc341c5b673c8a0cee0f"/>
      <w:bookmarkStart w:id="3" w:name="_Toc242197153"/>
      <w:bookmarkEnd w:id="0"/>
      <w:r>
        <w:lastRenderedPageBreak/>
        <w:t>Diagrama Entidad-Relación</w:t>
      </w:r>
      <w:bookmarkEnd w:id="3"/>
    </w:p>
    <w:p w14:paraId="4A57130C" w14:textId="77777777" w:rsidR="008F0362" w:rsidRDefault="00B659A6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4A57130D" w14:textId="77777777" w:rsidR="008F0362" w:rsidRDefault="00B659A6">
      <w:pPr>
        <w:pStyle w:val="Rotulo"/>
      </w:pPr>
      <w:r>
        <w:t>Figura 1</w:t>
      </w:r>
    </w:p>
    <w:p w14:paraId="4A57130E" w14:textId="77777777" w:rsidR="008F0362" w:rsidRDefault="00B659A6">
      <w:pPr>
        <w:pStyle w:val="RotuloTitulo"/>
      </w:pPr>
      <w:r>
        <w:t>Diagrama Entidad-Relación</w:t>
      </w:r>
    </w:p>
    <w:p w14:paraId="4A57130F" w14:textId="77777777" w:rsidR="008F0362" w:rsidRDefault="00B659A6">
      <w:pPr>
        <w:pStyle w:val="FiguraImagen"/>
      </w:pPr>
      <w:r>
        <w:rPr>
          <w:noProof/>
        </w:rPr>
        <w:drawing>
          <wp:inline distT="0" distB="0" distL="0" distR="0" wp14:anchorId="4A571344" wp14:editId="4A571345">
            <wp:extent cx="5939999" cy="1346971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oeMX1P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34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71310" w14:textId="77777777" w:rsidR="008F0362" w:rsidRDefault="00B659A6">
      <w:pPr>
        <w:pStyle w:val="Ttulo1"/>
      </w:pPr>
      <w:bookmarkStart w:id="4" w:name="_175abadf9b0a49af33d36e1016fa2ba4e3dbee1"/>
      <w:bookmarkStart w:id="5" w:name="_Toc242197154"/>
      <w:bookmarkEnd w:id="2"/>
      <w:r>
        <w:lastRenderedPageBreak/>
        <w:t>Detalle de Entidades Principales</w:t>
      </w:r>
      <w:bookmarkEnd w:id="5"/>
    </w:p>
    <w:p w14:paraId="4A571311" w14:textId="77777777" w:rsidR="008F0362" w:rsidRDefault="00B659A6">
      <w:pPr>
        <w:pStyle w:val="Ttulo2"/>
      </w:pPr>
      <w:bookmarkStart w:id="6" w:name="_c2b7a8b81ef31c74ab584612d4a9fe9e5f481bc"/>
      <w:bookmarkStart w:id="7" w:name="_Toc242197155"/>
      <w:r>
        <w:t>1. Plataforma y suscripción (SaaS) — nuevo</w:t>
      </w:r>
      <w:bookmarkEnd w:id="7"/>
    </w:p>
    <w:p w14:paraId="4A571312" w14:textId="77777777" w:rsidR="008F0362" w:rsidRDefault="00B659A6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4A571313" w14:textId="77777777" w:rsidR="008F0362" w:rsidRDefault="00B659A6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4A571314" w14:textId="77777777" w:rsidR="008F0362" w:rsidRDefault="00B659A6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4A571315" w14:textId="77777777" w:rsidR="008F0362" w:rsidRDefault="00B659A6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4A571316" w14:textId="77777777" w:rsidR="008F0362" w:rsidRDefault="00B659A6">
      <w:pPr>
        <w:pStyle w:val="Ttulo2"/>
      </w:pPr>
      <w:bookmarkStart w:id="8" w:name="_d6a9bf6cf0bb3e49f1d107fe570f8a5ddfe3adf"/>
      <w:bookmarkStart w:id="9" w:name="_Toc242197156"/>
      <w:bookmarkEnd w:id="6"/>
      <w:r>
        <w:t>2. Acceso y usuarios</w:t>
      </w:r>
      <w:bookmarkEnd w:id="9"/>
    </w:p>
    <w:p w14:paraId="4A571317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4A571318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</w:t>
      </w:r>
    </w:p>
    <w:p w14:paraId="4A571319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consentimientos_datos</w:t>
      </w:r>
      <w:r>
        <w:t>: Prueba de la autorización de tratamiento de datos (Ley 1581 de 2012 y Decreto 1377 de 2013): quién aceptó, qué versión de la política, por qué medio, cuándo y desde qué IP (RN-G19).</w:t>
      </w:r>
    </w:p>
    <w:p w14:paraId="4A57131A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4A57131B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</w:t>
      </w:r>
      <w:r>
        <w:t>guarda si el propietario permite que esa clínica vea las consultas registradas por otras clínicas (revocable; RN-113).</w:t>
      </w:r>
    </w:p>
    <w:p w14:paraId="4A57131C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</w:t>
      </w:r>
    </w:p>
    <w:p w14:paraId="4A57131D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 xml:space="preserve">: Contadores de intentos fallidos, sin clave foránea. La clave del contador lleva prefijo: </w:t>
      </w:r>
      <w:r>
        <w:rPr>
          <w:rStyle w:val="VerbatimChar"/>
        </w:rPr>
        <w:t>ip:&lt;dirección&gt;</w:t>
      </w:r>
      <w:r>
        <w:t xml:space="preserve"> para el bloqueo por IP y </w:t>
      </w:r>
      <w:r>
        <w:rPr>
          <w:rStyle w:val="VerbatimChar"/>
        </w:rPr>
        <w:t>cuenta:&lt;id_usuario&gt;</w:t>
      </w:r>
      <w:r>
        <w:t xml:space="preserve"> para exigir el CAPTCHA por cuenta (RN-G15).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4A57131E" w14:textId="77777777" w:rsidR="008F0362" w:rsidRDefault="00B659A6">
      <w:pPr>
        <w:pStyle w:val="Compact"/>
        <w:numPr>
          <w:ilvl w:val="0"/>
          <w:numId w:val="3"/>
        </w:numPr>
      </w:pPr>
      <w:r>
        <w:rPr>
          <w:b/>
          <w:bCs/>
        </w:rPr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4A57131F" w14:textId="77777777" w:rsidR="008F0362" w:rsidRDefault="00B659A6">
      <w:pPr>
        <w:pStyle w:val="Ttulo2"/>
      </w:pPr>
      <w:bookmarkStart w:id="10" w:name="_1eb549e2a9c91af4bfaebaeb7bc947a2e39f25e"/>
      <w:bookmarkStart w:id="11" w:name="_Toc242197157"/>
      <w:bookmarkEnd w:id="8"/>
      <w:r>
        <w:t>3. Reputación de veterinarios — nuevo</w:t>
      </w:r>
      <w:bookmarkEnd w:id="11"/>
    </w:p>
    <w:p w14:paraId="4A571320" w14:textId="77777777" w:rsidR="008F0362" w:rsidRDefault="00B659A6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4A571321" w14:textId="77777777" w:rsidR="008F0362" w:rsidRDefault="00B659A6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4A571322" w14:textId="77777777" w:rsidR="008F0362" w:rsidRDefault="00B659A6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4A571323" w14:textId="77777777" w:rsidR="008F0362" w:rsidRDefault="00B659A6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4A571324" w14:textId="77777777" w:rsidR="008F0362" w:rsidRDefault="00B659A6">
      <w:pPr>
        <w:pStyle w:val="Ttulo2"/>
      </w:pPr>
      <w:bookmarkStart w:id="12" w:name="_fa59eaf9d7724395b60f4af2c2b485b4008604a"/>
      <w:bookmarkStart w:id="13" w:name="_Toc242197158"/>
      <w:bookmarkEnd w:id="10"/>
      <w:r>
        <w:t>4. Grafo de conocimiento clínico (Grafo I) — nuevo, global</w:t>
      </w:r>
      <w:bookmarkEnd w:id="13"/>
    </w:p>
    <w:p w14:paraId="4A571325" w14:textId="77777777" w:rsidR="008F0362" w:rsidRDefault="00B659A6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>).</w:t>
      </w:r>
    </w:p>
    <w:p w14:paraId="4A571326" w14:textId="77777777" w:rsidR="008F0362" w:rsidRDefault="00B659A6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favorece, lo negativo contraindica o veta. Compartido por todas las clínicas.</w:t>
      </w:r>
    </w:p>
    <w:p w14:paraId="4A571327" w14:textId="77777777" w:rsidR="008F0362" w:rsidRDefault="00B659A6">
      <w:pPr>
        <w:pStyle w:val="Compact"/>
        <w:numPr>
          <w:ilvl w:val="0"/>
          <w:numId w:val="5"/>
        </w:numPr>
      </w:pPr>
      <w:r>
        <w:lastRenderedPageBreak/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4A571328" w14:textId="77777777" w:rsidR="008F0362" w:rsidRDefault="00B659A6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</w:t>
      </w:r>
      <w:r>
        <w:t xml:space="preserve">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y los parámetros de la clínica. Solo persiste lo que debe sobrevivir entre una petición y otra: las reasignaciones que esperan confirmación (</w:t>
      </w:r>
      <w:r>
        <w:rPr>
          <w:rStyle w:val="VerbatimChar"/>
        </w:rPr>
        <w:t>reasignaciones</w:t>
      </w:r>
      <w:r>
        <w:t>) y las propuestas de horario (</w:t>
      </w:r>
      <w:r>
        <w:rPr>
          <w:rStyle w:val="VerbatimChar"/>
        </w:rPr>
        <w:t>propuestas_horario</w:t>
      </w:r>
      <w:r>
        <w:t>).</w:t>
      </w:r>
    </w:p>
    <w:p w14:paraId="4A571329" w14:textId="77777777" w:rsidR="008F0362" w:rsidRDefault="00B659A6">
      <w:pPr>
        <w:pStyle w:val="Ttulo2"/>
      </w:pPr>
      <w:bookmarkStart w:id="14" w:name="_6eeb017515ec0d317c46fe31a59e3575da4b41c"/>
      <w:bookmarkStart w:id="15" w:name="_Toc242197159"/>
      <w:bookmarkEnd w:id="12"/>
      <w:r>
        <w:t>5. Pacientes y catálogos taxonómicos</w:t>
      </w:r>
      <w:bookmarkEnd w:id="15"/>
    </w:p>
    <w:p w14:paraId="4A57132A" w14:textId="77777777" w:rsidR="008F0362" w:rsidRDefault="00B659A6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</w:t>
      </w:r>
      <w:r>
        <w:t xml:space="preserve">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</w:t>
      </w:r>
      <w:r>
        <w:t xml:space="preserve">es aleatorio (≥ 128 bits) y 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4A57132B" w14:textId="77777777" w:rsidR="008F0362" w:rsidRDefault="00B659A6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4A57132C" w14:textId="77777777" w:rsidR="008F0362" w:rsidRDefault="00B659A6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4A57132D" w14:textId="77777777" w:rsidR="008F0362" w:rsidRDefault="00B659A6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4A57132E" w14:textId="77777777" w:rsidR="008F0362" w:rsidRDefault="00B659A6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>: Registro de cada escaneo del carnet público: fecha, IP anonimizada (hash) y ubicación solo si quien escanea la comparte. Alimenta el aviso al propietario y el límite de consultas por IP (RN-504, RN-505).</w:t>
      </w:r>
    </w:p>
    <w:p w14:paraId="4A57132F" w14:textId="77777777" w:rsidR="008F0362" w:rsidRDefault="00B659A6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</w:t>
      </w:r>
    </w:p>
    <w:p w14:paraId="4A571330" w14:textId="77777777" w:rsidR="008F0362" w:rsidRDefault="00B659A6">
      <w:pPr>
        <w:pStyle w:val="Ttulo2"/>
      </w:pPr>
      <w:bookmarkStart w:id="16" w:name="_d2e8a251732834f58b38cf075788a677d355bc0"/>
      <w:bookmarkStart w:id="17" w:name="_Toc242197160"/>
      <w:bookmarkEnd w:id="14"/>
      <w:r>
        <w:t>6. Operación clínica</w:t>
      </w:r>
      <w:bookmarkEnd w:id="17"/>
    </w:p>
    <w:p w14:paraId="4A571331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</w:t>
      </w:r>
      <w:r>
        <w:t xml:space="preserve">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</w:t>
      </w:r>
    </w:p>
    <w:p w14:paraId="4A571332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</w:t>
      </w:r>
      <w:r>
        <w:t>indica si una cita de ese tipo puede interrumpirse por una urgencia (RN-427).</w:t>
      </w:r>
    </w:p>
    <w:p w14:paraId="4A571333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4A571334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</w:t>
      </w:r>
      <w:r>
        <w:t>(reasignación de sus citas). La trazabilidad de quién atendió realmente la da la historia clínica, no la agenda.</w:t>
      </w:r>
    </w:p>
    <w:p w14:paraId="4A571335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4A571336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4A571337" w14:textId="77777777" w:rsidR="008F0362" w:rsidRDefault="00B659A6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4A571338" w14:textId="77777777" w:rsidR="008F0362" w:rsidRDefault="00B659A6">
      <w:pPr>
        <w:pStyle w:val="Ttulo2"/>
      </w:pPr>
      <w:bookmarkStart w:id="18" w:name="_d717dda87a0fa1125b482ed50a29711e040ab78"/>
      <w:bookmarkStart w:id="19" w:name="_Toc242197161"/>
      <w:bookmarkEnd w:id="16"/>
      <w:r>
        <w:t>7. Prevención</w:t>
      </w:r>
      <w:bookmarkEnd w:id="19"/>
    </w:p>
    <w:p w14:paraId="4A571339" w14:textId="77777777" w:rsidR="008F0362" w:rsidRDefault="00B659A6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</w:t>
      </w:r>
      <w:r>
        <w:t>y el veterinario que lo aplicó, para mostrar en el carnet y en la historia compartida qué clínica lo hizo (RN-112).</w:t>
      </w:r>
    </w:p>
    <w:p w14:paraId="4A57133A" w14:textId="77777777" w:rsidR="008F0362" w:rsidRDefault="00B659A6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especie_vacunas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 xml:space="preserve">: Catálogos configurables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>).</w:t>
      </w:r>
    </w:p>
    <w:p w14:paraId="4A57133B" w14:textId="77777777" w:rsidR="008F0362" w:rsidRDefault="00B659A6">
      <w:pPr>
        <w:pStyle w:val="Ttulo2"/>
      </w:pPr>
      <w:bookmarkStart w:id="20" w:name="_0560edb7cb7205277d9e3cd97c31da13d513556"/>
      <w:bookmarkStart w:id="21" w:name="_Toc242197162"/>
      <w:bookmarkEnd w:id="18"/>
      <w:r>
        <w:t>8. Comunicaciones y auditoría</w:t>
      </w:r>
      <w:bookmarkEnd w:id="21"/>
    </w:p>
    <w:p w14:paraId="4A57133C" w14:textId="77777777" w:rsidR="008F0362" w:rsidRDefault="00B659A6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</w:t>
      </w:r>
      <w:r>
        <w:t>es NULL en los avisos de la plataforma que no pertenecen a una clínica: escaneo del carnet, cambio de correo o de documento.</w:t>
      </w:r>
    </w:p>
    <w:p w14:paraId="4A57133D" w14:textId="77777777" w:rsidR="008F0362" w:rsidRDefault="00B659A6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>: Avisos al personal por usuario o rol, por clínica.</w:t>
      </w:r>
    </w:p>
    <w:p w14:paraId="4A57133E" w14:textId="77777777" w:rsidR="008F0362" w:rsidRDefault="00B659A6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4A57133F" w14:textId="77777777" w:rsidR="008F0362" w:rsidRDefault="00B659A6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</w:t>
      </w:r>
      <w:r>
        <w:t>pasa a ser clave foránea (NULL cuando el intento no corresponde a una cuenta): como las cuentas nunca se borran, solo se anonimizan, la referencia siempre es válida.</w:t>
      </w:r>
    </w:p>
    <w:p w14:paraId="4A571340" w14:textId="77777777" w:rsidR="008F0362" w:rsidRDefault="00B659A6">
      <w:pPr>
        <w:pStyle w:val="Ttulo2"/>
      </w:pPr>
      <w:bookmarkStart w:id="22" w:name="_cb1741f9772febdbdca46263dec4ffd4ce97a2d"/>
      <w:bookmarkStart w:id="23" w:name="_Toc242197163"/>
      <w:bookmarkEnd w:id="20"/>
      <w:r>
        <w:t>9. Infraestructura</w:t>
      </w:r>
      <w:bookmarkEnd w:id="23"/>
    </w:p>
    <w:p w14:paraId="4A571341" w14:textId="77777777" w:rsidR="008F0362" w:rsidRDefault="00B659A6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aplicadas; la mantiene </w:t>
      </w:r>
      <w:r>
        <w:rPr>
          <w:rStyle w:val="VerbatimChar"/>
        </w:rPr>
        <w:t>scripts/migrar.php</w:t>
      </w:r>
      <w:r>
        <w:t>. (Sin cambios.)</w:t>
      </w:r>
      <w:bookmarkEnd w:id="4"/>
      <w:bookmarkEnd w:id="22"/>
    </w:p>
    <w:sectPr w:rsidR="008F0362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5E91F" w14:textId="77777777" w:rsidR="00B659A6" w:rsidRDefault="00B659A6">
      <w:pPr>
        <w:spacing w:after="0" w:line="240" w:lineRule="auto"/>
      </w:pPr>
      <w:r>
        <w:separator/>
      </w:r>
    </w:p>
  </w:endnote>
  <w:endnote w:type="continuationSeparator" w:id="0">
    <w:p w14:paraId="0675138B" w14:textId="77777777" w:rsidR="00B659A6" w:rsidRDefault="00B65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7134D" w14:textId="77777777" w:rsidR="008F0362" w:rsidRDefault="00B659A6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7134F" w14:textId="77777777" w:rsidR="008F0362" w:rsidRDefault="008F036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65A1C" w14:textId="77777777" w:rsidR="00B659A6" w:rsidRDefault="00B659A6">
      <w:pPr>
        <w:spacing w:after="0" w:line="240" w:lineRule="auto"/>
      </w:pPr>
      <w:r>
        <w:separator/>
      </w:r>
    </w:p>
  </w:footnote>
  <w:footnote w:type="continuationSeparator" w:id="0">
    <w:p w14:paraId="3DB25443" w14:textId="77777777" w:rsidR="00B659A6" w:rsidRDefault="00B65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8F0362" w14:paraId="4A57134B" w14:textId="77777777" w:rsidTr="008F036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4A571346" w14:textId="77777777" w:rsidR="008F0362" w:rsidRDefault="00B659A6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4A571350" wp14:editId="4A571351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4A571347" w14:textId="77777777" w:rsidR="008F0362" w:rsidRDefault="00B659A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4A571348" w14:textId="77777777" w:rsidR="008F0362" w:rsidRDefault="00B659A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4A571349" w14:textId="77777777" w:rsidR="008F0362" w:rsidRDefault="008F0362">
          <w:pPr>
            <w:spacing w:after="0" w:line="240" w:lineRule="auto"/>
            <w:jc w:val="right"/>
          </w:pPr>
        </w:p>
        <w:p w14:paraId="4A57134A" w14:textId="77777777" w:rsidR="008F0362" w:rsidRDefault="00B659A6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4A57134C" w14:textId="77777777" w:rsidR="008F0362" w:rsidRDefault="008F0362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7134E" w14:textId="77777777" w:rsidR="008F0362" w:rsidRDefault="008F03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F82B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79C3D7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92873902">
    <w:abstractNumId w:val="0"/>
  </w:num>
  <w:num w:numId="2" w16cid:durableId="25984573">
    <w:abstractNumId w:val="1"/>
  </w:num>
  <w:num w:numId="3" w16cid:durableId="852304283">
    <w:abstractNumId w:val="1"/>
  </w:num>
  <w:num w:numId="4" w16cid:durableId="463743525">
    <w:abstractNumId w:val="1"/>
  </w:num>
  <w:num w:numId="5" w16cid:durableId="407114338">
    <w:abstractNumId w:val="1"/>
  </w:num>
  <w:num w:numId="6" w16cid:durableId="1481387691">
    <w:abstractNumId w:val="1"/>
  </w:num>
  <w:num w:numId="7" w16cid:durableId="2081055686">
    <w:abstractNumId w:val="1"/>
  </w:num>
  <w:num w:numId="8" w16cid:durableId="471682647">
    <w:abstractNumId w:val="1"/>
  </w:num>
  <w:num w:numId="9" w16cid:durableId="1891575763">
    <w:abstractNumId w:val="1"/>
  </w:num>
  <w:num w:numId="10" w16cid:durableId="2092730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0362"/>
    <w:rsid w:val="007104BF"/>
    <w:rsid w:val="008F0362"/>
    <w:rsid w:val="00AD3396"/>
    <w:rsid w:val="00B6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712E6"/>
  <w15:docId w15:val="{FD439112-AD8C-4246-8AFB-D7D92F145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2847</Words>
  <Characters>15663</Characters>
  <Application>Microsoft Office Word</Application>
  <DocSecurity>0</DocSecurity>
  <Lines>130</Lines>
  <Paragraphs>36</Paragraphs>
  <ScaleCrop>false</ScaleCrop>
  <Company/>
  <LinksUpToDate>false</LinksUpToDate>
  <CharactersWithSpaces>18474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2026-10-06T21:29:00Z</dcterms:created>
  <dcterms:modified xsi:type="dcterms:W3CDTF">2026-10-06T21:33:00Z</dcterms:modified>
</cp:coreProperties>
</file>