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109DE" w14:textId="77777777" w:rsidR="0067676B" w:rsidRDefault="0067676B">
      <w:pPr>
        <w:pStyle w:val="PortadaEspacio"/>
        <w:spacing w:before="3800"/>
      </w:pPr>
    </w:p>
    <w:p w14:paraId="786109DF" w14:textId="77777777" w:rsidR="0067676B" w:rsidRDefault="00B2042E">
      <w:pPr>
        <w:pStyle w:val="PortadaTitulo"/>
      </w:pPr>
      <w:r>
        <w:t>Modelo Entidad-Relación (MER)</w:t>
      </w:r>
    </w:p>
    <w:p w14:paraId="786109E0" w14:textId="77777777" w:rsidR="0067676B" w:rsidRDefault="00B2042E">
      <w:pPr>
        <w:pStyle w:val="PortadaProyecto"/>
      </w:pPr>
      <w:r>
        <w:t>Proyecto: Zooki v2.0</w:t>
      </w:r>
    </w:p>
    <w:p w14:paraId="786109E1" w14:textId="77777777" w:rsidR="0067676B" w:rsidRDefault="0067676B">
      <w:pPr>
        <w:pStyle w:val="PortadaAutoria"/>
        <w:spacing w:after="200"/>
      </w:pPr>
    </w:p>
    <w:p w14:paraId="786109E2" w14:textId="77777777" w:rsidR="0067676B" w:rsidRDefault="00B2042E">
      <w:pPr>
        <w:pStyle w:val="PortadaAutoria"/>
      </w:pPr>
      <w:r>
        <w:t>Elaborado por: Juan Sebastián Carvajal Home</w:t>
      </w:r>
    </w:p>
    <w:p w14:paraId="786109E3" w14:textId="77777777" w:rsidR="0067676B" w:rsidRDefault="00B2042E">
      <w:pPr>
        <w:pStyle w:val="PortadaAutoria"/>
      </w:pPr>
      <w:r>
        <w:t>Instructor: Oscar Eduardo Yanguas</w:t>
      </w:r>
    </w:p>
    <w:p w14:paraId="786109E4" w14:textId="77777777" w:rsidR="0067676B" w:rsidRDefault="00B2042E">
      <w:pPr>
        <w:pStyle w:val="PortadaAutoria"/>
      </w:pPr>
      <w:r>
        <w:t>Tecnología en Análisis y Desarrollo de Software (ADSO) · Ficha 3142784</w:t>
      </w:r>
    </w:p>
    <w:p w14:paraId="786109E5" w14:textId="77777777" w:rsidR="0067676B" w:rsidRDefault="00B2042E">
      <w:pPr>
        <w:pStyle w:val="PortadaAutoria"/>
      </w:pPr>
      <w:r>
        <w:t>Servicio Nacional de Aprendizaje (SENA) · Centro Tecnológico de la Amazonia</w:t>
      </w:r>
    </w:p>
    <w:p w14:paraId="786109E6" w14:textId="77777777" w:rsidR="0067676B" w:rsidRDefault="00B2042E">
      <w:pPr>
        <w:pStyle w:val="PortadaAutoria"/>
      </w:pPr>
      <w:r>
        <w:t>Florencia, Caquetá</w:t>
      </w:r>
    </w:p>
    <w:p w14:paraId="786109E7" w14:textId="77777777" w:rsidR="0067676B" w:rsidRDefault="0067676B">
      <w:pPr>
        <w:pStyle w:val="PortadaEspacio"/>
        <w:spacing w:before="2600"/>
      </w:pPr>
    </w:p>
    <w:p w14:paraId="786109E8" w14:textId="77777777" w:rsidR="0067676B" w:rsidRDefault="00B2042E">
      <w:pPr>
        <w:pStyle w:val="PortadaPie"/>
      </w:pPr>
      <w:r>
        <w:rPr>
          <w:noProof/>
        </w:rPr>
        <w:drawing>
          <wp:inline distT="0" distB="0" distL="0" distR="0" wp14:anchorId="78610A40" wp14:editId="78610A41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786109E9" w14:textId="77777777" w:rsidR="0067676B" w:rsidRDefault="00B2042E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67676B" w14:paraId="786109ED" w14:textId="77777777" w:rsidTr="007547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786109EA" w14:textId="77777777" w:rsidR="0067676B" w:rsidRDefault="00B2042E" w:rsidP="007547F3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786109EB" w14:textId="77777777" w:rsidR="0067676B" w:rsidRDefault="00B2042E" w:rsidP="007547F3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786109EC" w14:textId="77777777" w:rsidR="0067676B" w:rsidRDefault="00B2042E" w:rsidP="007547F3">
            <w:pPr>
              <w:pStyle w:val="Celda"/>
              <w:keepNext/>
            </w:pPr>
            <w:r>
              <w:t>Autor</w:t>
            </w:r>
          </w:p>
        </w:tc>
      </w:tr>
      <w:tr w:rsidR="0067676B" w14:paraId="786109F1" w14:textId="77777777" w:rsidTr="007547F3">
        <w:trPr>
          <w:cantSplit/>
        </w:trPr>
        <w:tc>
          <w:tcPr>
            <w:tcW w:w="1153" w:type="pct"/>
          </w:tcPr>
          <w:p w14:paraId="786109EE" w14:textId="77777777" w:rsidR="0067676B" w:rsidRDefault="00B2042E">
            <w:pPr>
              <w:pStyle w:val="Celda"/>
            </w:pPr>
            <w:r>
              <w:t>14/10/2026</w:t>
            </w:r>
          </w:p>
        </w:tc>
        <w:tc>
          <w:tcPr>
            <w:tcW w:w="962" w:type="pct"/>
          </w:tcPr>
          <w:p w14:paraId="786109EF" w14:textId="77777777" w:rsidR="0067676B" w:rsidRDefault="00B2042E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786109F0" w14:textId="77777777" w:rsidR="0067676B" w:rsidRDefault="00B2042E">
            <w:pPr>
              <w:pStyle w:val="Celda"/>
            </w:pPr>
            <w:r>
              <w:t>Juan Sebastián Carvajal Home</w:t>
            </w:r>
          </w:p>
        </w:tc>
      </w:tr>
    </w:tbl>
    <w:p w14:paraId="786109F2" w14:textId="77777777" w:rsidR="0067676B" w:rsidRDefault="00B2042E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67676B" w14:paraId="786109F5" w14:textId="77777777" w:rsidTr="007547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786109F3" w14:textId="77777777" w:rsidR="0067676B" w:rsidRDefault="00B2042E" w:rsidP="007547F3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786109F4" w14:textId="77777777" w:rsidR="0067676B" w:rsidRDefault="00B2042E" w:rsidP="007547F3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67676B" w14:paraId="786109F8" w14:textId="77777777" w:rsidTr="007547F3">
        <w:trPr>
          <w:cantSplit/>
          <w:trHeight w:val="1250"/>
        </w:trPr>
        <w:tc>
          <w:tcPr>
            <w:tcW w:w="2500" w:type="pct"/>
          </w:tcPr>
          <w:p w14:paraId="786109F6" w14:textId="77777777" w:rsidR="0067676B" w:rsidRDefault="0067676B" w:rsidP="007547F3">
            <w:pPr>
              <w:pStyle w:val="Celda"/>
              <w:keepNext/>
            </w:pPr>
          </w:p>
        </w:tc>
        <w:tc>
          <w:tcPr>
            <w:tcW w:w="2500" w:type="pct"/>
          </w:tcPr>
          <w:p w14:paraId="786109F7" w14:textId="77777777" w:rsidR="0067676B" w:rsidRDefault="0067676B" w:rsidP="007547F3">
            <w:pPr>
              <w:pStyle w:val="Celda"/>
              <w:keepNext/>
            </w:pPr>
          </w:p>
        </w:tc>
      </w:tr>
      <w:tr w:rsidR="0067676B" w14:paraId="786109FB" w14:textId="77777777" w:rsidTr="007547F3">
        <w:trPr>
          <w:cantSplit/>
        </w:trPr>
        <w:tc>
          <w:tcPr>
            <w:tcW w:w="2500" w:type="pct"/>
          </w:tcPr>
          <w:p w14:paraId="786109F9" w14:textId="77777777" w:rsidR="0067676B" w:rsidRDefault="00B2042E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786109FA" w14:textId="77777777" w:rsidR="0067676B" w:rsidRDefault="00B2042E">
            <w:pPr>
              <w:pStyle w:val="Celda"/>
            </w:pPr>
            <w:r>
              <w:t>Fdo.: Oscar Eduardo Yanguas — Instructor</w:t>
            </w:r>
          </w:p>
        </w:tc>
      </w:tr>
    </w:tbl>
    <w:p w14:paraId="786109FC" w14:textId="77777777" w:rsidR="0067676B" w:rsidRDefault="00B2042E">
      <w:pPr>
        <w:pStyle w:val="TituloSeccion"/>
      </w:pPr>
      <w:r>
        <w:lastRenderedPageBreak/>
        <w:t>Contenido</w:t>
      </w:r>
    </w:p>
    <w:p w14:paraId="392EF097" w14:textId="6E699CC7" w:rsidR="007547F3" w:rsidRDefault="00B2042E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30338" w:history="1">
        <w:r w:rsidR="007547F3" w:rsidRPr="00180428">
          <w:rPr>
            <w:rStyle w:val="Hipervnculo"/>
            <w:noProof/>
          </w:rPr>
          <w:t>Aislamiento multi-inquilino</w:t>
        </w:r>
        <w:r w:rsidR="007547F3">
          <w:rPr>
            <w:noProof/>
            <w:webHidden/>
          </w:rPr>
          <w:tab/>
        </w:r>
        <w:r w:rsidR="007547F3">
          <w:rPr>
            <w:noProof/>
            <w:webHidden/>
          </w:rPr>
          <w:fldChar w:fldCharType="begin"/>
        </w:r>
        <w:r w:rsidR="007547F3">
          <w:rPr>
            <w:noProof/>
            <w:webHidden/>
          </w:rPr>
          <w:instrText xml:space="preserve"> PAGEREF _Toc242830338 \h </w:instrText>
        </w:r>
        <w:r w:rsidR="007547F3">
          <w:rPr>
            <w:noProof/>
            <w:webHidden/>
          </w:rPr>
        </w:r>
        <w:r w:rsidR="007547F3">
          <w:rPr>
            <w:noProof/>
            <w:webHidden/>
          </w:rPr>
          <w:fldChar w:fldCharType="separate"/>
        </w:r>
        <w:r w:rsidR="007547F3">
          <w:rPr>
            <w:noProof/>
            <w:webHidden/>
          </w:rPr>
          <w:t>5</w:t>
        </w:r>
        <w:r w:rsidR="007547F3">
          <w:rPr>
            <w:noProof/>
            <w:webHidden/>
          </w:rPr>
          <w:fldChar w:fldCharType="end"/>
        </w:r>
      </w:hyperlink>
    </w:p>
    <w:p w14:paraId="58D09424" w14:textId="5D42F5E3" w:rsidR="007547F3" w:rsidRDefault="007547F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339" w:history="1">
        <w:r w:rsidRPr="00180428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D00743" w14:textId="645E1B4E" w:rsidR="007547F3" w:rsidRDefault="007547F3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340" w:history="1">
        <w:r w:rsidRPr="00180428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B37B8B" w14:textId="09A9E735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1" w:history="1">
        <w:r w:rsidRPr="00180428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97540B" w14:textId="5EE0E266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2" w:history="1">
        <w:r w:rsidRPr="00180428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800DF4" w14:textId="49347CF1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3" w:history="1">
        <w:r w:rsidRPr="00180428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A408F4" w14:textId="01534258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4" w:history="1">
        <w:r w:rsidRPr="00180428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F86523" w14:textId="0C7B22A4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5" w:history="1">
        <w:r w:rsidRPr="00180428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4CCA28" w14:textId="1397E000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6" w:history="1">
        <w:r w:rsidRPr="00180428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F41D3A" w14:textId="7711DCC7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7" w:history="1">
        <w:r w:rsidRPr="00180428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11F27E" w14:textId="24C7A5D6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8" w:history="1">
        <w:r w:rsidRPr="00180428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909CFF" w14:textId="00CC43A7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49" w:history="1">
        <w:r w:rsidRPr="00180428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E3B895" w14:textId="7A1862AF" w:rsidR="007547F3" w:rsidRDefault="007547F3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30350" w:history="1">
        <w:r w:rsidRPr="00180428">
          <w:rPr>
            <w:rStyle w:val="Hipervnculo"/>
            <w:noProof/>
          </w:rPr>
          <w:t>10. Índices y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6109FD" w14:textId="652CECB7" w:rsidR="0067676B" w:rsidRDefault="00B2042E">
      <w:pPr>
        <w:pStyle w:val="TDC1"/>
      </w:pPr>
      <w:r>
        <w:fldChar w:fldCharType="end"/>
      </w:r>
    </w:p>
    <w:p w14:paraId="786109FE" w14:textId="77777777" w:rsidR="0067676B" w:rsidRDefault="00B2042E">
      <w:r>
        <w:br w:type="page"/>
      </w:r>
    </w:p>
    <w:p w14:paraId="786109FF" w14:textId="77777777" w:rsidR="0067676B" w:rsidRDefault="00B2042E">
      <w:pPr>
        <w:pStyle w:val="FirstParagraph"/>
      </w:pPr>
      <w:r>
        <w:lastRenderedPageBreak/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78610A00" w14:textId="77777777" w:rsidR="0067676B" w:rsidRDefault="00B2042E">
      <w:pPr>
        <w:pStyle w:val="Ttulo1"/>
      </w:pPr>
      <w:bookmarkStart w:id="0" w:name="_2169bb510914396473aa1c71ab8bc09f79b86cc"/>
      <w:bookmarkStart w:id="1" w:name="_Toc242830338"/>
      <w:r>
        <w:lastRenderedPageBreak/>
        <w:t>Aislamiento multi-inquilino</w:t>
      </w:r>
      <w:bookmarkEnd w:id="1"/>
    </w:p>
    <w:p w14:paraId="78610A01" w14:textId="77777777" w:rsidR="0067676B" w:rsidRDefault="00B2042E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78610A02" w14:textId="77777777" w:rsidR="0067676B" w:rsidRDefault="00B2042E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(el correo se verifica al crear la cuenta; si ya inició sesión y está verificado, puede elegir otra clínica sin repetir la verificación).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</w:t>
      </w:r>
      <w:r>
        <w:t xml:space="preserve">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en toda la plataforma. La ficha provisional de urgencia es la excepción temporal: se registra sin propietario verificado y con carnet inactivo hasta completarla o consolidarla (RE-4.15.3).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</w:t>
      </w:r>
      <w:r>
        <w:t>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78610A03" w14:textId="77777777" w:rsidR="0067676B" w:rsidRDefault="00B2042E">
      <w:pPr>
        <w:pStyle w:val="Ttulo1"/>
      </w:pPr>
      <w:bookmarkStart w:id="2" w:name="_73c0ee2683bf723e155dc341c5b673c8a0cee0f"/>
      <w:bookmarkStart w:id="3" w:name="_Toc242830339"/>
      <w:bookmarkEnd w:id="0"/>
      <w:r>
        <w:lastRenderedPageBreak/>
        <w:t>Diagrama Entidad-Relación</w:t>
      </w:r>
      <w:bookmarkEnd w:id="3"/>
    </w:p>
    <w:p w14:paraId="78610A04" w14:textId="77777777" w:rsidR="0067676B" w:rsidRDefault="00B2042E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78610A05" w14:textId="77777777" w:rsidR="0067676B" w:rsidRDefault="00B2042E">
      <w:pPr>
        <w:pStyle w:val="Rotulo"/>
      </w:pPr>
      <w:r>
        <w:t>Figura 1</w:t>
      </w:r>
    </w:p>
    <w:p w14:paraId="78610A06" w14:textId="77777777" w:rsidR="0067676B" w:rsidRDefault="00B2042E">
      <w:pPr>
        <w:pStyle w:val="RotuloTitulo"/>
      </w:pPr>
      <w:r>
        <w:t>Diagrama Entidad-Relación</w:t>
      </w:r>
    </w:p>
    <w:p w14:paraId="78610A07" w14:textId="77777777" w:rsidR="0067676B" w:rsidRDefault="00B2042E">
      <w:pPr>
        <w:pStyle w:val="FiguraImagen"/>
      </w:pPr>
      <w:r>
        <w:rPr>
          <w:noProof/>
        </w:rPr>
        <w:drawing>
          <wp:inline distT="0" distB="0" distL="0" distR="0" wp14:anchorId="78610A42" wp14:editId="78610A43">
            <wp:extent cx="5939999" cy="994759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dDzjxu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994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10A08" w14:textId="77777777" w:rsidR="0067676B" w:rsidRDefault="00B2042E">
      <w:pPr>
        <w:pStyle w:val="Ttulo1"/>
      </w:pPr>
      <w:bookmarkStart w:id="4" w:name="_175abadf9b0a49af33d36e1016fa2ba4e3dbee1"/>
      <w:bookmarkStart w:id="5" w:name="_Toc242830340"/>
      <w:bookmarkEnd w:id="2"/>
      <w:r>
        <w:lastRenderedPageBreak/>
        <w:t>Detalle de Entidades Principales</w:t>
      </w:r>
      <w:bookmarkEnd w:id="5"/>
    </w:p>
    <w:p w14:paraId="78610A09" w14:textId="77777777" w:rsidR="0067676B" w:rsidRDefault="00B2042E">
      <w:pPr>
        <w:pStyle w:val="Ttulo2"/>
      </w:pPr>
      <w:bookmarkStart w:id="6" w:name="_c2b7a8b81ef31c74ab584612d4a9fe9e5f481bc"/>
      <w:bookmarkStart w:id="7" w:name="_Toc242830341"/>
      <w:r>
        <w:t>1. Plataforma y suscripción (SaaS) — nuevo</w:t>
      </w:r>
      <w:bookmarkEnd w:id="7"/>
    </w:p>
    <w:p w14:paraId="78610A0A" w14:textId="77777777" w:rsidR="0067676B" w:rsidRDefault="00B2042E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y </w:t>
      </w:r>
      <w:r>
        <w:rPr>
          <w:rStyle w:val="VerbatimChar"/>
        </w:rPr>
        <w:t>umbral_aviso_min</w:t>
      </w:r>
      <w:r>
        <w:t xml:space="preserve"> (15, RN-429).</w:t>
      </w:r>
    </w:p>
    <w:p w14:paraId="78610A0B" w14:textId="77777777" w:rsidR="0067676B" w:rsidRDefault="00B2042E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</w:t>
      </w:r>
      <w:r>
        <w:t>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78610A0C" w14:textId="77777777" w:rsidR="0067676B" w:rsidRDefault="00B2042E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78610A0D" w14:textId="77777777" w:rsidR="0067676B" w:rsidRDefault="00B2042E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78610A0E" w14:textId="77777777" w:rsidR="0067676B" w:rsidRDefault="00B2042E">
      <w:pPr>
        <w:pStyle w:val="Ttulo2"/>
      </w:pPr>
      <w:bookmarkStart w:id="8" w:name="_d6a9bf6cf0bb3e49f1d107fe570f8a5ddfe3adf"/>
      <w:bookmarkStart w:id="9" w:name="_Toc242830342"/>
      <w:bookmarkEnd w:id="6"/>
      <w:r>
        <w:t>2. Acceso y usuarios</w:t>
      </w:r>
      <w:bookmarkEnd w:id="9"/>
    </w:p>
    <w:p w14:paraId="78610A0F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78610A10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 </w:t>
      </w:r>
      <w:r>
        <w:rPr>
          <w:rStyle w:val="VerbatimChar"/>
        </w:rPr>
        <w:t>version_sesion</w:t>
      </w:r>
      <w:r>
        <w:t xml:space="preserve"> sube cada vez que se crea o cambia la contraseña: cada sesión guarda la versión con la que entró y, si ya no coincide, se cierra (RE-T.2.5).</w:t>
      </w:r>
    </w:p>
    <w:p w14:paraId="78610A11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consentimientos_datos</w:t>
      </w:r>
      <w:r>
        <w:t xml:space="preserve">: Prueba de la autorización de tratamiento de datos (Ley 1581 de 2012 y Decreto 1377 de 2013): quién aceptó, qué versión de la política, por qué medio, cuándo y desde qué IP (RN-G19). </w:t>
      </w:r>
      <w:r>
        <w:rPr>
          <w:rStyle w:val="VerbatimChar"/>
        </w:rPr>
        <w:t>medio</w:t>
      </w:r>
      <w:r>
        <w:t xml:space="preserve">: </w:t>
      </w:r>
      <w:r>
        <w:rPr>
          <w:rStyle w:val="VerbatimChar"/>
        </w:rPr>
        <w:t>formulario</w:t>
      </w:r>
      <w:r>
        <w:t xml:space="preserve">, </w:t>
      </w:r>
      <w:r>
        <w:rPr>
          <w:rStyle w:val="VerbatimChar"/>
        </w:rPr>
        <w:t>google</w:t>
      </w:r>
      <w:r>
        <w:t xml:space="preserve">, </w:t>
      </w:r>
      <w:r>
        <w:rPr>
          <w:rStyle w:val="VerbatimChar"/>
        </w:rPr>
        <w:t>alta_personal</w:t>
      </w:r>
      <w:r>
        <w:t xml:space="preserve"> (el personal activa su cuenta) y, desde M5 (migración 06), </w:t>
      </w:r>
      <w:r>
        <w:rPr>
          <w:rStyle w:val="VerbatimChar"/>
        </w:rPr>
        <w:t>activacion_propietario</w:t>
      </w:r>
      <w:r>
        <w:t xml:space="preserve"> (el propietario activa por enlace la cuenta que le creó la clínica; si activa con Google, </w:t>
      </w:r>
      <w:r>
        <w:rPr>
          <w:rStyle w:val="VerbatimChar"/>
        </w:rPr>
        <w:t>google</w:t>
      </w:r>
      <w:r>
        <w:t>).</w:t>
      </w:r>
    </w:p>
    <w:p w14:paraId="78610A12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78610A13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</w:t>
      </w:r>
      <w:r>
        <w:t xml:space="preserve">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guarda si el propietario permite que esa clínica vea las consultas registradas por otras clínicas (revocable; RN-113).</w:t>
      </w:r>
    </w:p>
    <w:p w14:paraId="78610A14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 Para vincular un propietario existente, </w:t>
      </w:r>
      <w:r>
        <w:rPr>
          <w:rStyle w:val="VerbatimChar"/>
        </w:rPr>
        <w:t>proposito = vinculo_clinica</w:t>
      </w:r>
      <w:r>
        <w:t xml:space="preserve"> e </w:t>
      </w:r>
      <w:r>
        <w:rPr>
          <w:rStyle w:val="VerbatimChar"/>
        </w:rPr>
        <w:t>id_clinica_vinculo</w:t>
      </w:r>
      <w:r>
        <w:t xml:space="preserve"> identifican la solicitud: solo su confirmación crea </w:t>
      </w:r>
      <w:r>
        <w:rPr>
          <w:rStyle w:val="VerbatimChar"/>
        </w:rPr>
        <w:t>propietario_clinica</w:t>
      </w:r>
      <w:r>
        <w:t xml:space="preserve"> (RN-109); un enlace de registro no sirve para este fin. Para invitar al personal (RE-T.7.5), </w:t>
      </w:r>
      <w:r>
        <w:rPr>
          <w:rStyle w:val="VerbatimChar"/>
        </w:rPr>
        <w:t>proposito = activacion_personal</w:t>
      </w:r>
      <w:r>
        <w:t xml:space="preserve"> es la invitación a una cuenta nueva y </w:t>
      </w:r>
      <w:r>
        <w:rPr>
          <w:rStyle w:val="VerbatimChar"/>
        </w:rPr>
        <w:t>proposito = invitacion_personal</w:t>
      </w:r>
      <w:r>
        <w:t xml:space="preserve"> la invitación a una persona que ya tiene cuenta: </w:t>
      </w:r>
      <w:r>
        <w:rPr>
          <w:rStyle w:val="VerbatimChar"/>
        </w:rPr>
        <w:t>id_clinica_vinculo</w:t>
      </w:r>
      <w:r>
        <w:t xml:space="preserve"> e </w:t>
      </w:r>
      <w:r>
        <w:rPr>
          <w:rStyle w:val="VerbatimChar"/>
        </w:rPr>
        <w:t>id_rol_vinculo</w:t>
      </w:r>
      <w:r>
        <w:t xml:space="preserve"> dicen a qué clínica y con qué rol, y solo la aceptación del titular crea </w:t>
      </w:r>
      <w:r>
        <w:rPr>
          <w:rStyle w:val="VerbatimChar"/>
        </w:rPr>
        <w:t>usuario_clinica</w:t>
      </w:r>
      <w:r>
        <w:t xml:space="preserve">. </w:t>
      </w:r>
      <w:r>
        <w:rPr>
          <w:rStyle w:val="VerbatimChar"/>
        </w:rPr>
        <w:t>nombre_invitado</w:t>
      </w:r>
      <w:r>
        <w:t xml:space="preserve">, </w:t>
      </w:r>
      <w:r>
        <w:rPr>
          <w:rStyle w:val="VerbatimChar"/>
        </w:rPr>
        <w:t>tipo_documento_invitado</w:t>
      </w:r>
      <w:r>
        <w:t xml:space="preserve">, </w:t>
      </w:r>
      <w:r>
        <w:rPr>
          <w:rStyle w:val="VerbatimChar"/>
        </w:rPr>
        <w:t>documento_invitado</w:t>
      </w:r>
      <w:r>
        <w:t xml:space="preserve">, </w:t>
      </w:r>
      <w:r>
        <w:rPr>
          <w:rStyle w:val="VerbatimChar"/>
        </w:rPr>
        <w:t>email_invitado</w:t>
      </w:r>
      <w:r>
        <w:t xml:space="preserve"> y </w:t>
      </w:r>
      <w:r>
        <w:rPr>
          <w:rStyle w:val="VerbatimChar"/>
        </w:rPr>
        <w:t>telefono_invitado</w:t>
      </w:r>
      <w:r>
        <w:t xml:space="preserve"> guardan lo que escribió el administrador: es lo único que la clínica ve mientras la invitación está pendiente, así que la lista no revela si la cuenta existe; </w:t>
      </w:r>
      <w:r>
        <w:rPr>
          <w:rStyle w:val="VerbatimChar"/>
        </w:rPr>
        <w:t>email</w:t>
      </w:r>
      <w:r>
        <w:t xml:space="preserve"> </w:t>
      </w:r>
      <w:r>
        <w:t xml:space="preserve">es el correo de la cuenta al que se envió. En D3, </w:t>
      </w:r>
      <w:r>
        <w:rPr>
          <w:rStyle w:val="VerbatimChar"/>
        </w:rPr>
        <w:t>registro_clinica</w:t>
      </w:r>
      <w:r>
        <w:t xml:space="preserve"> identifica al administrador nuevo y </w:t>
      </w:r>
      <w:r>
        <w:rPr>
          <w:rStyle w:val="VerbatimChar"/>
        </w:rPr>
        <w:t>vinculo_admin_clinica</w:t>
      </w:r>
      <w:r>
        <w:t xml:space="preserve"> al preexistente; el enlace confirma por POST el rol y la activación atómica con catálogos. Si otra solicitud vigente impide eliminar una identidad nueva vencida, </w:t>
      </w:r>
      <w:r>
        <w:rPr>
          <w:rStyle w:val="VerbatimChar"/>
        </w:rPr>
        <w:t>alta_clinica_vencida</w:t>
      </w:r>
      <w:r>
        <w:t>, usada y sin clínica, conserva su procedencia hasta que la limpieza pueda eliminarla; nunca es un enlace válido ni identifica una cuenta preexistente.</w:t>
      </w:r>
    </w:p>
    <w:p w14:paraId="78610A15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>: Contadores de intentos fallidos, sin clave foránea. La clave del contador (</w:t>
      </w:r>
      <w:r>
        <w:rPr>
          <w:rStyle w:val="VerbatimChar"/>
        </w:rPr>
        <w:t>identificador</w:t>
      </w:r>
      <w:r>
        <w:t xml:space="preserve">, única) lleva prefijo: </w:t>
      </w:r>
      <w:r>
        <w:rPr>
          <w:rStyle w:val="VerbatimChar"/>
        </w:rPr>
        <w:t>ip:&lt;dirección&gt;</w:t>
      </w:r>
      <w:r>
        <w:t xml:space="preserve"> para el bloqueo por IP, </w:t>
      </w:r>
      <w:r>
        <w:rPr>
          <w:rStyle w:val="VerbatimChar"/>
        </w:rPr>
        <w:t>cuenta:&lt;id_usuario&gt;</w:t>
      </w:r>
      <w:r>
        <w:t xml:space="preserve"> para exigir el CAPTCHA por cuenta (RN-G15) y </w:t>
      </w:r>
      <w:r>
        <w:rPr>
          <w:rStyle w:val="VerbatimChar"/>
        </w:rPr>
        <w:t>chk:&lt;dirección&gt;</w:t>
      </w:r>
      <w:r>
        <w:t xml:space="preserve"> para limitar la ayuda de formato de documento y correo (nunca devuelve existencia). </w:t>
      </w:r>
      <w:r>
        <w:rPr>
          <w:rStyle w:val="VerbatimChar"/>
        </w:rPr>
        <w:t>alta-clinica:&lt;AAAA-MM-DD&gt;:&lt;IP&gt;</w:t>
      </w:r>
      <w:r>
        <w:t xml:space="preserve"> limita a tres registros diarios de clínica por IP real; el incremento se confirma en la misma transacción del alta (RE-0.1.6).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78610A16" w14:textId="77777777" w:rsidR="0067676B" w:rsidRDefault="00B2042E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78610A17" w14:textId="77777777" w:rsidR="0067676B" w:rsidRDefault="00B2042E">
      <w:pPr>
        <w:pStyle w:val="Ttulo2"/>
      </w:pPr>
      <w:bookmarkStart w:id="10" w:name="_1eb549e2a9c91af4bfaebaeb7bc947a2e39f25e"/>
      <w:bookmarkStart w:id="11" w:name="_Toc242830343"/>
      <w:bookmarkEnd w:id="8"/>
      <w:r>
        <w:t>3. Reputación de veterinarios — nuevo</w:t>
      </w:r>
      <w:bookmarkEnd w:id="11"/>
    </w:p>
    <w:p w14:paraId="78610A18" w14:textId="77777777" w:rsidR="0067676B" w:rsidRDefault="00B2042E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78610A19" w14:textId="77777777" w:rsidR="0067676B" w:rsidRDefault="00B2042E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78610A1A" w14:textId="77777777" w:rsidR="0067676B" w:rsidRDefault="00B2042E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78610A1B" w14:textId="77777777" w:rsidR="0067676B" w:rsidRDefault="00B2042E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78610A1C" w14:textId="77777777" w:rsidR="0067676B" w:rsidRDefault="00B2042E">
      <w:pPr>
        <w:pStyle w:val="Ttulo2"/>
      </w:pPr>
      <w:bookmarkStart w:id="12" w:name="_fa59eaf9d7724395b60f4af2c2b485b4008604a"/>
      <w:bookmarkStart w:id="13" w:name="_Toc242830344"/>
      <w:bookmarkEnd w:id="10"/>
      <w:r>
        <w:t>4. Grafo de conocimiento clínico (Grafo I) — nuevo, global</w:t>
      </w:r>
      <w:bookmarkEnd w:id="13"/>
    </w:p>
    <w:p w14:paraId="78610A1D" w14:textId="77777777" w:rsidR="0067676B" w:rsidRDefault="00B2042E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>).</w:t>
      </w:r>
    </w:p>
    <w:p w14:paraId="78610A1E" w14:textId="77777777" w:rsidR="0067676B" w:rsidRDefault="00B2042E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favorece, lo negativo contraindica o veta. Compartido por todas las clínicas.</w:t>
      </w:r>
    </w:p>
    <w:p w14:paraId="78610A1F" w14:textId="77777777" w:rsidR="0067676B" w:rsidRDefault="00B2042E">
      <w:pPr>
        <w:pStyle w:val="Compact"/>
        <w:numPr>
          <w:ilvl w:val="0"/>
          <w:numId w:val="5"/>
        </w:numPr>
      </w:pPr>
      <w:r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78610A20" w14:textId="77777777" w:rsidR="0067676B" w:rsidRDefault="00B2042E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y los parámetros de la clínica. Solo persiste lo que debe sobrevivir entre una petición y otra: las reasignaciones que esperan confirmación (</w:t>
      </w:r>
      <w:r>
        <w:rPr>
          <w:rStyle w:val="VerbatimChar"/>
        </w:rPr>
        <w:t>reasignaciones</w:t>
      </w:r>
      <w:r>
        <w:t>) y las propuestas de horario (</w:t>
      </w:r>
      <w:r>
        <w:rPr>
          <w:rStyle w:val="VerbatimChar"/>
        </w:rPr>
        <w:t>propuestas_horario</w:t>
      </w:r>
      <w:r>
        <w:t>).</w:t>
      </w:r>
    </w:p>
    <w:p w14:paraId="78610A21" w14:textId="77777777" w:rsidR="0067676B" w:rsidRDefault="00B2042E">
      <w:pPr>
        <w:pStyle w:val="Ttulo2"/>
      </w:pPr>
      <w:bookmarkStart w:id="14" w:name="_6eeb017515ec0d317c46fe31a59e3575da4b41c"/>
      <w:bookmarkStart w:id="15" w:name="_Toc242830345"/>
      <w:bookmarkEnd w:id="12"/>
      <w:r>
        <w:t>5. Pacientes y catálogos taxonómicos</w:t>
      </w:r>
      <w:bookmarkEnd w:id="15"/>
    </w:p>
    <w:p w14:paraId="78610A22" w14:textId="77777777" w:rsidR="0067676B" w:rsidRDefault="00B2042E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(propietario). En una urgencia roja sin identificación verificable, </w:t>
      </w:r>
      <w:r>
        <w:rPr>
          <w:rStyle w:val="VerbatimChar"/>
        </w:rPr>
        <w:t>id_propietario</w:t>
      </w:r>
      <w:r>
        <w:t xml:space="preserve">, especie, raza, nombre y peso pueden quedar NULL solo con </w:t>
      </w:r>
      <w:r>
        <w:rPr>
          <w:rStyle w:val="VerbatimChar"/>
        </w:rPr>
        <w:t>ficha_por_completar = 1</w:t>
      </w:r>
      <w:r>
        <w:t xml:space="preserve">; la aplicación exige esos datos al completar la ficha ordinaria (RE-4.15.3). </w:t>
      </w:r>
      <w:r>
        <w:rPr>
          <w:rStyle w:val="VerbatimChar"/>
        </w:rPr>
        <w:t>raza_indicada</w:t>
      </w:r>
      <w:r>
        <w:t xml:space="preserve"> </w:t>
      </w:r>
      <w:r>
        <w:t xml:space="preserve">guarda la raza escrita cuando no está en la lista, con el mismo largo que </w:t>
      </w:r>
      <w:r>
        <w:rPr>
          <w:rStyle w:val="VerbatimChar"/>
        </w:rPr>
        <w:t>razas.nombre_raza</w:t>
      </w:r>
      <w:r>
        <w:t xml:space="preserve"> (50 caracteres) para que pueda pasar al catálogo sin recortarse. </w:t>
      </w:r>
      <w:r>
        <w:rPr>
          <w:rStyle w:val="VerbatimChar"/>
        </w:rPr>
        <w:t>esterilizado</w:t>
      </w:r>
      <w:r>
        <w:t xml:space="preserve"> es NULL si no se sabe; el triage lo usa. </w:t>
      </w:r>
      <w:r>
        <w:rPr>
          <w:rStyle w:val="VerbatimChar"/>
        </w:rPr>
        <w:t>token_carnet</w:t>
      </w:r>
      <w:r>
        <w:t xml:space="preserve"> es aleatorio (≥ 128 bits) y nunca expone </w:t>
      </w:r>
      <w:r>
        <w:rPr>
          <w:rStyle w:val="VerbatimChar"/>
        </w:rPr>
        <w:t>id_mascota</w:t>
      </w:r>
      <w:r>
        <w:t xml:space="preserve"> en la URL (RN-502); el carnet de una ficha provisional permanece inactivo. </w:t>
      </w:r>
      <w:r>
        <w:rPr>
          <w:rStyle w:val="VerbatimChar"/>
        </w:rPr>
        <w:t>id_clinica_registro</w:t>
      </w:r>
      <w:r>
        <w:t xml:space="preserve"> </w:t>
      </w:r>
      <w:r>
        <w:t xml:space="preserve">guarda la clínica que la registró: junto con el propietario, es la única que puede cambiar especie, raza, sexo y fecha de nacimiento (RN-110). </w:t>
      </w:r>
      <w:r>
        <w:rPr>
          <w:rStyle w:val="VerbatimChar"/>
        </w:rPr>
        <w:lastRenderedPageBreak/>
        <w:t>carnet_activo</w:t>
      </w:r>
      <w:r>
        <w:t xml:space="preserve"> apaga el carnet sin borrar el token, cuando la mascota se inactiva o su propietario suprime la cuenta (RN-502, RN-G16).</w:t>
      </w:r>
    </w:p>
    <w:p w14:paraId="78610A23" w14:textId="77777777" w:rsidR="0067676B" w:rsidRDefault="00B2042E">
      <w:pPr>
        <w:pStyle w:val="Compact"/>
        <w:numPr>
          <w:ilvl w:val="0"/>
          <w:numId w:val="6"/>
        </w:numPr>
      </w:pPr>
      <w:r>
        <w:rPr>
          <w:b/>
          <w:bCs/>
        </w:rPr>
        <w:t>ingresos_emergencia</w:t>
      </w:r>
      <w:r>
        <w:t xml:space="preserve">: Guarda el ingreso </w:t>
      </w:r>
      <w:r>
        <w:rPr>
          <w:b/>
          <w:bCs/>
        </w:rPr>
        <w:t>presencial</w:t>
      </w:r>
      <w:r>
        <w:t xml:space="preserve"> provisional de una urgencia roja con </w:t>
      </w:r>
      <w:r>
        <w:rPr>
          <w:rStyle w:val="VerbatimChar"/>
        </w:rPr>
        <w:t>id_clinica</w:t>
      </w:r>
      <w:r>
        <w:t xml:space="preserve">, la mascota provisional y los datos disponibles del acompañante, sin atribuirle la propiedad ni crearle una cuenta. </w:t>
      </w:r>
      <w:r>
        <w:rPr>
          <w:rStyle w:val="VerbatimChar"/>
        </w:rPr>
        <w:t>id_mascota_final</w:t>
      </w:r>
      <w:r>
        <w:t xml:space="preserve"> </w:t>
      </w:r>
      <w:r>
        <w:t>identifica la misma mascota al completar la ficha o una ficha existente después de verificar su titularidad y consolidar los actos clínicos en una transacción; la ficha provisional queda inactiva y el ingreso conserva la trazabilidad. Un rojo iniciado en el portal autenticado usa el propietario de la sesión y la mascota seleccionada. También en un ingreso presencial con relación verificada se usan los registros existentes: ninguno de esos casos crea un ingreso provisional (RE-4.15.3, RN-G19, RN-420).</w:t>
      </w:r>
    </w:p>
    <w:p w14:paraId="78610A24" w14:textId="77777777" w:rsidR="0067676B" w:rsidRDefault="00B2042E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78610A25" w14:textId="77777777" w:rsidR="0067676B" w:rsidRDefault="00B2042E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clínica; </w:t>
      </w:r>
      <w:r>
        <w:rPr>
          <w:rStyle w:val="VerbatimChar"/>
        </w:rPr>
        <w:t>numero_historia_clinica</w:t>
      </w:r>
      <w:r>
        <w:t xml:space="preserve"> se asigna al guardar la primera consulta en esa clínica (RN-102) y es único por </w:t>
      </w:r>
      <w:r>
        <w:rPr>
          <w:rStyle w:val="VerbatimChar"/>
        </w:rPr>
        <w:t>id_clinica</w:t>
      </w:r>
      <w:r>
        <w:t>. Es la base del límite de mascotas del plan.</w:t>
      </w:r>
    </w:p>
    <w:p w14:paraId="78610A26" w14:textId="77777777" w:rsidR="0067676B" w:rsidRDefault="00B2042E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>: Registro de cada escaneo del carnet público: fecha, IP anonimizada (hash) y ubicación solo si quien escanea la comparte. Alimenta el aviso al propietario y el límite de consultas por IP (RN-504, RN-505).</w:t>
      </w:r>
    </w:p>
    <w:p w14:paraId="78610A27" w14:textId="77777777" w:rsidR="0067676B" w:rsidRDefault="00B2042E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 </w:t>
      </w:r>
      <w:r>
        <w:rPr>
          <w:i/>
          <w:iCs/>
        </w:rPr>
        <w:t xml:space="preserve">Desde M5 (decisión del usuario, 2026-10-13) los formularios ya no piden el color: </w:t>
      </w:r>
      <w:r>
        <w:rPr>
          <w:rStyle w:val="VerbatimChar"/>
          <w:i/>
          <w:iCs/>
        </w:rPr>
        <w:t>colores_base</w:t>
      </w:r>
      <w:r>
        <w:rPr>
          <w:i/>
          <w:iCs/>
        </w:rPr>
        <w:t xml:space="preserve"> y </w:t>
      </w:r>
      <w:r>
        <w:rPr>
          <w:rStyle w:val="VerbatimChar"/>
          <w:i/>
          <w:iCs/>
        </w:rPr>
        <w:t>mascota_colores</w:t>
      </w:r>
      <w:r>
        <w:rPr>
          <w:i/>
          <w:iCs/>
        </w:rPr>
        <w:t xml:space="preserve"> quedan en la base sin uso, sin migración (RN-107).</w:t>
      </w:r>
    </w:p>
    <w:p w14:paraId="78610A28" w14:textId="77777777" w:rsidR="0067676B" w:rsidRDefault="00B2042E">
      <w:pPr>
        <w:pStyle w:val="Ttulo2"/>
      </w:pPr>
      <w:bookmarkStart w:id="16" w:name="_d2e8a251732834f58b38cf075788a677d355bc0"/>
      <w:bookmarkStart w:id="17" w:name="_Toc242830346"/>
      <w:bookmarkEnd w:id="14"/>
      <w:r>
        <w:t>6. Operación clínica</w:t>
      </w:r>
      <w:bookmarkEnd w:id="17"/>
    </w:p>
    <w:p w14:paraId="78610A29" w14:textId="77777777" w:rsidR="0067676B" w:rsidRDefault="00B2042E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</w:t>
      </w:r>
      <w:r>
        <w:t xml:space="preserve">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</w:t>
      </w:r>
      <w:r>
        <w:t xml:space="preserve">es obligatorio cuando el veterinario cambia el nivel (RN-419); </w:t>
      </w:r>
      <w:r>
        <w:rPr>
          <w:rStyle w:val="VerbatimChar"/>
        </w:rPr>
        <w:t>es_sobrecupo</w:t>
      </w:r>
      <w:r>
        <w:t xml:space="preserve"> marca las citas que cuentan contra el tope de sobrecupos del bloque y </w:t>
      </w:r>
      <w:r>
        <w:rPr>
          <w:rStyle w:val="VerbatimChar"/>
        </w:rPr>
        <w:t>orden_sobrecupo</w:t>
      </w:r>
      <w:r>
        <w:t xml:space="preserve"> conserva su posición, inicialmente por llegada y modificable por veterinario con motivo auditado (RN-422). </w:t>
      </w:r>
      <w:r>
        <w:rPr>
          <w:rStyle w:val="VerbatimChar"/>
        </w:rPr>
        <w:t>id_tipo_cita</w:t>
      </w:r>
      <w:r>
        <w:t xml:space="preserve"> pasa a ser clave foránea. </w:t>
      </w:r>
      <w:r>
        <w:rPr>
          <w:rStyle w:val="VerbatimChar"/>
        </w:rPr>
        <w:t>duracion_minutos</w:t>
      </w:r>
      <w:r>
        <w:t xml:space="preserve"> y </w:t>
      </w:r>
      <w:r>
        <w:rPr>
          <w:rStyle w:val="VerbatimChar"/>
        </w:rPr>
        <w:t>margen_minutos</w:t>
      </w:r>
      <w:r>
        <w:t xml:space="preserve"> guardan los valores aplicados al reservar; cambiar después el tipo no altera las citas existentes. </w:t>
      </w:r>
      <w:r>
        <w:rPr>
          <w:rStyle w:val="VerbatimChar"/>
        </w:rPr>
        <w:lastRenderedPageBreak/>
        <w:t>aviso_atencion_abierta</w:t>
      </w:r>
      <w:r>
        <w:t xml:space="preserve"> </w:t>
      </w:r>
      <w:r>
        <w:t xml:space="preserve">guarda cuándo se avisó que la atención seguía abierta después de su hora de fin, para avisar una sola vez (RN-409). </w:t>
      </w:r>
      <w:r>
        <w:rPr>
          <w:rStyle w:val="VerbatimChar"/>
        </w:rPr>
        <w:t>ocupa_horario</w:t>
      </w:r>
      <w:r>
        <w:t xml:space="preserve"> es una columna calculada que vale 1 mientras la cita ocupa su horario y NULL cuando está libre (</w:t>
      </w:r>
      <w:r>
        <w:rPr>
          <w:rStyle w:val="VerbatimChar"/>
        </w:rPr>
        <w:t>cancelada</w:t>
      </w:r>
      <w:r>
        <w:t xml:space="preserve"> o </w:t>
      </w:r>
      <w:r>
        <w:rPr>
          <w:rStyle w:val="VerbatimChar"/>
        </w:rPr>
        <w:t>no_asistio</w:t>
      </w:r>
      <w:r>
        <w:t xml:space="preserve">) o es sobrecupo; con ella, el índice único </w:t>
      </w:r>
      <w:r>
        <w:rPr>
          <w:rStyle w:val="VerbatimChar"/>
        </w:rPr>
        <w:t>(id_veterinario, fecha, hora, ocupa_horario)</w:t>
      </w:r>
      <w:r>
        <w:t xml:space="preserve"> impide en la base dos reservas del mismo veterinario a la misma hora (RN-401). El índice no lleva </w:t>
      </w:r>
      <w:r>
        <w:rPr>
          <w:rStyle w:val="VerbatimChar"/>
        </w:rPr>
        <w:t>id_clinica</w:t>
      </w:r>
      <w:r>
        <w:t>, así que tampoco deja reservar dos veces a un veterinario que trabaja en dos clínicas; el tope de sobrecupos (RN-422) se controla en la transacción de reserva.</w:t>
      </w:r>
    </w:p>
    <w:p w14:paraId="78610A2A" w14:textId="77777777" w:rsidR="0067676B" w:rsidRDefault="00B2042E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una cita de ese tipo puede interrumpirse por una urgencia (RN-427).</w:t>
      </w:r>
    </w:p>
    <w:p w14:paraId="78610A2B" w14:textId="77777777" w:rsidR="0067676B" w:rsidRDefault="00B2042E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</w:t>
      </w:r>
      <w:r>
        <w:t>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78610A2C" w14:textId="77777777" w:rsidR="0067676B" w:rsidRDefault="00B2042E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rango de fecha y hora (permiso, incapacidad, "ese día no vino") que tapan la disponibilidad del veterinario en ese rango. </w:t>
      </w:r>
      <w:r>
        <w:rPr>
          <w:rStyle w:val="VerbatimChar"/>
        </w:rPr>
        <w:t>fecha_hora_inicio</w:t>
      </w:r>
      <w:r>
        <w:t xml:space="preserve"> es inclusiva y </w:t>
      </w:r>
      <w:r>
        <w:rPr>
          <w:rStyle w:val="VerbatimChar"/>
        </w:rPr>
        <w:t>fecha_hora_fin</w:t>
      </w:r>
      <w:r>
        <w:t xml:space="preserve"> exclusiva, en la zona horaria de la clínica; un día completo va de las 00:00 de ese día a las 00:00 del siguiente. </w:t>
      </w:r>
      <w:r>
        <w:rPr>
          <w:rStyle w:val="VerbatimChar"/>
        </w:rPr>
        <w:t>id_cobertura</w:t>
      </w:r>
      <w:r>
        <w:t xml:space="preserve"> 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</w:t>
      </w:r>
      <w:r>
        <w:t>(reasignación de sus citas). La trazabilidad de quién atendió realmente la da la historia clínica, no la agenda.</w:t>
      </w:r>
    </w:p>
    <w:p w14:paraId="78610A2D" w14:textId="77777777" w:rsidR="0067676B" w:rsidRDefault="00B2042E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y las citas que queden fuera se marcan para reajuste (RN-706).</w:t>
      </w:r>
    </w:p>
    <w:p w14:paraId="78610A2E" w14:textId="77777777" w:rsidR="0067676B" w:rsidRDefault="00B2042E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78610A2F" w14:textId="77777777" w:rsidR="0067676B" w:rsidRDefault="00B2042E">
      <w:pPr>
        <w:pStyle w:val="Compact"/>
        <w:numPr>
          <w:ilvl w:val="0"/>
          <w:numId w:val="7"/>
        </w:numPr>
      </w:pPr>
      <w:r>
        <w:rPr>
          <w:b/>
          <w:bCs/>
        </w:rPr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guarda 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. El motor evalúa internamente esa medicación de todas las clínicas para RN-211; sin autorización para ver un tratamiento ajeno, la respuesta solo da una alerta genérica y no expone los datos del tratamiento.</w:t>
      </w:r>
    </w:p>
    <w:p w14:paraId="78610A30" w14:textId="77777777" w:rsidR="0067676B" w:rsidRDefault="00B2042E">
      <w:pPr>
        <w:pStyle w:val="Ttulo2"/>
      </w:pPr>
      <w:bookmarkStart w:id="18" w:name="_d717dda87a0fa1125b482ed50a29711e040ab78"/>
      <w:bookmarkStart w:id="19" w:name="_Toc242830347"/>
      <w:bookmarkEnd w:id="16"/>
      <w:r>
        <w:lastRenderedPageBreak/>
        <w:t>7. Prevención</w:t>
      </w:r>
      <w:bookmarkEnd w:id="19"/>
    </w:p>
    <w:p w14:paraId="78610A31" w14:textId="77777777" w:rsidR="0067676B" w:rsidRDefault="00B2042E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</w:t>
      </w:r>
      <w:r>
        <w:t>y el veterinario que lo aplicó, para mostrar en el carnet y en la historia compartida qué clínica lo hizo (RN-112).</w:t>
      </w:r>
    </w:p>
    <w:p w14:paraId="78610A32" w14:textId="77777777" w:rsidR="0067676B" w:rsidRDefault="00B2042E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 xml:space="preserve">: Catálogos configurables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 xml:space="preserve">). </w:t>
      </w:r>
      <w:r>
        <w:rPr>
          <w:b/>
          <w:bCs/>
        </w:rPr>
        <w:t>especie_vacunas</w:t>
      </w:r>
      <w:r>
        <w:t xml:space="preserve"> no lleva </w:t>
      </w:r>
      <w:r>
        <w:rPr>
          <w:rStyle w:val="VerbatimChar"/>
        </w:rPr>
        <w:t>id_clinica</w:t>
      </w:r>
      <w:r>
        <w:t xml:space="preserve">: hereda la clínica de su vacuna base. Al activarse, cada clínica recibe una copia de los valores por defecto de estos catálogos, de </w:t>
      </w:r>
      <w:r>
        <w:rPr>
          <w:rStyle w:val="VerbatimChar"/>
        </w:rPr>
        <w:t>tipos_cita</w:t>
      </w:r>
      <w:r>
        <w:t xml:space="preserve"> y de </w:t>
      </w:r>
      <w:r>
        <w:rPr>
          <w:rStyle w:val="VerbatimChar"/>
        </w:rPr>
        <w:t>horarios_clinica</w:t>
      </w:r>
      <w:r>
        <w:t xml:space="preserve"> (RE-0.2.5).</w:t>
      </w:r>
    </w:p>
    <w:p w14:paraId="78610A33" w14:textId="77777777" w:rsidR="0067676B" w:rsidRDefault="00B2042E">
      <w:pPr>
        <w:pStyle w:val="Ttulo2"/>
      </w:pPr>
      <w:bookmarkStart w:id="20" w:name="_0560edb7cb7205277d9e3cd97c31da13d513556"/>
      <w:bookmarkStart w:id="21" w:name="_Toc242830348"/>
      <w:bookmarkEnd w:id="18"/>
      <w:r>
        <w:t>8. Comunicaciones y auditoría</w:t>
      </w:r>
      <w:bookmarkEnd w:id="21"/>
    </w:p>
    <w:p w14:paraId="78610A34" w14:textId="77777777" w:rsidR="0067676B" w:rsidRDefault="00B2042E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es NULL en los avisos de la plataforma que no pertenecen a una clínica: escaneo del carnet, cambio de correo o de documento.</w:t>
      </w:r>
    </w:p>
    <w:p w14:paraId="78610A35" w14:textId="77777777" w:rsidR="0067676B" w:rsidRDefault="00B2042E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 xml:space="preserve">: Avisos al personal por usuario o rol, por clínica. </w:t>
      </w:r>
      <w:r>
        <w:rPr>
          <w:rStyle w:val="VerbatimChar"/>
        </w:rPr>
        <w:t>id_cita</w:t>
      </w:r>
      <w:r>
        <w:t xml:space="preserve"> liga el aviso a su cita para retirarlo cuando la cita se cancela, se reprograma o se atiende, y </w:t>
      </w:r>
      <w:r>
        <w:rPr>
          <w:rStyle w:val="VerbatimChar"/>
        </w:rPr>
        <w:t>vigente_hasta</w:t>
      </w:r>
      <w:r>
        <w:t xml:space="preserve"> </w:t>
      </w:r>
      <w:r>
        <w:t>marca desde cuándo deja de mostrarse (NULL: no caduca).</w:t>
      </w:r>
    </w:p>
    <w:p w14:paraId="78610A36" w14:textId="77777777" w:rsidR="0067676B" w:rsidRDefault="00B2042E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78610A37" w14:textId="77777777" w:rsidR="0067676B" w:rsidRDefault="00B2042E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pasa a ser clave foránea (NULL cuando el intento no corresponde a una cuenta): como las cuentas nunca se borran, solo se anonimizan, la referencia siempre es válida.</w:t>
      </w:r>
    </w:p>
    <w:p w14:paraId="78610A38" w14:textId="77777777" w:rsidR="0067676B" w:rsidRDefault="00B2042E">
      <w:pPr>
        <w:pStyle w:val="Ttulo2"/>
      </w:pPr>
      <w:bookmarkStart w:id="22" w:name="_cb1741f9772febdbdca46263dec4ffd4ce97a2d"/>
      <w:bookmarkStart w:id="23" w:name="_Toc242830349"/>
      <w:bookmarkEnd w:id="20"/>
      <w:r>
        <w:t>9. Infraestructura</w:t>
      </w:r>
      <w:bookmarkEnd w:id="23"/>
    </w:p>
    <w:p w14:paraId="78610A39" w14:textId="77777777" w:rsidR="0067676B" w:rsidRDefault="00B2042E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 (archivo y fecha); la crea y mantiene </w:t>
      </w:r>
      <w:r>
        <w:rPr>
          <w:rStyle w:val="VerbatimChar"/>
        </w:rPr>
        <w:t>scripts/migrar.php</w:t>
      </w:r>
      <w:r>
        <w:t xml:space="preserve">. En la v2 ya no guarda el modo «línea base»: la base nace con </w:t>
      </w:r>
      <w:r>
        <w:rPr>
          <w:rStyle w:val="VerbatimChar"/>
        </w:rPr>
        <w:t>database/01_schema.sql</w:t>
      </w:r>
      <w:r>
        <w:t xml:space="preserve"> y las migraciones empiezan en </w:t>
      </w:r>
      <w:r>
        <w:rPr>
          <w:rStyle w:val="VerbatimChar"/>
        </w:rPr>
        <w:t>03</w:t>
      </w:r>
      <w:r>
        <w:t>. Los datos semilla (</w:t>
      </w:r>
      <w:r>
        <w:rPr>
          <w:rStyle w:val="VerbatimChar"/>
        </w:rPr>
        <w:t>02_semilla.sql</w:t>
      </w:r>
      <w:r>
        <w:t>) no se anotan aquí, porque el migrador los aplica en cada arranque.</w:t>
      </w:r>
    </w:p>
    <w:p w14:paraId="78610A3A" w14:textId="77777777" w:rsidR="0067676B" w:rsidRDefault="00B2042E">
      <w:pPr>
        <w:pStyle w:val="Ttulo2"/>
      </w:pPr>
      <w:bookmarkStart w:id="24" w:name="_aa4390657bf3d36805eb33834f45f17803989a9"/>
      <w:bookmarkStart w:id="25" w:name="_Toc242830350"/>
      <w:bookmarkEnd w:id="22"/>
      <w:r>
        <w:t>10. Índices y restricciones</w:t>
      </w:r>
      <w:bookmarkEnd w:id="25"/>
    </w:p>
    <w:p w14:paraId="78610A3B" w14:textId="77777777" w:rsidR="0067676B" w:rsidRDefault="00B2042E">
      <w:pPr>
        <w:pStyle w:val="FirstParagraph"/>
      </w:pPr>
      <w:r>
        <w:t>Además de las claves primarias, foráneas y únicas del diagrama, el esquema ejecutable (</w:t>
      </w:r>
      <w:r>
        <w:rPr>
          <w:rStyle w:val="VerbatimChar"/>
        </w:rPr>
        <w:t>database/01_schema.sql</w:t>
      </w:r>
      <w:r>
        <w:t>) declara:</w:t>
      </w:r>
    </w:p>
    <w:p w14:paraId="78610A3C" w14:textId="77777777" w:rsidR="0067676B" w:rsidRDefault="00B2042E">
      <w:pPr>
        <w:pStyle w:val="Compact"/>
        <w:numPr>
          <w:ilvl w:val="0"/>
          <w:numId w:val="11"/>
        </w:numPr>
      </w:pPr>
      <w:r>
        <w:rPr>
          <w:b/>
          <w:bCs/>
        </w:rPr>
        <w:t>Unicidad:</w:t>
      </w:r>
      <w:r>
        <w:t xml:space="preserve"> </w:t>
      </w:r>
      <w:r>
        <w:rPr>
          <w:rStyle w:val="VerbatimChar"/>
        </w:rPr>
        <w:t>consultas.id_cita</w:t>
      </w:r>
      <w:r>
        <w:t xml:space="preserve"> (una consulta por cita), </w:t>
      </w:r>
      <w:r>
        <w:rPr>
          <w:rStyle w:val="VerbatimChar"/>
        </w:rPr>
        <w:t>especie_vacunas (id_especie, id_vacuna_base)</w:t>
      </w:r>
      <w:r>
        <w:t xml:space="preserve">, </w:t>
      </w:r>
      <w:r>
        <w:rPr>
          <w:rStyle w:val="VerbatimChar"/>
        </w:rPr>
        <w:t>horarios_clinica (id_clinica, dia_semana)</w:t>
      </w:r>
      <w:r>
        <w:t xml:space="preserve">, </w:t>
      </w:r>
      <w:r>
        <w:rPr>
          <w:rStyle w:val="VerbatimChar"/>
        </w:rPr>
        <w:t>roles.nombre_rol</w:t>
      </w:r>
      <w:r>
        <w:t xml:space="preserve">, </w:t>
      </w:r>
      <w:r>
        <w:rPr>
          <w:rStyle w:val="VerbatimChar"/>
        </w:rPr>
        <w:t>planes.nombre</w:t>
      </w:r>
      <w:r>
        <w:t xml:space="preserve">, </w:t>
      </w:r>
      <w:r>
        <w:rPr>
          <w:rStyle w:val="VerbatimChar"/>
        </w:rPr>
        <w:t>especies.nombre_especie</w:t>
      </w:r>
      <w:r>
        <w:t xml:space="preserve">, </w:t>
      </w:r>
      <w:r>
        <w:rPr>
          <w:rStyle w:val="VerbatimChar"/>
        </w:rPr>
        <w:t>razas (id_especie, nombre_raza)</w:t>
      </w:r>
      <w:r>
        <w:t xml:space="preserve"> y </w:t>
      </w:r>
      <w:r>
        <w:rPr>
          <w:rStyle w:val="VerbatimChar"/>
        </w:rPr>
        <w:t>colores_base.nombre_color</w:t>
      </w:r>
      <w:r>
        <w:t>. Los de los catálogos globales hacen que la semilla se pueda aplicar varias veces sin duplicar filas.</w:t>
      </w:r>
    </w:p>
    <w:p w14:paraId="78610A3D" w14:textId="77777777" w:rsidR="0067676B" w:rsidRDefault="00B2042E">
      <w:pPr>
        <w:pStyle w:val="Compact"/>
        <w:numPr>
          <w:ilvl w:val="0"/>
          <w:numId w:val="11"/>
        </w:numPr>
      </w:pPr>
      <w:r>
        <w:rPr>
          <w:b/>
          <w:bCs/>
        </w:rPr>
        <w:t>Doble reserva:</w:t>
      </w:r>
      <w:r>
        <w:t xml:space="preserve"> </w:t>
      </w:r>
      <w:r>
        <w:rPr>
          <w:rStyle w:val="VerbatimChar"/>
        </w:rPr>
        <w:t>citas (id_veterinario, fecha, hora, ocupa_horario)</w:t>
      </w:r>
      <w:r>
        <w:t xml:space="preserve">, único y sin </w:t>
      </w:r>
      <w:r>
        <w:rPr>
          <w:rStyle w:val="VerbatimChar"/>
        </w:rPr>
        <w:t>id_clinica</w:t>
      </w:r>
      <w:r>
        <w:t xml:space="preserve"> (ver §6).</w:t>
      </w:r>
    </w:p>
    <w:p w14:paraId="78610A3E" w14:textId="77777777" w:rsidR="0067676B" w:rsidRDefault="00B2042E">
      <w:pPr>
        <w:pStyle w:val="Compact"/>
        <w:numPr>
          <w:ilvl w:val="0"/>
          <w:numId w:val="11"/>
        </w:numPr>
      </w:pPr>
      <w:r>
        <w:rPr>
          <w:b/>
          <w:bCs/>
        </w:rPr>
        <w:lastRenderedPageBreak/>
        <w:t>Aislamiento:</w:t>
      </w:r>
      <w:r>
        <w:t xml:space="preserve"> índices compuestos que empiezan por </w:t>
      </w:r>
      <w:r>
        <w:rPr>
          <w:rStyle w:val="VerbatimChar"/>
        </w:rPr>
        <w:t>id_clinica</w:t>
      </w:r>
      <w:r>
        <w:t xml:space="preserve"> en las tablas de negocio (</w:t>
      </w:r>
      <w:r>
        <w:rPr>
          <w:rStyle w:val="VerbatimChar"/>
        </w:rPr>
        <w:t>citas</w:t>
      </w:r>
      <w:r>
        <w:t xml:space="preserve">, </w:t>
      </w:r>
      <w:r>
        <w:rPr>
          <w:rStyle w:val="VerbatimChar"/>
        </w:rPr>
        <w:t>consultas</w:t>
      </w:r>
      <w:r>
        <w:t>,</w:t>
      </w:r>
      <w:r>
        <w:t xml:space="preserve"> </w:t>
      </w:r>
      <w:r>
        <w:rPr>
          <w:rStyle w:val="VerbatimChar"/>
        </w:rPr>
        <w:t>vacunas</w:t>
      </w:r>
      <w:r>
        <w:t xml:space="preserve">, </w:t>
      </w:r>
      <w:r>
        <w:rPr>
          <w:rStyle w:val="VerbatimChar"/>
        </w:rPr>
        <w:t>desparasitaciones</w:t>
      </w:r>
      <w:r>
        <w:t xml:space="preserve">,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catálogos por clínica,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auditoria_*</w:t>
      </w:r>
      <w:r>
        <w:t xml:space="preserve">, </w:t>
      </w:r>
      <w:r>
        <w:rPr>
          <w:rStyle w:val="VerbatimChar"/>
        </w:rPr>
        <w:t>usuario_clinica</w:t>
      </w:r>
      <w:r>
        <w:t xml:space="preserve">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mascota_clinica</w:t>
      </w:r>
      <w:r>
        <w:t xml:space="preserve">, </w:t>
      </w:r>
      <w:r>
        <w:rPr>
          <w:rStyle w:val="VerbatimChar"/>
        </w:rPr>
        <w:t>suscripciones</w:t>
      </w:r>
      <w:r>
        <w:t xml:space="preserve">, </w:t>
      </w:r>
      <w:r>
        <w:rPr>
          <w:rStyle w:val="VerbatimChar"/>
        </w:rPr>
        <w:t>plantillas_comunicacion</w:t>
      </w:r>
      <w:r>
        <w:t xml:space="preserve"> e </w:t>
      </w:r>
      <w:r>
        <w:rPr>
          <w:rStyle w:val="VerbatimChar"/>
        </w:rPr>
        <w:t>ingresos_emergencia</w:t>
      </w:r>
      <w:r>
        <w:t>), para que el filtro por clínica (RNF-11) no recorra la tabla completa.</w:t>
      </w:r>
    </w:p>
    <w:p w14:paraId="78610A3F" w14:textId="77777777" w:rsidR="0067676B" w:rsidRDefault="00B2042E">
      <w:pPr>
        <w:pStyle w:val="Compact"/>
        <w:numPr>
          <w:ilvl w:val="0"/>
          <w:numId w:val="11"/>
        </w:numPr>
      </w:pPr>
      <w:r>
        <w:t xml:space="preserve">Todas las tablas usan InnoDB y </w:t>
      </w:r>
      <w:r>
        <w:rPr>
          <w:rStyle w:val="VerbatimChar"/>
        </w:rPr>
        <w:t>utf8mb4</w:t>
      </w:r>
      <w:r>
        <w:t xml:space="preserve"> (</w:t>
      </w:r>
      <w:r>
        <w:rPr>
          <w:rStyle w:val="VerbatimChar"/>
        </w:rPr>
        <w:t>utf8mb4_general_ci</w:t>
      </w:r>
      <w:r>
        <w:t xml:space="preserve">). Ninguna clave foránea borra en cascada salvo </w:t>
      </w:r>
      <w:r>
        <w:rPr>
          <w:rStyle w:val="VerbatimChar"/>
        </w:rPr>
        <w:t>mascota_colores</w:t>
      </w:r>
      <w:r>
        <w:t>: las personas, las citas y la historia clínica no se borran (RN-G08, RN-405, RN-206).</w:t>
      </w:r>
      <w:bookmarkEnd w:id="4"/>
      <w:bookmarkEnd w:id="24"/>
    </w:p>
    <w:sectPr w:rsidR="0067676B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1E8D2" w14:textId="77777777" w:rsidR="00B2042E" w:rsidRDefault="00B2042E">
      <w:pPr>
        <w:spacing w:after="0" w:line="240" w:lineRule="auto"/>
      </w:pPr>
      <w:r>
        <w:separator/>
      </w:r>
    </w:p>
  </w:endnote>
  <w:endnote w:type="continuationSeparator" w:id="0">
    <w:p w14:paraId="41D76A14" w14:textId="77777777" w:rsidR="00B2042E" w:rsidRDefault="00B20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10A4B" w14:textId="77777777" w:rsidR="0067676B" w:rsidRDefault="00B2042E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10A4D" w14:textId="77777777" w:rsidR="0067676B" w:rsidRDefault="0067676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3B0B7" w14:textId="77777777" w:rsidR="00B2042E" w:rsidRDefault="00B2042E">
      <w:pPr>
        <w:spacing w:after="0" w:line="240" w:lineRule="auto"/>
      </w:pPr>
      <w:r>
        <w:separator/>
      </w:r>
    </w:p>
  </w:footnote>
  <w:footnote w:type="continuationSeparator" w:id="0">
    <w:p w14:paraId="4F0B6C9E" w14:textId="77777777" w:rsidR="00B2042E" w:rsidRDefault="00B20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67676B" w14:paraId="78610A49" w14:textId="77777777" w:rsidTr="0067676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78610A44" w14:textId="77777777" w:rsidR="0067676B" w:rsidRDefault="00B2042E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78610A4E" wp14:editId="78610A4F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78610A45" w14:textId="77777777" w:rsidR="0067676B" w:rsidRDefault="00B2042E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78610A46" w14:textId="77777777" w:rsidR="0067676B" w:rsidRDefault="00B2042E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78610A47" w14:textId="77777777" w:rsidR="0067676B" w:rsidRDefault="0067676B">
          <w:pPr>
            <w:spacing w:after="0" w:line="240" w:lineRule="auto"/>
            <w:jc w:val="right"/>
          </w:pPr>
        </w:p>
        <w:p w14:paraId="78610A48" w14:textId="77777777" w:rsidR="0067676B" w:rsidRDefault="00B2042E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78610A4A" w14:textId="77777777" w:rsidR="0067676B" w:rsidRDefault="0067676B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10A4C" w14:textId="77777777" w:rsidR="0067676B" w:rsidRDefault="006767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B5885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ED45B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37240375">
    <w:abstractNumId w:val="0"/>
  </w:num>
  <w:num w:numId="2" w16cid:durableId="1697653528">
    <w:abstractNumId w:val="1"/>
  </w:num>
  <w:num w:numId="3" w16cid:durableId="1642613776">
    <w:abstractNumId w:val="1"/>
  </w:num>
  <w:num w:numId="4" w16cid:durableId="61410606">
    <w:abstractNumId w:val="1"/>
  </w:num>
  <w:num w:numId="5" w16cid:durableId="887256729">
    <w:abstractNumId w:val="1"/>
  </w:num>
  <w:num w:numId="6" w16cid:durableId="306785256">
    <w:abstractNumId w:val="1"/>
  </w:num>
  <w:num w:numId="7" w16cid:durableId="2098214195">
    <w:abstractNumId w:val="1"/>
  </w:num>
  <w:num w:numId="8" w16cid:durableId="836766988">
    <w:abstractNumId w:val="1"/>
  </w:num>
  <w:num w:numId="9" w16cid:durableId="380059939">
    <w:abstractNumId w:val="1"/>
  </w:num>
  <w:num w:numId="10" w16cid:durableId="1142307141">
    <w:abstractNumId w:val="1"/>
  </w:num>
  <w:num w:numId="11" w16cid:durableId="6819312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76B"/>
    <w:rsid w:val="0067676B"/>
    <w:rsid w:val="007547F3"/>
    <w:rsid w:val="00B2042E"/>
    <w:rsid w:val="00D31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109DE"/>
  <w15:docId w15:val="{04A132E6-40A5-42D4-8AFC-696D8EB4D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3585</Words>
  <Characters>19722</Characters>
  <Application>Microsoft Office Word</Application>
  <DocSecurity>0</DocSecurity>
  <Lines>164</Lines>
  <Paragraphs>46</Paragraphs>
  <ScaleCrop>false</ScaleCrop>
  <Company/>
  <LinksUpToDate>false</LinksUpToDate>
  <CharactersWithSpaces>23261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2026-10-14T05:30:00Z</dcterms:created>
  <dcterms:modified xsi:type="dcterms:W3CDTF">2026-10-14T05:32:00Z</dcterms:modified>
</cp:coreProperties>
</file>