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</w:t>
      </w:r>
      <w:proofErr w:type="gramStart"/>
      <w:r>
        <w:t>variável .</w:t>
      </w:r>
      <w:proofErr w:type="gramEnd"/>
      <w:r>
        <w:t xml:space="preserve">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08C07091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</w:p>
    <w:p w14:paraId="2D70C661" w14:textId="2A5E44AC" w:rsidR="00C7694F" w:rsidRDefault="00C7694F" w:rsidP="00F52419">
      <w:r>
        <w:tab/>
        <w:t>Dessa forma</w:t>
      </w:r>
      <w:r w:rsidR="00CC49F0">
        <w:t>, a partir da consideração de um sistema homogêneo</w:t>
      </w:r>
      <w:r w:rsidR="009F2343">
        <w:t xml:space="preserve"> em processo contínuo, o balanço dos componentes do modelo é descrito pelas Equações</w:t>
      </w:r>
      <w:r w:rsidR="00830561">
        <w:t xml:space="preserve"> 1, 2 e 3</w:t>
      </w:r>
      <w:r w:rsidR="009F2343">
        <w:t>:</w:t>
      </w:r>
    </w:p>
    <w:p w14:paraId="6602EEF6" w14:textId="77777777" w:rsidR="00172621" w:rsidRDefault="00293B27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gera</m:t>
              </m:r>
              <m:r>
                <w:rPr>
                  <w:rFonts w:ascii="Cambria Math" w:hAnsi="Cambria Math"/>
                </w:rPr>
                <m:t>çã</m:t>
              </m:r>
              <m:r>
                <w:rPr>
                  <w:rFonts w:ascii="Cambria Math" w:hAnsi="Cambria Math"/>
                </w:rPr>
                <m:t>o</m:t>
              </m:r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consumo</m:t>
              </m:r>
            </m:e>
          </m:nary>
        </m:oMath>
      </m:oMathPara>
    </w:p>
    <w:p w14:paraId="19963CF2" w14:textId="2333781D" w:rsidR="00172621" w:rsidRDefault="00172621" w:rsidP="00172621">
      <w:pPr>
        <w:pStyle w:val="Legenda"/>
        <w:jc w:val="right"/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1</w:t>
      </w:r>
      <w:r w:rsidR="00293B27">
        <w:rPr>
          <w:noProof/>
        </w:rPr>
        <w:fldChar w:fldCharType="end"/>
      </w:r>
      <w:r>
        <w:t xml:space="preserve"> )</w:t>
      </w:r>
    </w:p>
    <w:p w14:paraId="1B07507F" w14:textId="31B3FCD3" w:rsidR="00172621" w:rsidRDefault="00293B27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gera</m:t>
              </m:r>
              <m:r>
                <w:rPr>
                  <w:rFonts w:ascii="Cambria Math" w:hAnsi="Cambria Math"/>
                </w:rPr>
                <m:t>çã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consumo</m:t>
                  </m:r>
                </m:e>
              </m:nary>
            </m:e>
          </m:nary>
        </m:oMath>
      </m:oMathPara>
    </w:p>
    <w:p w14:paraId="02A7C566" w14:textId="533E8A17" w:rsidR="00172621" w:rsidRDefault="00172621" w:rsidP="00172621">
      <w:pPr>
        <w:pStyle w:val="Legenda"/>
        <w:jc w:val="right"/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2</w:t>
      </w:r>
      <w:r w:rsidR="00293B27">
        <w:rPr>
          <w:noProof/>
        </w:rPr>
        <w:fldChar w:fldCharType="end"/>
      </w:r>
      <w:r>
        <w:t xml:space="preserve"> )</w:t>
      </w:r>
    </w:p>
    <w:p w14:paraId="22EBAEE4" w14:textId="77777777" w:rsidR="00177226" w:rsidRDefault="00293B27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gera</m:t>
              </m:r>
              <m:r>
                <w:rPr>
                  <w:rFonts w:ascii="Cambria Math" w:hAnsi="Cambria Math"/>
                </w:rPr>
                <m:t>çã</m:t>
              </m:r>
              <m:r>
                <w:rPr>
                  <w:rFonts w:ascii="Cambria Math" w:hAnsi="Cambria Math"/>
                </w:rPr>
                <m:t>o</m:t>
              </m:r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con</m:t>
              </m:r>
              <m:r>
                <w:rPr>
                  <w:rFonts w:ascii="Cambria Math" w:hAnsi="Cambria Math"/>
                </w:rPr>
                <m:t>sumo</m:t>
              </m:r>
            </m:e>
          </m:nary>
        </m:oMath>
      </m:oMathPara>
    </w:p>
    <w:p w14:paraId="5C851504" w14:textId="1EE5A9BB" w:rsidR="00C8438A" w:rsidRPr="009F2343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3</w:t>
      </w:r>
      <w:r w:rsidR="00293B27">
        <w:rPr>
          <w:noProof/>
        </w:rPr>
        <w:fldChar w:fldCharType="end"/>
      </w:r>
      <w:r>
        <w:t xml:space="preserve"> )</w:t>
      </w:r>
    </w:p>
    <w:p w14:paraId="5BE8B684" w14:textId="77777777" w:rsidR="009F2343" w:rsidRDefault="009F2343" w:rsidP="00F52419">
      <w:pPr>
        <w:rPr>
          <w:rFonts w:eastAsiaTheme="minorEastAsia"/>
        </w:rPr>
      </w:pPr>
    </w:p>
    <w:p w14:paraId="14DA688D" w14:textId="69617112" w:rsidR="009F2343" w:rsidRDefault="0033256E" w:rsidP="00F5241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No balanço de substrato, </w:t>
      </w:r>
      <w:r w:rsidR="00974268">
        <w:rPr>
          <w:rFonts w:eastAsiaTheme="minorEastAsia"/>
        </w:rPr>
        <w:t>não há termo de geração e o consumo é descrito através da cinética de Monod</w:t>
      </w:r>
      <w:r w:rsidR="00AA2D93">
        <w:rPr>
          <w:rFonts w:eastAsiaTheme="minorEastAsia"/>
        </w:rPr>
        <w:t>, conforme apresentada na Equação 4</w:t>
      </w:r>
      <w:r w:rsidR="00D52722">
        <w:rPr>
          <w:rFonts w:eastAsiaTheme="minorEastAsia"/>
        </w:rPr>
        <w:t>: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0E3C2069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4</w:t>
      </w:r>
      <w:r w:rsidR="00293B27">
        <w:rPr>
          <w:noProof/>
        </w:rPr>
        <w:fldChar w:fldCharType="end"/>
      </w:r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2770B7F9" w14:textId="3819E381" w:rsidR="00837BC8" w:rsidRDefault="00851BDA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Assim, </w:t>
      </w:r>
      <w:r w:rsidR="00837BC8">
        <w:rPr>
          <w:rFonts w:eastAsiaTheme="minorEastAsia"/>
        </w:rPr>
        <w:t xml:space="preserve">substituindo </w:t>
      </w:r>
      <w:r w:rsidR="00075E37">
        <w:rPr>
          <w:rFonts w:eastAsiaTheme="minorEastAsia"/>
        </w:rPr>
        <w:t>a Equação 4 na Equação 1,</w:t>
      </w:r>
      <w:r w:rsidR="0039781D">
        <w:rPr>
          <w:rFonts w:eastAsiaTheme="minorEastAsia"/>
        </w:rPr>
        <w:t xml:space="preserve"> introduzindo um parâmetro de rendimento de biomassa por substrato consumido</w:t>
      </w:r>
      <w:r w:rsidR="00FC6F09">
        <w:rPr>
          <w:rFonts w:eastAsiaTheme="minorEastAsia"/>
        </w:rPr>
        <w:t xml:space="preserve">, </w:t>
      </w:r>
      <w:r w:rsidR="00FC6F09">
        <w:rPr>
          <w:rFonts w:eastAsiaTheme="minorEastAsia"/>
          <w:i/>
          <w:iCs/>
        </w:rPr>
        <w:t>Y</w:t>
      </w:r>
      <w:r w:rsidR="00FC6F09">
        <w:rPr>
          <w:rFonts w:eastAsiaTheme="minorEastAsia"/>
          <w:i/>
          <w:iCs/>
          <w:vertAlign w:val="subscript"/>
        </w:rPr>
        <w:t>X/S</w:t>
      </w:r>
      <w:r w:rsidR="00442A0F">
        <w:rPr>
          <w:rFonts w:eastAsiaTheme="minorEastAsia"/>
        </w:rPr>
        <w:t>,</w:t>
      </w:r>
      <w:r w:rsidR="00075E37">
        <w:rPr>
          <w:rFonts w:eastAsiaTheme="minorEastAsia"/>
        </w:rPr>
        <w:t xml:space="preserve"> obtém-se:</w:t>
      </w:r>
    </w:p>
    <w:p w14:paraId="684DD8C9" w14:textId="77777777" w:rsidR="00177226" w:rsidRDefault="00293B27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69451A0E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5</w:t>
      </w:r>
      <w:r w:rsidR="00293B27">
        <w:rPr>
          <w:noProof/>
        </w:rPr>
        <w:fldChar w:fldCharType="end"/>
      </w:r>
      <w:r>
        <w:t xml:space="preserve"> )</w:t>
      </w:r>
    </w:p>
    <w:p w14:paraId="18978B1C" w14:textId="33C06B6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do consumo de substrato. Introduziu-se também um term</w:t>
      </w:r>
      <w:r w:rsidR="00ED716A">
        <w:t>o de consumo representando o decaimento de biomassa através de uma reação de primeira ordem, resultando na Equação 6.</w:t>
      </w:r>
    </w:p>
    <w:p w14:paraId="5148C62A" w14:textId="77777777" w:rsidR="00177226" w:rsidRDefault="00293B27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</m:oMath>
      </m:oMathPara>
    </w:p>
    <w:p w14:paraId="4775900F" w14:textId="4836F225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6</w:t>
      </w:r>
      <w:r w:rsidR="00293B27">
        <w:rPr>
          <w:noProof/>
        </w:rPr>
        <w:fldChar w:fldCharType="end"/>
      </w:r>
      <w:r>
        <w:t xml:space="preserve"> )</w:t>
      </w:r>
    </w:p>
    <w:p w14:paraId="50045729" w14:textId="5E02814F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há termo de consumo</w:t>
      </w:r>
      <w:r w:rsidR="005D2C50">
        <w:t xml:space="preserve"> e descreve-se a geração </w:t>
      </w:r>
      <w:r w:rsidR="002F3F08">
        <w:t>de produto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293B27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7B7CC856" w:rsidR="0094430E" w:rsidRDefault="0094430E" w:rsidP="0094430E">
      <w:pPr>
        <w:pStyle w:val="Legenda"/>
        <w:jc w:val="right"/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7</w:t>
      </w:r>
      <w:r w:rsidR="00293B27">
        <w:rPr>
          <w:noProof/>
        </w:rPr>
        <w:fldChar w:fldCharType="end"/>
      </w:r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7777777" w:rsidR="00522CAC" w:rsidRDefault="00293B27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X/S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max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P/S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X/S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8000A89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 w:rsidR="002A0D5E">
        <w:rPr>
          <w:noProof/>
        </w:rPr>
        <w:t>8</w:t>
      </w:r>
      <w:r w:rsidR="00293B27">
        <w:rPr>
          <w:noProof/>
        </w:rPr>
        <w:fldChar w:fldCharType="end"/>
      </w:r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3E041581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9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10.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567"/>
        <w:gridCol w:w="1963"/>
        <w:gridCol w:w="1274"/>
        <w:gridCol w:w="1275"/>
        <w:gridCol w:w="1435"/>
      </w:tblGrid>
      <w:tr w:rsidR="00123CC7" w14:paraId="1E76381E" w14:textId="02720228" w:rsidTr="00FC3824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963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274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435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C3824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963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274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435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972F5A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963" w:type="dxa"/>
            <w:vAlign w:val="center"/>
          </w:tcPr>
          <w:p w14:paraId="68C91A78" w14:textId="515CBA8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4" w:type="dxa"/>
            <w:vAlign w:val="center"/>
          </w:tcPr>
          <w:p w14:paraId="06096DCD" w14:textId="66829410" w:rsidR="00F57BB5" w:rsidRDefault="00B52B7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B589818" w:rsidR="00F57BB5" w:rsidRDefault="00293B27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35" w:type="dxa"/>
            <w:vAlign w:val="center"/>
          </w:tcPr>
          <w:p w14:paraId="1CCC204E" w14:textId="2353A4C5" w:rsidR="00F57BB5" w:rsidRDefault="00293B27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</m:oMath>
            </m:oMathPara>
          </w:p>
        </w:tc>
      </w:tr>
      <w:tr w:rsidR="00B52B7A" w14:paraId="4D606ADD" w14:textId="531CE0EB" w:rsidTr="00972F5A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963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274" w:type="dxa"/>
            <w:vAlign w:val="center"/>
          </w:tcPr>
          <w:p w14:paraId="18B4063F" w14:textId="5F87C550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435" w:type="dxa"/>
            <w:vAlign w:val="center"/>
          </w:tcPr>
          <w:p w14:paraId="15ED75A2" w14:textId="12A46F22" w:rsidR="00F57BB5" w:rsidRDefault="00293B27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77777777" w:rsidR="002A0D5E" w:rsidRDefault="00293B27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BBB4C5B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>
        <w:rPr>
          <w:noProof/>
        </w:rPr>
        <w:t>9</w:t>
      </w:r>
      <w:r w:rsidR="00293B27">
        <w:rPr>
          <w:noProof/>
        </w:rPr>
        <w:fldChar w:fldCharType="end"/>
      </w:r>
      <w:r>
        <w:t xml:space="preserve"> )</w:t>
      </w:r>
    </w:p>
    <w:p w14:paraId="1D9F5802" w14:textId="62B5B181" w:rsidR="00AB3C90" w:rsidRDefault="00293B27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49D185DB" w:rsidR="002A0D5E" w:rsidRDefault="002A0D5E" w:rsidP="002A0D5E">
      <w:pPr>
        <w:pStyle w:val="Legenda"/>
        <w:jc w:val="right"/>
      </w:pPr>
      <w:r>
        <w:t xml:space="preserve">( </w:t>
      </w:r>
      <w:r w:rsidR="00293B27">
        <w:fldChar w:fldCharType="begin"/>
      </w:r>
      <w:r w:rsidR="00293B27">
        <w:instrText xml:space="preserve"> SEQ ( \* ARABIC </w:instrText>
      </w:r>
      <w:r w:rsidR="00293B27">
        <w:fldChar w:fldCharType="separate"/>
      </w:r>
      <w:r>
        <w:rPr>
          <w:noProof/>
        </w:rPr>
        <w:t>10</w:t>
      </w:r>
      <w:r w:rsidR="00293B27">
        <w:rPr>
          <w:noProof/>
        </w:rPr>
        <w:fldChar w:fldCharType="end"/>
      </w:r>
      <w:r>
        <w:t xml:space="preserve"> )</w:t>
      </w:r>
    </w:p>
    <w:p w14:paraId="1CBA4EE5" w14:textId="5A798D34" w:rsidR="00C13A5B" w:rsidRPr="00416614" w:rsidRDefault="00C13A5B" w:rsidP="008111D1">
      <w:pPr>
        <w:ind w:firstLine="708"/>
        <w:jc w:val="right"/>
      </w:pPr>
      <w:r>
        <w:rPr>
          <w:rFonts w:eastAsiaTheme="minor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0C9285F5" w14:textId="77777777" w:rsidR="00F52419" w:rsidRPr="002C48F1" w:rsidRDefault="00F52419" w:rsidP="00F52419">
      <w:pPr>
        <w:pStyle w:val="Ttulo2"/>
        <w:rPr>
          <w:highlight w:val="yellow"/>
        </w:rPr>
      </w:pPr>
      <w:r w:rsidRPr="002C48F1">
        <w:rPr>
          <w:highlight w:val="yellow"/>
        </w:rPr>
        <w:t>Fluxo computacional</w:t>
      </w:r>
    </w:p>
    <w:p w14:paraId="426B692B" w14:textId="77777777" w:rsidR="00356D6D" w:rsidRPr="002C48F1" w:rsidRDefault="00356D6D" w:rsidP="00F52419">
      <w:pPr>
        <w:pStyle w:val="Ttulo1"/>
        <w:rPr>
          <w:highlight w:val="yellow"/>
        </w:rPr>
      </w:pPr>
    </w:p>
    <w:p w14:paraId="6719D1E1" w14:textId="72C4A8A9" w:rsidR="00EC50D5" w:rsidRPr="00EC50D5" w:rsidRDefault="00C97CA5" w:rsidP="00EC50D5">
      <w:r w:rsidRPr="002C48F1">
        <w:rPr>
          <w:highlight w:val="yellow"/>
        </w:rPr>
        <w:tab/>
      </w:r>
      <w:r w:rsidR="003B4A09" w:rsidRPr="002C48F1">
        <w:rPr>
          <w:highlight w:val="yellow"/>
        </w:rPr>
        <w:t xml:space="preserve">A primeira função definida </w:t>
      </w:r>
      <w:r w:rsidR="002748E4" w:rsidRPr="002C48F1">
        <w:rPr>
          <w:highlight w:val="yellow"/>
        </w:rPr>
        <w:t xml:space="preserve">é a </w:t>
      </w:r>
      <w:proofErr w:type="gramStart"/>
      <w:r w:rsidR="002748E4" w:rsidRPr="002C48F1">
        <w:rPr>
          <w:highlight w:val="yellow"/>
        </w:rPr>
        <w:t>modelo(</w:t>
      </w:r>
      <w:proofErr w:type="gramEnd"/>
      <w:r w:rsidR="002748E4" w:rsidRPr="002C48F1">
        <w:rPr>
          <w:highlight w:val="yellow"/>
        </w:rPr>
        <w:t>), que recebe</w:t>
      </w:r>
      <w:r w:rsidR="00214D7E" w:rsidRPr="002C48F1">
        <w:rPr>
          <w:highlight w:val="yellow"/>
        </w:rPr>
        <w:t xml:space="preserve"> </w:t>
      </w:r>
      <w:r w:rsidR="006A1F49" w:rsidRPr="002C48F1">
        <w:rPr>
          <w:highlight w:val="yellow"/>
        </w:rPr>
        <w:t>três argumentos: t, x e parâmetros</w:t>
      </w:r>
      <w:r w:rsidR="00F15AE6" w:rsidRPr="002C48F1">
        <w:rPr>
          <w:highlight w:val="yellow"/>
        </w:rPr>
        <w:t xml:space="preserve">. </w:t>
      </w:r>
      <w:r w:rsidR="00F64B3C" w:rsidRPr="002C48F1">
        <w:rPr>
          <w:highlight w:val="yellow"/>
        </w:rPr>
        <w:t>Essa função retorna</w:t>
      </w:r>
      <w:r w:rsidR="00F95DAB" w:rsidRPr="002C48F1">
        <w:rPr>
          <w:highlight w:val="yellow"/>
        </w:rPr>
        <w:t xml:space="preserve"> um vetor contendo as variáveis </w:t>
      </w:r>
      <w:proofErr w:type="spellStart"/>
      <w:r w:rsidR="002D63C0" w:rsidRPr="002C48F1">
        <w:rPr>
          <w:i/>
          <w:iCs/>
          <w:highlight w:val="yellow"/>
        </w:rPr>
        <w:t>dS_dt</w:t>
      </w:r>
      <w:proofErr w:type="spellEnd"/>
      <w:r w:rsidR="002D63C0" w:rsidRPr="002C48F1">
        <w:rPr>
          <w:highlight w:val="yellow"/>
        </w:rPr>
        <w:t xml:space="preserve">, </w:t>
      </w:r>
      <w:proofErr w:type="spellStart"/>
      <w:r w:rsidR="002D63C0" w:rsidRPr="002C48F1">
        <w:rPr>
          <w:i/>
          <w:iCs/>
          <w:highlight w:val="yellow"/>
        </w:rPr>
        <w:t>dX_dt</w:t>
      </w:r>
      <w:proofErr w:type="spellEnd"/>
      <w:r w:rsidR="002D63C0" w:rsidRPr="002C48F1">
        <w:rPr>
          <w:highlight w:val="yellow"/>
        </w:rPr>
        <w:t xml:space="preserve"> e </w:t>
      </w:r>
      <w:proofErr w:type="spellStart"/>
      <w:r w:rsidR="002D63C0" w:rsidRPr="002C48F1">
        <w:rPr>
          <w:i/>
          <w:iCs/>
          <w:highlight w:val="yellow"/>
        </w:rPr>
        <w:t>dP_dt</w:t>
      </w:r>
      <w:proofErr w:type="spellEnd"/>
      <w:r w:rsidR="002D63C0" w:rsidRPr="002C48F1">
        <w:rPr>
          <w:highlight w:val="yellow"/>
        </w:rPr>
        <w:t xml:space="preserve">, </w:t>
      </w:r>
      <w:r w:rsidR="00D71380" w:rsidRPr="002C48F1">
        <w:rPr>
          <w:highlight w:val="yellow"/>
        </w:rPr>
        <w:t xml:space="preserve">que são calculadas a partir do balanço </w:t>
      </w:r>
      <w:r w:rsidR="00844379" w:rsidRPr="002C48F1">
        <w:rPr>
          <w:highlight w:val="yellow"/>
        </w:rPr>
        <w:t>de componentes do modelo em processo contínuo</w:t>
      </w:r>
      <w:r w:rsidR="000A2C8F" w:rsidRPr="002C48F1">
        <w:rPr>
          <w:highlight w:val="yellow"/>
        </w:rPr>
        <w:t>. Para esse cálculo,</w:t>
      </w:r>
      <w:r w:rsidR="008E46F8" w:rsidRPr="002C48F1">
        <w:rPr>
          <w:highlight w:val="yellow"/>
        </w:rPr>
        <w:t xml:space="preserve"> utiliza</w:t>
      </w:r>
      <w:r w:rsidR="000A2C8F" w:rsidRPr="002C48F1">
        <w:rPr>
          <w:highlight w:val="yellow"/>
        </w:rPr>
        <w:t>-se</w:t>
      </w:r>
      <w:r w:rsidR="008E46F8" w:rsidRPr="002C48F1">
        <w:rPr>
          <w:highlight w:val="yellow"/>
        </w:rPr>
        <w:t xml:space="preserve"> o vetor </w:t>
      </w:r>
      <w:r w:rsidR="00AB0348" w:rsidRPr="002C48F1">
        <w:rPr>
          <w:b/>
          <w:bCs/>
          <w:highlight w:val="yellow"/>
        </w:rPr>
        <w:t>x</w:t>
      </w:r>
      <w:r w:rsidR="00AB0348" w:rsidRPr="002C48F1">
        <w:rPr>
          <w:highlight w:val="yellow"/>
        </w:rPr>
        <w:t>, que contém as condições iniciais de cada componente e o vetor</w:t>
      </w:r>
      <w:r w:rsidR="00E01542" w:rsidRPr="002C48F1">
        <w:rPr>
          <w:highlight w:val="yellow"/>
        </w:rPr>
        <w:t xml:space="preserve"> </w:t>
      </w:r>
      <w:r w:rsidR="00E01542" w:rsidRPr="002C48F1">
        <w:rPr>
          <w:b/>
          <w:bCs/>
          <w:highlight w:val="yellow"/>
        </w:rPr>
        <w:t>parâmetros</w:t>
      </w:r>
      <w:r w:rsidR="00E01542" w:rsidRPr="002C48F1">
        <w:rPr>
          <w:highlight w:val="yellow"/>
        </w:rPr>
        <w:t xml:space="preserve">, que contém os valores </w:t>
      </w:r>
      <w:r w:rsidR="006E68C5" w:rsidRPr="002C48F1">
        <w:rPr>
          <w:highlight w:val="yellow"/>
        </w:rPr>
        <w:t xml:space="preserve">dos </w:t>
      </w:r>
      <w:r w:rsidR="00D06FB8" w:rsidRPr="002C48F1">
        <w:rPr>
          <w:highlight w:val="yellow"/>
        </w:rPr>
        <w:t>parâmetros</w:t>
      </w:r>
      <w:r w:rsidR="00EC50D5" w:rsidRPr="002C48F1">
        <w:rPr>
          <w:highlight w:val="yellow"/>
        </w:rPr>
        <w:t xml:space="preserve">. Destaca-se aqui que a concentração de substrato na corrente de entrada foi incluída no vetor </w:t>
      </w:r>
      <w:r w:rsidR="00EC50D5" w:rsidRPr="002C48F1">
        <w:rPr>
          <w:b/>
          <w:bCs/>
          <w:highlight w:val="yellow"/>
        </w:rPr>
        <w:t xml:space="preserve">parâmetros </w:t>
      </w:r>
      <w:r w:rsidR="00EC50D5" w:rsidRPr="002C48F1">
        <w:rPr>
          <w:highlight w:val="yellow"/>
        </w:rPr>
        <w:t xml:space="preserve">como </w:t>
      </w:r>
      <w:proofErr w:type="spellStart"/>
      <w:r w:rsidR="00EC50D5" w:rsidRPr="002C48F1">
        <w:rPr>
          <w:i/>
          <w:iCs/>
          <w:highlight w:val="yellow"/>
        </w:rPr>
        <w:t>S_in</w:t>
      </w:r>
      <w:proofErr w:type="spellEnd"/>
      <w:r w:rsidR="00EC50D5" w:rsidRPr="002C48F1">
        <w:rPr>
          <w:highlight w:val="yellow"/>
        </w:rPr>
        <w:t>.</w:t>
      </w:r>
    </w:p>
    <w:p w14:paraId="0EEF869C" w14:textId="64959760" w:rsidR="00C97CA5" w:rsidRDefault="00C97CA5" w:rsidP="00C97CA5"/>
    <w:p w14:paraId="25D52E12" w14:textId="0ABD1AF5" w:rsidR="00260432" w:rsidRPr="00E01542" w:rsidRDefault="00260432" w:rsidP="00C97CA5"/>
    <w:sectPr w:rsidR="0026043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38EC"/>
    <w:rsid w:val="000164CC"/>
    <w:rsid w:val="00023890"/>
    <w:rsid w:val="00030D5B"/>
    <w:rsid w:val="00042B1C"/>
    <w:rsid w:val="000450C2"/>
    <w:rsid w:val="00070984"/>
    <w:rsid w:val="00073507"/>
    <w:rsid w:val="00075E37"/>
    <w:rsid w:val="000A1818"/>
    <w:rsid w:val="000A24DB"/>
    <w:rsid w:val="000A2B22"/>
    <w:rsid w:val="000A2C8F"/>
    <w:rsid w:val="000B4E43"/>
    <w:rsid w:val="000E03E0"/>
    <w:rsid w:val="000F63F2"/>
    <w:rsid w:val="001138F6"/>
    <w:rsid w:val="00117A5C"/>
    <w:rsid w:val="00123CC7"/>
    <w:rsid w:val="00172621"/>
    <w:rsid w:val="00177226"/>
    <w:rsid w:val="00195C70"/>
    <w:rsid w:val="001A20AB"/>
    <w:rsid w:val="00205C6B"/>
    <w:rsid w:val="0020696E"/>
    <w:rsid w:val="00210251"/>
    <w:rsid w:val="00214D7E"/>
    <w:rsid w:val="00222BC2"/>
    <w:rsid w:val="0024337F"/>
    <w:rsid w:val="002445F4"/>
    <w:rsid w:val="00260432"/>
    <w:rsid w:val="002748E4"/>
    <w:rsid w:val="00290952"/>
    <w:rsid w:val="00293B27"/>
    <w:rsid w:val="002A0475"/>
    <w:rsid w:val="002A0D5E"/>
    <w:rsid w:val="002B2879"/>
    <w:rsid w:val="002B3868"/>
    <w:rsid w:val="002C48F1"/>
    <w:rsid w:val="002D1CF3"/>
    <w:rsid w:val="002D63C0"/>
    <w:rsid w:val="002F28EE"/>
    <w:rsid w:val="002F3CEE"/>
    <w:rsid w:val="002F3F08"/>
    <w:rsid w:val="0033256E"/>
    <w:rsid w:val="00345D4D"/>
    <w:rsid w:val="00356D6D"/>
    <w:rsid w:val="00370A01"/>
    <w:rsid w:val="00376425"/>
    <w:rsid w:val="0037720F"/>
    <w:rsid w:val="003933EB"/>
    <w:rsid w:val="003952AE"/>
    <w:rsid w:val="0039781D"/>
    <w:rsid w:val="003B4A09"/>
    <w:rsid w:val="003F3DA9"/>
    <w:rsid w:val="00416614"/>
    <w:rsid w:val="00432CD3"/>
    <w:rsid w:val="00442A0F"/>
    <w:rsid w:val="00480861"/>
    <w:rsid w:val="004B6373"/>
    <w:rsid w:val="004D2975"/>
    <w:rsid w:val="004E706F"/>
    <w:rsid w:val="004F7708"/>
    <w:rsid w:val="00522CAC"/>
    <w:rsid w:val="0052335F"/>
    <w:rsid w:val="00567AC3"/>
    <w:rsid w:val="00574614"/>
    <w:rsid w:val="00585ADC"/>
    <w:rsid w:val="00592CBA"/>
    <w:rsid w:val="005B4D94"/>
    <w:rsid w:val="005B63B8"/>
    <w:rsid w:val="005D2AFA"/>
    <w:rsid w:val="005D2C50"/>
    <w:rsid w:val="005D4A0D"/>
    <w:rsid w:val="005E3B24"/>
    <w:rsid w:val="005F288D"/>
    <w:rsid w:val="005F585B"/>
    <w:rsid w:val="00605F23"/>
    <w:rsid w:val="0064090E"/>
    <w:rsid w:val="00690819"/>
    <w:rsid w:val="006A1F49"/>
    <w:rsid w:val="006B0332"/>
    <w:rsid w:val="006C417D"/>
    <w:rsid w:val="006D0AA7"/>
    <w:rsid w:val="006E68C5"/>
    <w:rsid w:val="006F66F0"/>
    <w:rsid w:val="00717790"/>
    <w:rsid w:val="007417A6"/>
    <w:rsid w:val="0076237D"/>
    <w:rsid w:val="007B6065"/>
    <w:rsid w:val="007D10F5"/>
    <w:rsid w:val="007D4A46"/>
    <w:rsid w:val="007E3B15"/>
    <w:rsid w:val="007E6826"/>
    <w:rsid w:val="007F1B4F"/>
    <w:rsid w:val="008111D1"/>
    <w:rsid w:val="00821C07"/>
    <w:rsid w:val="00830561"/>
    <w:rsid w:val="00837BC8"/>
    <w:rsid w:val="00841E83"/>
    <w:rsid w:val="00844379"/>
    <w:rsid w:val="00851BDA"/>
    <w:rsid w:val="00864033"/>
    <w:rsid w:val="00864801"/>
    <w:rsid w:val="00865AD7"/>
    <w:rsid w:val="00876DAE"/>
    <w:rsid w:val="008836AD"/>
    <w:rsid w:val="008B7D42"/>
    <w:rsid w:val="008C3132"/>
    <w:rsid w:val="008D14A0"/>
    <w:rsid w:val="008E46F8"/>
    <w:rsid w:val="008E5293"/>
    <w:rsid w:val="00906DC5"/>
    <w:rsid w:val="00922B15"/>
    <w:rsid w:val="0094430E"/>
    <w:rsid w:val="009672D4"/>
    <w:rsid w:val="00972F5A"/>
    <w:rsid w:val="00974268"/>
    <w:rsid w:val="0097757E"/>
    <w:rsid w:val="00980B67"/>
    <w:rsid w:val="00984C93"/>
    <w:rsid w:val="009A197A"/>
    <w:rsid w:val="009A721E"/>
    <w:rsid w:val="009C6B8E"/>
    <w:rsid w:val="009D664B"/>
    <w:rsid w:val="009F0676"/>
    <w:rsid w:val="009F2343"/>
    <w:rsid w:val="00A211A4"/>
    <w:rsid w:val="00A65D22"/>
    <w:rsid w:val="00A9333C"/>
    <w:rsid w:val="00AA2D93"/>
    <w:rsid w:val="00AB0348"/>
    <w:rsid w:val="00AB3C90"/>
    <w:rsid w:val="00AC567F"/>
    <w:rsid w:val="00AD58FF"/>
    <w:rsid w:val="00B04632"/>
    <w:rsid w:val="00B33C30"/>
    <w:rsid w:val="00B41201"/>
    <w:rsid w:val="00B52B7A"/>
    <w:rsid w:val="00B56737"/>
    <w:rsid w:val="00B62E0B"/>
    <w:rsid w:val="00BB0F68"/>
    <w:rsid w:val="00BC41BD"/>
    <w:rsid w:val="00BE476B"/>
    <w:rsid w:val="00BF5620"/>
    <w:rsid w:val="00C13A5B"/>
    <w:rsid w:val="00C20C40"/>
    <w:rsid w:val="00C24302"/>
    <w:rsid w:val="00C312DE"/>
    <w:rsid w:val="00C4009B"/>
    <w:rsid w:val="00C415ED"/>
    <w:rsid w:val="00C551F2"/>
    <w:rsid w:val="00C610E0"/>
    <w:rsid w:val="00C7694F"/>
    <w:rsid w:val="00C8438A"/>
    <w:rsid w:val="00C97CA5"/>
    <w:rsid w:val="00CB1DD0"/>
    <w:rsid w:val="00CC49F0"/>
    <w:rsid w:val="00CD5DBF"/>
    <w:rsid w:val="00CE0694"/>
    <w:rsid w:val="00CE0916"/>
    <w:rsid w:val="00CE212D"/>
    <w:rsid w:val="00CF6903"/>
    <w:rsid w:val="00CF742C"/>
    <w:rsid w:val="00D04E64"/>
    <w:rsid w:val="00D06FB8"/>
    <w:rsid w:val="00D24A90"/>
    <w:rsid w:val="00D41699"/>
    <w:rsid w:val="00D52722"/>
    <w:rsid w:val="00D71380"/>
    <w:rsid w:val="00D91EF7"/>
    <w:rsid w:val="00DD014E"/>
    <w:rsid w:val="00DE3D12"/>
    <w:rsid w:val="00E01542"/>
    <w:rsid w:val="00E1053A"/>
    <w:rsid w:val="00E6104E"/>
    <w:rsid w:val="00E92669"/>
    <w:rsid w:val="00E974F9"/>
    <w:rsid w:val="00EC50D5"/>
    <w:rsid w:val="00ED716A"/>
    <w:rsid w:val="00EF436E"/>
    <w:rsid w:val="00F15AE6"/>
    <w:rsid w:val="00F17FDA"/>
    <w:rsid w:val="00F23635"/>
    <w:rsid w:val="00F33B69"/>
    <w:rsid w:val="00F52419"/>
    <w:rsid w:val="00F57BB5"/>
    <w:rsid w:val="00F60516"/>
    <w:rsid w:val="00F64B3C"/>
    <w:rsid w:val="00F87CED"/>
    <w:rsid w:val="00F95DAB"/>
    <w:rsid w:val="00FA5F9B"/>
    <w:rsid w:val="00FC2647"/>
    <w:rsid w:val="00FC3824"/>
    <w:rsid w:val="00FC4704"/>
    <w:rsid w:val="00FC6F09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B03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195</cp:revision>
  <dcterms:created xsi:type="dcterms:W3CDTF">2023-05-10T20:07:00Z</dcterms:created>
  <dcterms:modified xsi:type="dcterms:W3CDTF">2023-05-29T23:09:00Z</dcterms:modified>
</cp:coreProperties>
</file>