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YOLOv8s FP8 量化推理性能分析报告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FP16 vs FP8 · TensorRT 10.13 / 11.3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测试基础:Standard_NC24lds_xl_RTXPRO6000BSE_v6 · YOLOv8s 640×640 · NVIDIA ModelOpt PTQ · COCO val2017 · 2026-10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TensorRT 11.3(最新)下,FP8 相比 FP16 GPU 吞吐提升 55%(batch 8)/ 50%(batch 32),mAP50-95 仅降 0.41 pt。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同一 FP8 模型在 TensorRT 10.13 上仅提升 38% / 24%:TensorRT 版本是 FP8 能否超过 50% 的首要因素。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batch 1 时两个版本均只提升 25%:小模型单张推理受 kernel 启动与访存限制,低精度收益有限。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在线服务中 GPU 推理仅占请求延迟约 11%,FP8 的 GPU 收益被数据传输稀释,端到端几乎无提升。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客户反馈的“FP8 提升不足 50%”与本测试一致,主要受 TensorRT 版本、batch 大小、端到端 I/O 三方面影响。</w:t>
      </w: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Azure VM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Standard_NC24lds_xl_RTXPRO6000BSE_v6(24 vCPU / 72 GiB)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Blackwell 1/4 MIG 切片 · 24 GB · 驱动 595.58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推理栈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25.08(TensorRT 10.13.2)/ Triton 26.09(TensorRT 11.3.0,当前最新)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YOLOv8s 官方权重 · ONNX opset 17 · 640×640 · 动态 batch 1–32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量化工具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ModelOpt 0.47.0(ONNX PTQ,显式 Q/DQ)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数据集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COCO val2017:500 张校准 + 4500 张评测(不重叠)</w:t>
            </w:r>
          </w:p>
        </w:tc>
      </w:tr>
    </w:tbl>
    <w:p>
      <w:pPr>
        <w:pStyle w:val="Heading1"/>
      </w:pPr>
      <w:r>
        <w:t>二、测试方法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量化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E4M3 · max 校准 · 量化 Conv / Add,其余算子 FP16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基线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10:FP32 ONNX + --fp16;TRT 11:AutoCast FP16 ONNX(TRT 11 已移除弱类型)。两版本 FP16 吞吐一致(batch 8:1275 / 1293 img/s)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引擎构建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· 动态 batch(min 1 / opt 8 / max 32)· 同版本构建与运行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性能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GPU 纯计算吞吐(CUDA Graph)· batch 1 / 8 / 32 · 每点 15 s。含 PCIe 传输与纯计算相差约 3%,不单列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加载实际引擎 · 4500 张 · mAP50-95(conf 0.001 / IoU 0.7)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耗时归因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逐层 profile(batch 8)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+ perf_analyzer 逐请求延迟分解(并发 8,p99 30 ms)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INT8 对照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同流程(entropy 校准),用于区分“模型吃不到低精度”与“FP8 路径效率”</w:t>
            </w:r>
          </w:p>
        </w:tc>
      </w:tr>
    </w:tbl>
    <w:p>
      <w:pPr>
        <w:pStyle w:val="Heading1"/>
      </w:pPr>
      <w:r>
        <w:t>三、测试结果</w:t>
      </w:r>
    </w:p>
    <w:p>
      <w:pPr>
        <w:pStyle w:val="Heading2"/>
      </w:pPr>
      <w:r>
        <w:t>3.1 FP8 vs FP16(GPU 纯计算吞吐 img/s,括号内为相对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mAP50-95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FP16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858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1,275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1,208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0.4515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FP8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1,071(1.25×)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1,757(1.38×)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1,498(1.24×)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0.4468(−0.47)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11.3 · FP16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1,293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1,128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0.4513</w:t>
            </w:r>
          </w:p>
        </w:tc>
      </w:tr>
      <w:tr>
        <w:tc>
          <w:tcPr>
            <w:tcW w:type="dxa" w:w="230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TRT 11.3 · FP8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1,092(1.25×)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2,002(1.55×)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1,690(1.50×)</w:t>
            </w:r>
          </w:p>
        </w:tc>
        <w:tc>
          <w:tcPr>
            <w:tcW w:type="dxa" w:w="216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0.4472(−0.41)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同一份 FP8 模型,仅升级 TensorRT,batch 8 吞吐 +14%(1,757 → 2,002 img/s)。</w:t>
      </w:r>
    </w:p>
    <w:p>
      <w:pPr>
        <w:pStyle w:val="Heading2"/>
      </w:pPr>
      <w:r>
        <w:t>3.2 FP8 优化变体(TensorRT 11.3)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6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变体</w:t>
            </w:r>
          </w:p>
        </w:tc>
        <w:tc>
          <w:tcPr>
            <w:tcW w:type="dxa" w:w="266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100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mAP50-95</w:t>
            </w:r>
          </w:p>
        </w:tc>
        <w:tc>
          <w:tcPr>
            <w:tcW w:type="dxa" w:w="25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FP8(基准)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默认 PTQ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1.55×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0.4472(−0.41)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仅量化 Conv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残差 Add 不量化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1.56×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0.4474(−0.39)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与基准相同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优化等级 5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builderOptimizationLevel 3→5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1.55×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0.4472(−0.41)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无收益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检测头 FP16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model.22 不量化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1.40×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0.4491(−0.22)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精度损失减半,速度约 −9%</w:t>
            </w:r>
          </w:p>
        </w:tc>
      </w:tr>
    </w:tbl>
    <w:p>
      <w:pPr>
        <w:pStyle w:val="Heading2"/>
      </w:pPr>
      <w:r>
        <w:t>3.3 GPU 耗时构成(batch 8,ms)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44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 · 10.13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· 10.13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 · 11.3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· 11.3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卷积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4.68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3.13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4.29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2.66</w:t>
            </w:r>
          </w:p>
        </w:tc>
      </w:tr>
      <w:tr>
        <w:tc>
          <w:tcPr>
            <w:tcW w:type="dxa" w:w="2448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SiLU 激活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0.64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2.11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1.46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1.16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格式转换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1.12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0.04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Concat / Slice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0.11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类型转换(Cast)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检测头解码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6.68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6.17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6.48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4.35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卷积提速:10.13 为 1.50×,11.3 为 1.61×;10.13 中 SiLU 未与 FP8 卷积融合,开销反超 FP16。逐层 profile 含插桩开销,仅作相对比较。</w:t>
      </w:r>
    </w:p>
    <w:p>
      <w:pPr>
        <w:pStyle w:val="Heading2"/>
      </w:pPr>
      <w:r>
        <w:t>3.4 端到端延迟构成(Triton,并发 8,TRT 10.13,ms)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4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占比(FP16)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网络与服务端收发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8.86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8.87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52%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服务端输入 / 输出拷贝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3.13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3.51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排队(动态批处理)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2.40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2.27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14%</w:t>
            </w:r>
          </w:p>
        </w:tc>
      </w:tr>
      <w:tr>
        <w:tc>
          <w:tcPr>
            <w:tcW w:type="dxa" w:w="3456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GPU 推理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1.80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1.26</w:t>
            </w:r>
          </w:p>
        </w:tc>
        <w:tc>
          <w:tcPr>
            <w:tcW w:type="dxa" w:w="216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11%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客户端发送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16.97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16.68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使 GPU 推理 −30%,请求总延迟仅 −1.7%。数据搬运相关环节约占 75%。</w:t>
      </w:r>
    </w:p>
    <w:p>
      <w:pPr>
        <w:pStyle w:val="Heading1"/>
      </w:pPr>
      <w:r>
        <w:t>四、原因分析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因素</w:t>
            </w:r>
          </w:p>
        </w:tc>
        <w:tc>
          <w:tcPr>
            <w:tcW w:type="dxa" w:w="51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证据</w:t>
            </w:r>
          </w:p>
        </w:tc>
        <w:tc>
          <w:tcPr>
            <w:tcW w:type="dxa" w:w="259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TensorRT 版本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同一 FP8 模型 batch 8:10.13 为 1.38×,11.3 为 1.55×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首要因素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大小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1 两版本均 1.25×;batch 8 / 32 达 1.50× 以上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低并发在线场景收益小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SiLU 未融合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11.3 FP8 中 SiLU 为独立 kernel,占 GPU 时间 27%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 侧剩余优化空间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 I/O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 推理仅占请求延迟 11%,数据搬运约 75%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端到端收益被稀释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模型本身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同卡 INT8(TRT 10.13)达 1.87×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排除“小模型吃不到低精度”</w:t>
            </w:r>
          </w:p>
        </w:tc>
      </w:tr>
    </w:tbl>
    <w:p>
      <w:pPr>
        <w:pStyle w:val="Heading1"/>
      </w:pPr>
      <w:r>
        <w:t>五、建议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9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475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依据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使用 TensorRT 11.3 及以上构建 FP8 引擎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 加速 1.38× → 1.55×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在线服务开启动态批处理,目标 batch ≥ 8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1 仅 1.25×,batch 8 达 1.55×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精度敏感场景检测头保留 FP16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mAP 损失 0.41 → 0.22 pt,速度约 −9%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优化端到端 I/O:FP16 / uint8 输入、NMS 融入引擎、GPU 预处理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数据搬运约占请求延迟 75%,是端到端提升的主要空间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跟进 TensorRT 后续版本的 FP8 Conv + SiLU 融合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SiLU 占 FP8 GPU 时间 27%</w:t>
            </w:r>
          </w:p>
        </w:tc>
      </w:tr>
    </w:tbl>
    <w:p>
      <w:pPr>
        <w:pStyle w:val="Heading1"/>
      </w:pPr>
      <w:r>
        <w:t>六、说明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测试硬件为 Blackwell;客户 L4 为 Ada 架构,FP8 kernel 不同,绝对加速比不可直接套用,TensorRT 版本、batch、I/O 三项影响因素同样需要考虑。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吞吐以 trtexec 整体计时为准;逐层 profile 仅用于耗时构成的相对比较。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mAP 采用固定 640×640 letterbox,绝对值略低于 Ultralytics 官方(rect 批推理),各精度同口径可比。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端到端吞吐受压测工具计时粒度限制,不作为结论;端到端部分仅采用逐请求延迟分解。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