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Microsoft YaHei"/>
          <w:b/>
          <w:color w:val="1257A0"/>
          <w:sz w:val="40"/>
        </w:rPr>
        <w:t>YOLOv8s FP8 量化推理性能分析报告</w:t>
      </w:r>
    </w:p>
    <w:p>
      <w:pPr>
        <w:spacing w:after="40"/>
        <w:jc w:val="left"/>
      </w:pPr>
      <w:r>
        <w:rPr>
          <w:rFonts w:ascii="Calibri" w:hAnsi="Calibri" w:eastAsia="Microsoft YaHei"/>
          <w:b w:val="0"/>
          <w:i w:val="0"/>
          <w:color w:val="606A76"/>
          <w:sz w:val="22"/>
        </w:rPr>
        <w:t>RTX PRO 6000 Blackwell(1/4 切片) · FP16 vs FP8 · TensorRT 10.13 / 11.3</w:t>
      </w:r>
    </w:p>
    <w:p>
      <w:pPr>
        <w:spacing w:after="20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测试基础:Standard_NC24lds_xl_RTXPRO6000BSE_v6 · YOLOv8s 640×640 · NVIDIA ModelOpt PTQ · COCO val2017 · 2026-10</w:t>
      </w:r>
    </w:p>
    <w:p>
      <w:pPr>
        <w:pStyle w:val="Heading1"/>
      </w:pPr>
      <w:r>
        <w:t>结论摘要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TensorRT 11.3(最新)下,FP8 相比 FP16 GPU 吞吐提升 55%(batch 8)/ 50%(batch 32),mAP50-95 仅降 0.41 pt。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同一 FP8 模型在 TensorRT 10.13 上仅提升 38% / 24%:TensorRT 版本是 FP8 能否超过 50% 的首要因素。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batch 1 时两个版本均只提升 25%:小模型单张推理受 kernel 启动与访存限制,低精度收益有限。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在线服务中 GPU 推理仅占请求延迟约 11%,FP8 的 GPU 收益被数据传输稀释,端到端几乎无提升。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21"/>
        </w:rPr>
        <w:t>客户反馈的“FP8 提升不足 50%”与本测试一致,主要受 TensorRT 版本、batch 大小、端到端 I/O 三方面影响。</w:t>
      </w:r>
    </w:p>
    <w:p>
      <w:pPr>
        <w:pStyle w:val="Heading1"/>
      </w:pPr>
      <w:r>
        <w:t>一、测试环境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7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配置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Azure VM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Standard_NC24lds_xl_RTXPRO6000BSE_v6(24 vCPU / 72 GiB)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GPU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RTX PRO 6000 Blackwell 1/4 MIG 切片 · 24 GB · 驱动 595.58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推理栈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Triton 25.08(TensorRT 10.13.2)/ Triton 26.09(TensorRT 11.3.0,当前最新)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YOLOv8s 官方权重 · ONNX opset 17 · 640×640 · 动态 batch 1–32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量化工具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NVIDIA ModelOpt 0.47.0(ONNX PTQ,显式 Q/DQ)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数据集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COCO val2017:500 张校准 + 4500 张评测(不重叠)</w:t>
            </w:r>
          </w:p>
        </w:tc>
      </w:tr>
    </w:tbl>
    <w:p>
      <w:pPr>
        <w:pStyle w:val="Heading1"/>
      </w:pPr>
      <w:r>
        <w:t>二、测试方法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7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777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方法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FP8 量化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E4M3 · max 校准 · 量化 Conv / Add,其余算子 FP16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FP16 基线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 10:FP32 ONNX + --fp16;TRT 11:AutoCast FP16 ONNX(TRT 11 已移除弱类型)。两版本 FP16 吞吐一致(batch 8:1275 / 1293 img/s)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引擎构建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trtexec · 动态 batch(min 1 / opt 8 / max 32)· 同版本构建与运行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trtexec GPU 纯计算吞吐(CUDA Graph)· batch 1 / 8 / 32 · 每点 15 s。含 PCIe 传输与纯计算相差约 3%,不单列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精度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Triton 加载实际引擎 · 4500 张 · mAP50-95(conf 0.001 / IoU 0.7)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耗时归因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trtexec 逐层 profile(batch 8)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端到端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Triton + perf_analyzer 逐请求延迟分解(并发 8,p99 30 ms)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INT8 对照</w:t>
            </w:r>
          </w:p>
        </w:tc>
        <w:tc>
          <w:tcPr>
            <w:tcW w:type="dxa" w:w="77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同流程(entropy 校准),用于区分“模型吃不到低精度”与“FP8 路径效率”</w:t>
            </w:r>
          </w:p>
        </w:tc>
      </w:tr>
    </w:tbl>
    <w:p>
      <w:pPr>
        <w:pStyle w:val="Heading1"/>
      </w:pPr>
      <w:r>
        <w:t>三、测试结果</w:t>
      </w:r>
    </w:p>
    <w:p>
      <w:pPr>
        <w:pStyle w:val="Heading2"/>
      </w:pPr>
      <w:r>
        <w:t>3.1 FP8 vs FP16(GPU 纯计算吞吐 img/s,括号内为相对 FP16)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04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配置</w:t>
            </w:r>
          </w:p>
        </w:tc>
        <w:tc>
          <w:tcPr>
            <w:tcW w:type="dxa" w:w="172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1</w:t>
            </w:r>
          </w:p>
        </w:tc>
        <w:tc>
          <w:tcPr>
            <w:tcW w:type="dxa" w:w="172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8</w:t>
            </w:r>
          </w:p>
        </w:tc>
        <w:tc>
          <w:tcPr>
            <w:tcW w:type="dxa" w:w="172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32</w:t>
            </w:r>
          </w:p>
        </w:tc>
        <w:tc>
          <w:tcPr>
            <w:tcW w:type="dxa" w:w="216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mAP50-95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 10.13 · FP16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858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1,275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1,208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0.4515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 10.13 · FP8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1,071(1.25×)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1,757(1.38×)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1,498(1.24×)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0.4468(−0.47)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TRT 11.3 · FP16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877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1,293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1,128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0.4513</w:t>
            </w:r>
          </w:p>
        </w:tc>
      </w:tr>
      <w:tr>
        <w:tc>
          <w:tcPr>
            <w:tcW w:type="dxa" w:w="2304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TRT 11.3 · FP8</w:t>
            </w:r>
          </w:p>
        </w:tc>
        <w:tc>
          <w:tcPr>
            <w:tcW w:type="dxa" w:w="1728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1,092(1.25×)</w:t>
            </w:r>
          </w:p>
        </w:tc>
        <w:tc>
          <w:tcPr>
            <w:tcW w:type="dxa" w:w="1728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2,002(1.55×)</w:t>
            </w:r>
          </w:p>
        </w:tc>
        <w:tc>
          <w:tcPr>
            <w:tcW w:type="dxa" w:w="1728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1,690(1.50×)</w:t>
            </w:r>
          </w:p>
        </w:tc>
        <w:tc>
          <w:tcPr>
            <w:tcW w:type="dxa" w:w="216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0.4472(−0.41)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同一份 FP8 模型,仅升级 TensorRT,batch 8 吞吐 +14%(1,757 → 2,002 img/s)。</w:t>
      </w:r>
    </w:p>
    <w:p>
      <w:pPr>
        <w:pStyle w:val="Heading2"/>
      </w:pPr>
      <w:r>
        <w:t>3.2 FP8 优化变体(TensorRT 11.3)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656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变体</w:t>
            </w:r>
          </w:p>
        </w:tc>
        <w:tc>
          <w:tcPr>
            <w:tcW w:type="dxa" w:w="2664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改动</w:t>
            </w:r>
          </w:p>
        </w:tc>
        <w:tc>
          <w:tcPr>
            <w:tcW w:type="dxa" w:w="100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batch 8</w:t>
            </w:r>
          </w:p>
        </w:tc>
        <w:tc>
          <w:tcPr>
            <w:tcW w:type="dxa" w:w="180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mAP50-95</w:t>
            </w:r>
          </w:p>
        </w:tc>
        <w:tc>
          <w:tcPr>
            <w:tcW w:type="dxa" w:w="252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FP8(基准)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默认 PTQ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1.55×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0.4472(−0.41)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仅量化 Conv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残差 Add 不量化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1.56×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0.4474(−0.39)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与基准相同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优化等级 5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builderOptimizationLevel 3→5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1.55×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0.4472(−0.41)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无收益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检测头 FP16</w:t>
            </w:r>
          </w:p>
        </w:tc>
        <w:tc>
          <w:tcPr>
            <w:tcW w:type="dxa" w:w="266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model.22 不量化</w:t>
            </w:r>
          </w:p>
        </w:tc>
        <w:tc>
          <w:tcPr>
            <w:tcW w:type="dxa" w:w="100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1.40×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0.4491(−0.22)</w:t>
            </w:r>
          </w:p>
        </w:tc>
        <w:tc>
          <w:tcPr>
            <w:tcW w:type="dxa" w:w="252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精度损失减半,速度约 −9%</w:t>
            </w:r>
          </w:p>
        </w:tc>
      </w:tr>
    </w:tbl>
    <w:p>
      <w:pPr>
        <w:pStyle w:val="Heading2"/>
      </w:pPr>
      <w:r>
        <w:t>3.3 GPU 耗时构成(batch 8,ms)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448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180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FP16 · 10.13</w:t>
            </w:r>
          </w:p>
        </w:tc>
        <w:tc>
          <w:tcPr>
            <w:tcW w:type="dxa" w:w="180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FP8 · 10.13</w:t>
            </w:r>
          </w:p>
        </w:tc>
        <w:tc>
          <w:tcPr>
            <w:tcW w:type="dxa" w:w="180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FP16 · 11.3</w:t>
            </w:r>
          </w:p>
        </w:tc>
        <w:tc>
          <w:tcPr>
            <w:tcW w:type="dxa" w:w="180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FP8 · 11.3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卷积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4.68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3.13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4.29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2.66</w:t>
            </w:r>
          </w:p>
        </w:tc>
      </w:tr>
      <w:tr>
        <w:tc>
          <w:tcPr>
            <w:tcW w:type="dxa" w:w="2448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SiLU 激活</w:t>
            </w:r>
          </w:p>
        </w:tc>
        <w:tc>
          <w:tcPr>
            <w:tcW w:type="dxa" w:w="180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0.64</w:t>
            </w:r>
          </w:p>
        </w:tc>
        <w:tc>
          <w:tcPr>
            <w:tcW w:type="dxa" w:w="180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2.11</w:t>
            </w:r>
          </w:p>
        </w:tc>
        <w:tc>
          <w:tcPr>
            <w:tcW w:type="dxa" w:w="180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1.46</w:t>
            </w:r>
          </w:p>
        </w:tc>
        <w:tc>
          <w:tcPr>
            <w:tcW w:type="dxa" w:w="180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1.16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格式转换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1.12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0.04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0.00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0.00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Concat / Slice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0.11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0.46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0.40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0.15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类型转换(Cast)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0.00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0.26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0.16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0.22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检测头解码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0.13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0.18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0.16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0.16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合计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6.68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6.17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6.48</w:t>
            </w:r>
          </w:p>
        </w:tc>
        <w:tc>
          <w:tcPr>
            <w:tcW w:type="dxa" w:w="180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4.35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FP8 卷积提速:10.13 为 1.50×,11.3 为 1.61×;10.13 中 SiLU 未与 FP8 卷积融合,开销反超 FP16。逐层 profile 含插桩开销,仅作相对比较。</w:t>
      </w:r>
    </w:p>
    <w:p>
      <w:pPr>
        <w:pStyle w:val="Heading2"/>
      </w:pPr>
      <w:r>
        <w:t>3.4 端到端延迟构成(Triton,并发 8,TRT 10.13,ms)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456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72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FP16</w:t>
            </w:r>
          </w:p>
        </w:tc>
        <w:tc>
          <w:tcPr>
            <w:tcW w:type="dxa" w:w="1728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FP8</w:t>
            </w:r>
          </w:p>
        </w:tc>
        <w:tc>
          <w:tcPr>
            <w:tcW w:type="dxa" w:w="216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占比(FP16)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网络与服务端收发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8.86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8.87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52%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服务端输入 / 输出拷贝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3.13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3.51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18%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排队(动态批处理)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2.40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2.27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14%</w:t>
            </w:r>
          </w:p>
        </w:tc>
      </w:tr>
      <w:tr>
        <w:tc>
          <w:tcPr>
            <w:tcW w:type="dxa" w:w="3456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GPU 推理</w:t>
            </w:r>
          </w:p>
        </w:tc>
        <w:tc>
          <w:tcPr>
            <w:tcW w:type="dxa" w:w="1728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1.80</w:t>
            </w:r>
          </w:p>
        </w:tc>
        <w:tc>
          <w:tcPr>
            <w:tcW w:type="dxa" w:w="1728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1.26</w:t>
            </w:r>
          </w:p>
        </w:tc>
        <w:tc>
          <w:tcPr>
            <w:tcW w:type="dxa" w:w="216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11%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客户端发送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0.77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0.77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5%</w:t>
            </w:r>
          </w:p>
        </w:tc>
      </w:tr>
      <w:tr>
        <w:tc>
          <w:tcPr>
            <w:tcW w:type="dxa" w:w="34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合计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16.97</w:t>
            </w:r>
          </w:p>
        </w:tc>
        <w:tc>
          <w:tcPr>
            <w:tcW w:type="dxa" w:w="1728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16.68</w:t>
            </w:r>
          </w:p>
        </w:tc>
        <w:tc>
          <w:tcPr>
            <w:tcW w:type="dxa" w:w="216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100%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FP8 使 GPU 推理 −30%,请求总延迟仅 −1.7%。数据搬运相关环节约占 75%。</w:t>
      </w:r>
    </w:p>
    <w:p>
      <w:pPr>
        <w:pStyle w:val="Heading1"/>
      </w:pPr>
      <w:r>
        <w:t>四、原因分析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5184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证据</w:t>
            </w:r>
          </w:p>
        </w:tc>
        <w:tc>
          <w:tcPr>
            <w:tcW w:type="dxa" w:w="259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影响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TensorRT 版本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同一 FP8 模型 batch 8:10.13 为 1.38×,11.3 为 1.55×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首要因素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batch 大小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batch 1 两版本均 1.25×;batch 8 / 32 达 1.50× 以上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低并发在线场景收益小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SiLU 未融合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11.3 FP8 中 SiLU 为独立 kernel,占 GPU 时间 27%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GPU 侧剩余优化空间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端到端 I/O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GPU 推理仅占请求延迟 11%,数据搬运约 75%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端到端收益被稀释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模型本身</w:t>
            </w:r>
          </w:p>
        </w:tc>
        <w:tc>
          <w:tcPr>
            <w:tcW w:type="dxa" w:w="5184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同卡 INT8(TRT 10.13)达 1.87×</w:t>
            </w:r>
          </w:p>
        </w:tc>
        <w:tc>
          <w:tcPr>
            <w:tcW w:type="dxa" w:w="259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排除“小模型吃不到低精度”</w:t>
            </w:r>
          </w:p>
        </w:tc>
      </w:tr>
    </w:tbl>
    <w:p>
      <w:pPr>
        <w:pStyle w:val="Heading1"/>
      </w:pPr>
      <w:r>
        <w:t>五、建议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96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建议</w:t>
            </w:r>
          </w:p>
        </w:tc>
        <w:tc>
          <w:tcPr>
            <w:tcW w:type="dxa" w:w="4752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 TensorRT 11.3 及以上构建 FP8 引擎</w:t>
            </w:r>
          </w:p>
        </w:tc>
        <w:tc>
          <w:tcPr>
            <w:tcW w:type="dxa" w:w="475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batch 8 加速 1.38× → 1.55×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在线服务开启动态批处理,目标 batch ≥ 8</w:t>
            </w:r>
          </w:p>
        </w:tc>
        <w:tc>
          <w:tcPr>
            <w:tcW w:type="dxa" w:w="475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batch 1 仅 1.25×,batch 8 达 1.55×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精度敏感场景检测头保留 FP16</w:t>
            </w:r>
          </w:p>
        </w:tc>
        <w:tc>
          <w:tcPr>
            <w:tcW w:type="dxa" w:w="475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mAP 损失 0.41 → 0.22 pt,速度约 −9%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优化端到端 I/O:FP16 / uint8 输入、NMS 融入引擎、GPU 预处理</w:t>
            </w:r>
          </w:p>
        </w:tc>
        <w:tc>
          <w:tcPr>
            <w:tcW w:type="dxa" w:w="475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数据搬运约占请求延迟 75%,是端到端提升的主要空间(详见第六节)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跟进 TensorRT 后续版本的 FP8 Conv + SiLU 融合</w:t>
            </w:r>
          </w:p>
        </w:tc>
        <w:tc>
          <w:tcPr>
            <w:tcW w:type="dxa" w:w="4752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SiLU 占 FP8 GPU 时间 27%</w:t>
            </w:r>
          </w:p>
        </w:tc>
      </w:tr>
    </w:tbl>
    <w:p>
      <w:pPr>
        <w:pStyle w:val="Heading1"/>
      </w:pPr>
      <w:r>
        <w:t>六、端到端 I/O 优化方向</w:t>
      </w:r>
    </w:p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现状指本测试口径:Ultralytics 默认导出的模型输入为 FP32 归一化张量,客户端需先 /255 转 float32 再发送;每次请求传输输入 4.7 MB + 原始输出 2.7 MB,I/O 相关环节约 12.8 ms,占请求延迟 75%(见 3.4)。以下为优化方案与数据量估算,延迟收益需实测确认。</w:t>
      </w:r>
    </w:p>
    <w:p>
      <w:pPr>
        <w:pStyle w:val="Heading2"/>
      </w:pPr>
      <w:r>
        <w:t>6.1 优化方案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656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453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376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作用环节</w:t>
            </w:r>
          </w:p>
        </w:tc>
        <w:tc>
          <w:tcPr>
            <w:tcW w:type="dxa" w:w="108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改动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uint8 输入</w:t>
            </w:r>
          </w:p>
        </w:tc>
        <w:tc>
          <w:tcPr>
            <w:tcW w:type="dxa" w:w="45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模型前端加入 uint8→FP32 转换与 /255(重新导出 ONNX,随引擎在 GPU 执行);Triton 输入改为 UINT8;客户端直接发送 letterbox 后的 uint8 图像</w:t>
            </w:r>
          </w:p>
        </w:tc>
        <w:tc>
          <w:tcPr>
            <w:tcW w:type="dxa" w:w="23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网络收发、输入拷贝、客户端发送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低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NMS 融入引擎</w:t>
            </w:r>
          </w:p>
        </w:tc>
        <w:tc>
          <w:tcPr>
            <w:tcW w:type="dxa" w:w="45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导出时加入 TensorRT EfficientNMS,引擎直接输出 ≤ 300 个检测框</w:t>
            </w:r>
          </w:p>
        </w:tc>
        <w:tc>
          <w:tcPr>
            <w:tcW w:type="dxa" w:w="23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输出拷贝、网络收发、客户端 NMS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低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JPEG + GPU 解码</w:t>
            </w:r>
          </w:p>
        </w:tc>
        <w:tc>
          <w:tcPr>
            <w:tcW w:type="dxa" w:w="45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客户端发送 JPEG;Triton DALI 后端在 GPU 上解码、缩放、letterbox</w:t>
            </w:r>
          </w:p>
        </w:tc>
        <w:tc>
          <w:tcPr>
            <w:tcW w:type="dxa" w:w="23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网络收发、客户端预处理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共享内存</w:t>
            </w:r>
          </w:p>
        </w:tc>
        <w:tc>
          <w:tcPr>
            <w:tcW w:type="dxa" w:w="45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客户端与 Triton 同机时,用 CUDA / 系统共享内存传张量,免去 gRPC 序列化</w:t>
            </w:r>
          </w:p>
        </w:tc>
        <w:tc>
          <w:tcPr>
            <w:tcW w:type="dxa" w:w="23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网络收发、序列化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低(仅同机)</w:t>
            </w:r>
          </w:p>
        </w:tc>
      </w:tr>
      <w:tr>
        <w:tc>
          <w:tcPr>
            <w:tcW w:type="dxa" w:w="1656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多实例</w:t>
            </w:r>
          </w:p>
        </w:tc>
        <w:tc>
          <w:tcPr>
            <w:tcW w:type="dxa" w:w="453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instance_group 设 2 个实例,使数据拷贝与 GPU 计算重叠</w:t>
            </w:r>
          </w:p>
        </w:tc>
        <w:tc>
          <w:tcPr>
            <w:tcW w:type="dxa" w:w="2376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排队、输入 / 输出拷贝</w:t>
            </w:r>
          </w:p>
        </w:tc>
        <w:tc>
          <w:tcPr>
            <w:tcW w:type="dxa" w:w="108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低</w:t>
            </w:r>
          </w:p>
        </w:tc>
      </w:tr>
    </w:tbl>
    <w:p>
      <w:pPr>
        <w:pStyle w:val="Heading2"/>
      </w:pPr>
      <w:r>
        <w:t>6.2 单次请求数据量(640×640)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3312"/>
            <w:shd w:val="clear" w:fill="1257A0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组合</w:t>
            </w:r>
          </w:p>
        </w:tc>
        <w:tc>
          <w:tcPr>
            <w:tcW w:type="dxa" w:w="144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144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144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合计</w:t>
            </w:r>
          </w:p>
        </w:tc>
        <w:tc>
          <w:tcPr>
            <w:tcW w:type="dxa" w:w="1440"/>
            <w:shd w:val="clear" w:fill="1257A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相对现状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现状:FP32 输入 + 原始输出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4.7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2.7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7.4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uint8 输入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1.2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2.7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3.9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−47%</w:t>
            </w:r>
          </w:p>
        </w:tc>
      </w:tr>
      <w:tr>
        <w:tc>
          <w:tcPr>
            <w:tcW w:type="dxa" w:w="3312"/>
            <w:shd w:val="clear" w:fill="E7F0FA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/>
                <w:sz w:val="19"/>
              </w:rPr>
              <w:t>uint8 输入 + NMS 融入引擎</w:t>
            </w:r>
          </w:p>
        </w:tc>
        <w:tc>
          <w:tcPr>
            <w:tcW w:type="dxa" w:w="144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1.2 MB</w:t>
            </w:r>
          </w:p>
        </w:tc>
        <w:tc>
          <w:tcPr>
            <w:tcW w:type="dxa" w:w="144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&lt; 0.01 MB</w:t>
            </w:r>
          </w:p>
        </w:tc>
        <w:tc>
          <w:tcPr>
            <w:tcW w:type="dxa" w:w="144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1.2 MB</w:t>
            </w:r>
          </w:p>
        </w:tc>
        <w:tc>
          <w:tcPr>
            <w:tcW w:type="dxa" w:w="1440"/>
            <w:shd w:val="clear" w:fill="E7F0FA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/>
                <w:sz w:val="19"/>
              </w:rPr>
              <w:t>−84%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JPEG + NMS 融入引擎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约 0.1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&lt; 0.01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约 0.1 MB</w:t>
            </w:r>
          </w:p>
        </w:tc>
        <w:tc>
          <w:tcPr>
            <w:tcW w:type="dxa" w:w="1440"/>
          </w:tcPr>
          <w:p>
            <w:pPr>
              <w:spacing w:after="20" w:before="20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约 −98%</w:t>
            </w:r>
          </w:p>
        </w:tc>
      </w:tr>
    </w:tbl>
    <w:p>
      <w:pPr>
        <w:spacing w:after="120"/>
        <w:jc w:val="left"/>
      </w:pPr>
      <w:r>
        <w:rPr>
          <w:rFonts w:ascii="Calibri" w:hAnsi="Calibri" w:eastAsia="Microsoft YaHei"/>
          <w:b w:val="0"/>
          <w:i w:val="0"/>
          <w:color w:val="606A76"/>
          <w:sz w:val="18"/>
        </w:rPr>
        <w:t>建议先做 uint8 输入 + NMS 融入引擎:改动小,数据量 −84%。I/O 降下来后,FP8 的 GPU 收益才能在端到端体现。若线上已发送 uint8(由 Triton 前置预处理模型转换为 FP32),网络传输已优化,剩余收益在于将该转换移入 TensorRT 引擎在 GPU 执行。改为 uint8 输入后,FP8 量化的校准数据须同步改为 0–255 的 uint8,否则量化 scale 偏差 255 倍,精度失效。JPEG 大小随图像内容与压缩质量变化。</w:t>
      </w:r>
    </w:p>
    <w:p>
      <w:pPr>
        <w:pStyle w:val="Heading1"/>
      </w:pPr>
      <w:r>
        <w:t>七、说明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测试硬件为 Blackwell;客户 L4 为 Ada 架构,FP8 kernel 不同,绝对加速比不可直接套用,TensorRT 版本、batch、I/O 三项影响因素同样需要考虑。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吞吐以 trtexec 整体计时为准;逐层 profile 仅用于耗时构成的相对比较。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mAP 采用固定 640×640 letterbox,绝对值略低于 Ultralytics 官方(rect 批推理),各精度同口径可比。</w:t>
      </w:r>
    </w:p>
    <w:p>
      <w:pPr>
        <w:pStyle w:val="ListBullet"/>
        <w:spacing w:after="60"/>
      </w:pPr>
      <w:r>
        <w:rPr>
          <w:rFonts w:ascii="Calibri" w:hAnsi="Calibri" w:eastAsia="Microsoft YaHei"/>
          <w:sz w:val="19"/>
        </w:rPr>
        <w:t>端到端吞吐受压测工具计时粒度限制,不作为结论;端到端部分仅采用逐请求延迟分解。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257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1212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