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 w:eastAsia="Microsoft YaHei"/>
          <w:b/>
          <w:color w:val="1257A0"/>
          <w:sz w:val="40"/>
        </w:rPr>
        <w:t>YOLOv8s FP8 量化推理性能分析报告</w:t>
      </w:r>
    </w:p>
    <w:p>
      <w:pPr>
        <w:spacing w:after="40"/>
        <w:jc w:val="left"/>
      </w:pPr>
      <w:r>
        <w:rPr>
          <w:rFonts w:ascii="Calibri" w:hAnsi="Calibri" w:eastAsia="Microsoft YaHei"/>
          <w:b w:val="0"/>
          <w:i w:val="0"/>
          <w:color w:val="606A76"/>
          <w:sz w:val="22"/>
        </w:rPr>
        <w:t>RTX PRO 6000 Blackwell(1/4 切片) · FP16 vs FP8 · TensorRT 10.13 / 11.3</w:t>
      </w:r>
    </w:p>
    <w:p>
      <w:pPr>
        <w:spacing w:after="200"/>
        <w:jc w:val="left"/>
      </w:pPr>
      <w:r>
        <w:rPr>
          <w:rFonts w:ascii="Calibri" w:hAnsi="Calibri" w:eastAsia="Microsoft YaHei"/>
          <w:b w:val="0"/>
          <w:i w:val="0"/>
          <w:color w:val="606A76"/>
          <w:sz w:val="18"/>
        </w:rPr>
        <w:t>测试基础:Standard_NC24lds_xl_RTXPRO6000BSE_v6 · YOLOv8s 640×640 · NVIDIA ModelOpt PTQ · COCO val2017 · 2026-10</w:t>
      </w:r>
    </w:p>
    <w:p>
      <w:pPr>
        <w:pStyle w:val="Heading1"/>
      </w:pPr>
      <w:r>
        <w:t>结论摘要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21"/>
        </w:rPr>
        <w:t>TensorRT 11.3(最新)下,FP8 相比 FP16 GPU 吞吐提升 55%(batch 8)/ 50%(batch 32),mAP50-95 仅降 0.41 pt。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21"/>
        </w:rPr>
        <w:t>同一 FP8 模型在 TensorRT 10.13 上仅提升 38% / 24%:TensorRT 版本是 FP8 能否超过 50% 的首要因素。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21"/>
        </w:rPr>
        <w:t>batch 1 时两个版本均只提升 25%:小模型单张推理受 kernel 启动与访存限制,低精度收益有限。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21"/>
        </w:rPr>
        <w:t>在线服务中 GPU 推理仅占请求延迟约 11%,FP8 的 GPU 收益被数据传输稀释,端到端几乎无提升。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21"/>
        </w:rPr>
        <w:t>客户反馈的“FP8 提升不足 50%”与本测试一致,主要受 TensorRT 版本、batch 大小、端到端 I/O 三方面影响。</w:t>
      </w:r>
    </w:p>
    <w:p>
      <w:pPr>
        <w:pStyle w:val="Heading1"/>
      </w:pPr>
      <w:r>
        <w:t>一、测试环境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872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7776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配置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Azure VM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Standard_NC24lds_xl_RTXPRO6000BSE_v6(24 vCPU / 72 GiB)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GPU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RTX PRO 6000 Blackwell 1/4 MIG 切片 · 24 GB · 驱动 595.58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推理栈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Triton 25.08(TensorRT 10.13.2)/ Triton 26.09(TensorRT 11.3.0,当前最新)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模型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YOLOv8s 官方权重 · ONNX opset 17 · 640×640 · 动态 batch 1–32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量化工具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NVIDIA ModelOpt 0.47.0(ONNX PTQ,显式 Q/DQ)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数据集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COCO val2017:500 张校准 + 4500 张评测(不重叠)</w:t>
            </w:r>
          </w:p>
        </w:tc>
      </w:tr>
    </w:tbl>
    <w:p>
      <w:pPr>
        <w:pStyle w:val="Heading1"/>
      </w:pPr>
      <w:r>
        <w:t>二、测试方法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872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7776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方法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FP8 量化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E4M3 · max 校准 · 量化 Conv / Add,其余算子 FP16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FP16 基线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TRT 10:FP32 ONNX + --fp16;TRT 11:AutoCast FP16 ONNX(TRT 11 已移除弱类型)。两版本 FP16 吞吐一致(batch 8:1275 / 1293 img/s)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引擎构建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trtexec · 动态 batch(min 1 / opt 8 / max 32)· 同版本构建与运行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性能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trtexec GPU 纯计算吞吐(CUDA Graph)· batch 1 / 8 / 32 · 每点 15 s。含 PCIe 传输与纯计算相差约 3%,不单列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精度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Triton 加载实际引擎 · 4500 张 · mAP50-95(conf 0.001 / IoU 0.7)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耗时归因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trtexec 逐层 profile(batch 8)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端到端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Triton + perf_analyzer 逐请求延迟分解(并发 8,p99 30 ms)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INT8 对照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同流程(entropy 校准),用于区分“模型吃不到低精度”与“FP8 路径效率”</w:t>
            </w:r>
          </w:p>
        </w:tc>
      </w:tr>
    </w:tbl>
    <w:p>
      <w:pPr>
        <w:pStyle w:val="Heading1"/>
      </w:pPr>
      <w:r>
        <w:t>三、测试结果</w:t>
      </w:r>
    </w:p>
    <w:p>
      <w:pPr>
        <w:pStyle w:val="Heading2"/>
      </w:pPr>
      <w:r>
        <w:t>3.1 FP8 vs FP16(GPU 纯计算吞吐 img/s,括号内为相对 FP16)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2304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配置</w:t>
            </w:r>
          </w:p>
        </w:tc>
        <w:tc>
          <w:tcPr>
            <w:tcW w:type="dxa" w:w="1728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batch 1</w:t>
            </w:r>
          </w:p>
        </w:tc>
        <w:tc>
          <w:tcPr>
            <w:tcW w:type="dxa" w:w="1728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batch 8</w:t>
            </w:r>
          </w:p>
        </w:tc>
        <w:tc>
          <w:tcPr>
            <w:tcW w:type="dxa" w:w="1728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batch 32</w:t>
            </w:r>
          </w:p>
        </w:tc>
        <w:tc>
          <w:tcPr>
            <w:tcW w:type="dxa" w:w="216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mAP50-95</w:t>
            </w:r>
          </w:p>
        </w:tc>
      </w:tr>
      <w:tr>
        <w:tc>
          <w:tcPr>
            <w:tcW w:type="dxa" w:w="2304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TRT 10.13 · FP16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858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1,275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1,208</w:t>
            </w:r>
          </w:p>
        </w:tc>
        <w:tc>
          <w:tcPr>
            <w:tcW w:type="dxa" w:w="216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0.4515</w:t>
            </w:r>
          </w:p>
        </w:tc>
      </w:tr>
      <w:tr>
        <w:tc>
          <w:tcPr>
            <w:tcW w:type="dxa" w:w="2304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TRT 10.13 · FP8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1,071(1.25×)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1,757(1.38×)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1,498(1.24×)</w:t>
            </w:r>
          </w:p>
        </w:tc>
        <w:tc>
          <w:tcPr>
            <w:tcW w:type="dxa" w:w="216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0.4468(−0.47)</w:t>
            </w:r>
          </w:p>
        </w:tc>
      </w:tr>
      <w:tr>
        <w:tc>
          <w:tcPr>
            <w:tcW w:type="dxa" w:w="2304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TRT 11.3 · FP16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877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1,293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1,128</w:t>
            </w:r>
          </w:p>
        </w:tc>
        <w:tc>
          <w:tcPr>
            <w:tcW w:type="dxa" w:w="216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0.4513</w:t>
            </w:r>
          </w:p>
        </w:tc>
      </w:tr>
      <w:tr>
        <w:tc>
          <w:tcPr>
            <w:tcW w:type="dxa" w:w="2304"/>
            <w:shd w:val="clear" w:fill="E7F0FA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sz w:val="19"/>
              </w:rPr>
              <w:t>TRT 11.3 · FP8</w:t>
            </w:r>
          </w:p>
        </w:tc>
        <w:tc>
          <w:tcPr>
            <w:tcW w:type="dxa" w:w="1728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1,092(1.25×)</w:t>
            </w:r>
          </w:p>
        </w:tc>
        <w:tc>
          <w:tcPr>
            <w:tcW w:type="dxa" w:w="1728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2,002(1.55×)</w:t>
            </w:r>
          </w:p>
        </w:tc>
        <w:tc>
          <w:tcPr>
            <w:tcW w:type="dxa" w:w="1728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1,690(1.50×)</w:t>
            </w:r>
          </w:p>
        </w:tc>
        <w:tc>
          <w:tcPr>
            <w:tcW w:type="dxa" w:w="2160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0.4472(−0.41)</w:t>
            </w:r>
          </w:p>
        </w:tc>
      </w:tr>
    </w:tbl>
    <w:p>
      <w:pPr>
        <w:spacing w:after="120"/>
        <w:jc w:val="left"/>
      </w:pPr>
      <w:r>
        <w:rPr>
          <w:rFonts w:ascii="Calibri" w:hAnsi="Calibri" w:eastAsia="Microsoft YaHei"/>
          <w:b w:val="0"/>
          <w:i w:val="0"/>
          <w:color w:val="606A76"/>
          <w:sz w:val="18"/>
        </w:rPr>
        <w:t>同一份 FP8 模型,仅升级 TensorRT,batch 8 吞吐 +14%(1,757 → 2,002 img/s)。</w:t>
      </w:r>
    </w:p>
    <w:p>
      <w:pPr>
        <w:pStyle w:val="Heading2"/>
      </w:pPr>
      <w:r>
        <w:t>3.2 FP8 优化变体(TensorRT 11.3)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656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变体</w:t>
            </w:r>
          </w:p>
        </w:tc>
        <w:tc>
          <w:tcPr>
            <w:tcW w:type="dxa" w:w="2664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改动</w:t>
            </w:r>
          </w:p>
        </w:tc>
        <w:tc>
          <w:tcPr>
            <w:tcW w:type="dxa" w:w="1008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batch 8</w:t>
            </w:r>
          </w:p>
        </w:tc>
        <w:tc>
          <w:tcPr>
            <w:tcW w:type="dxa" w:w="180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mAP50-95</w:t>
            </w:r>
          </w:p>
        </w:tc>
        <w:tc>
          <w:tcPr>
            <w:tcW w:type="dxa" w:w="252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结论</w:t>
            </w:r>
          </w:p>
        </w:tc>
      </w:tr>
      <w:tr>
        <w:tc>
          <w:tcPr>
            <w:tcW w:type="dxa" w:w="165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FP8(基准)</w:t>
            </w:r>
          </w:p>
        </w:tc>
        <w:tc>
          <w:tcPr>
            <w:tcW w:type="dxa" w:w="2664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默认 PTQ</w:t>
            </w:r>
          </w:p>
        </w:tc>
        <w:tc>
          <w:tcPr>
            <w:tcW w:type="dxa" w:w="100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1.55×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0.4472(−0.41)</w:t>
            </w:r>
          </w:p>
        </w:tc>
        <w:tc>
          <w:tcPr>
            <w:tcW w:type="dxa" w:w="252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—</w:t>
            </w:r>
          </w:p>
        </w:tc>
      </w:tr>
      <w:tr>
        <w:tc>
          <w:tcPr>
            <w:tcW w:type="dxa" w:w="165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仅量化 Conv</w:t>
            </w:r>
          </w:p>
        </w:tc>
        <w:tc>
          <w:tcPr>
            <w:tcW w:type="dxa" w:w="2664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残差 Add 不量化</w:t>
            </w:r>
          </w:p>
        </w:tc>
        <w:tc>
          <w:tcPr>
            <w:tcW w:type="dxa" w:w="100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1.56×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0.4474(−0.39)</w:t>
            </w:r>
          </w:p>
        </w:tc>
        <w:tc>
          <w:tcPr>
            <w:tcW w:type="dxa" w:w="252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与基准相同</w:t>
            </w:r>
          </w:p>
        </w:tc>
      </w:tr>
      <w:tr>
        <w:tc>
          <w:tcPr>
            <w:tcW w:type="dxa" w:w="165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优化等级 5</w:t>
            </w:r>
          </w:p>
        </w:tc>
        <w:tc>
          <w:tcPr>
            <w:tcW w:type="dxa" w:w="2664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builderOptimizationLevel 3→5</w:t>
            </w:r>
          </w:p>
        </w:tc>
        <w:tc>
          <w:tcPr>
            <w:tcW w:type="dxa" w:w="100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1.55×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0.4472(−0.41)</w:t>
            </w:r>
          </w:p>
        </w:tc>
        <w:tc>
          <w:tcPr>
            <w:tcW w:type="dxa" w:w="252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无收益</w:t>
            </w:r>
          </w:p>
        </w:tc>
      </w:tr>
      <w:tr>
        <w:tc>
          <w:tcPr>
            <w:tcW w:type="dxa" w:w="165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检测头 FP16</w:t>
            </w:r>
          </w:p>
        </w:tc>
        <w:tc>
          <w:tcPr>
            <w:tcW w:type="dxa" w:w="2664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model.22 不量化</w:t>
            </w:r>
          </w:p>
        </w:tc>
        <w:tc>
          <w:tcPr>
            <w:tcW w:type="dxa" w:w="100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1.40×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0.4491(−0.22)</w:t>
            </w:r>
          </w:p>
        </w:tc>
        <w:tc>
          <w:tcPr>
            <w:tcW w:type="dxa" w:w="252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精度损失减半,速度约 −9%</w:t>
            </w:r>
          </w:p>
        </w:tc>
      </w:tr>
    </w:tbl>
    <w:p>
      <w:pPr>
        <w:pStyle w:val="Heading2"/>
      </w:pPr>
      <w:r>
        <w:t>3.3 GPU 耗时构成(batch 8,ms)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2448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部分</w:t>
            </w:r>
          </w:p>
        </w:tc>
        <w:tc>
          <w:tcPr>
            <w:tcW w:type="dxa" w:w="180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FP16 · 10.13</w:t>
            </w:r>
          </w:p>
        </w:tc>
        <w:tc>
          <w:tcPr>
            <w:tcW w:type="dxa" w:w="180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FP8 · 10.13</w:t>
            </w:r>
          </w:p>
        </w:tc>
        <w:tc>
          <w:tcPr>
            <w:tcW w:type="dxa" w:w="180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FP16 · 11.3</w:t>
            </w:r>
          </w:p>
        </w:tc>
        <w:tc>
          <w:tcPr>
            <w:tcW w:type="dxa" w:w="180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FP8 · 11.3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卷积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4.68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3.13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4.29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2.66</w:t>
            </w:r>
          </w:p>
        </w:tc>
      </w:tr>
      <w:tr>
        <w:tc>
          <w:tcPr>
            <w:tcW w:type="dxa" w:w="2448"/>
            <w:shd w:val="clear" w:fill="E7F0FA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sz w:val="19"/>
              </w:rPr>
              <w:t>SiLU 激活</w:t>
            </w:r>
          </w:p>
        </w:tc>
        <w:tc>
          <w:tcPr>
            <w:tcW w:type="dxa" w:w="1800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0.64</w:t>
            </w:r>
          </w:p>
        </w:tc>
        <w:tc>
          <w:tcPr>
            <w:tcW w:type="dxa" w:w="1800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2.11</w:t>
            </w:r>
          </w:p>
        </w:tc>
        <w:tc>
          <w:tcPr>
            <w:tcW w:type="dxa" w:w="1800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1.46</w:t>
            </w:r>
          </w:p>
        </w:tc>
        <w:tc>
          <w:tcPr>
            <w:tcW w:type="dxa" w:w="1800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1.16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格式转换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1.12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0.04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0.00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0.00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Concat / Slice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0.11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0.46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0.40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0.15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类型转换(Cast)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0.00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0.26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0.16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0.22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检测头解码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0.13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0.18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0.16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0.16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合计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6.68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6.17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6.48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4.35</w:t>
            </w:r>
          </w:p>
        </w:tc>
      </w:tr>
    </w:tbl>
    <w:p>
      <w:pPr>
        <w:spacing w:after="120"/>
        <w:jc w:val="left"/>
      </w:pPr>
      <w:r>
        <w:rPr>
          <w:rFonts w:ascii="Calibri" w:hAnsi="Calibri" w:eastAsia="Microsoft YaHei"/>
          <w:b w:val="0"/>
          <w:i w:val="0"/>
          <w:color w:val="606A76"/>
          <w:sz w:val="18"/>
        </w:rPr>
        <w:t>FP8 卷积提速:10.13 为 1.50×,11.3 为 1.61×;10.13 中 SiLU 未与 FP8 卷积融合,开销反超 FP16。逐层 profile 含插桩开销,仅作相对比较。</w:t>
      </w:r>
    </w:p>
    <w:p>
      <w:pPr>
        <w:pStyle w:val="Heading2"/>
      </w:pPr>
      <w:r>
        <w:t>3.4 端到端延迟构成(Triton,并发 8,TRT 10.13,ms)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3456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1728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FP16</w:t>
            </w:r>
          </w:p>
        </w:tc>
        <w:tc>
          <w:tcPr>
            <w:tcW w:type="dxa" w:w="1728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FP8</w:t>
            </w:r>
          </w:p>
        </w:tc>
        <w:tc>
          <w:tcPr>
            <w:tcW w:type="dxa" w:w="216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占比(FP16)</w:t>
            </w:r>
          </w:p>
        </w:tc>
      </w:tr>
      <w:tr>
        <w:tc>
          <w:tcPr>
            <w:tcW w:type="dxa" w:w="345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网络与服务端收发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8.86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8.87</w:t>
            </w:r>
          </w:p>
        </w:tc>
        <w:tc>
          <w:tcPr>
            <w:tcW w:type="dxa" w:w="216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52%</w:t>
            </w:r>
          </w:p>
        </w:tc>
      </w:tr>
      <w:tr>
        <w:tc>
          <w:tcPr>
            <w:tcW w:type="dxa" w:w="345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服务端输入 / 输出拷贝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3.13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3.51</w:t>
            </w:r>
          </w:p>
        </w:tc>
        <w:tc>
          <w:tcPr>
            <w:tcW w:type="dxa" w:w="216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18%</w:t>
            </w:r>
          </w:p>
        </w:tc>
      </w:tr>
      <w:tr>
        <w:tc>
          <w:tcPr>
            <w:tcW w:type="dxa" w:w="345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排队(动态批处理)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2.40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2.27</w:t>
            </w:r>
          </w:p>
        </w:tc>
        <w:tc>
          <w:tcPr>
            <w:tcW w:type="dxa" w:w="216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14%</w:t>
            </w:r>
          </w:p>
        </w:tc>
      </w:tr>
      <w:tr>
        <w:tc>
          <w:tcPr>
            <w:tcW w:type="dxa" w:w="3456"/>
            <w:shd w:val="clear" w:fill="E7F0FA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sz w:val="19"/>
              </w:rPr>
              <w:t>GPU 推理</w:t>
            </w:r>
          </w:p>
        </w:tc>
        <w:tc>
          <w:tcPr>
            <w:tcW w:type="dxa" w:w="1728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1.80</w:t>
            </w:r>
          </w:p>
        </w:tc>
        <w:tc>
          <w:tcPr>
            <w:tcW w:type="dxa" w:w="1728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1.26</w:t>
            </w:r>
          </w:p>
        </w:tc>
        <w:tc>
          <w:tcPr>
            <w:tcW w:type="dxa" w:w="2160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11%</w:t>
            </w:r>
          </w:p>
        </w:tc>
      </w:tr>
      <w:tr>
        <w:tc>
          <w:tcPr>
            <w:tcW w:type="dxa" w:w="345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客户端发送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0.77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0.77</w:t>
            </w:r>
          </w:p>
        </w:tc>
        <w:tc>
          <w:tcPr>
            <w:tcW w:type="dxa" w:w="216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5%</w:t>
            </w:r>
          </w:p>
        </w:tc>
      </w:tr>
      <w:tr>
        <w:tc>
          <w:tcPr>
            <w:tcW w:type="dxa" w:w="345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合计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16.97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16.68</w:t>
            </w:r>
          </w:p>
        </w:tc>
        <w:tc>
          <w:tcPr>
            <w:tcW w:type="dxa" w:w="216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100%</w:t>
            </w:r>
          </w:p>
        </w:tc>
      </w:tr>
    </w:tbl>
    <w:p>
      <w:pPr>
        <w:spacing w:after="120"/>
        <w:jc w:val="left"/>
      </w:pPr>
      <w:r>
        <w:rPr>
          <w:rFonts w:ascii="Calibri" w:hAnsi="Calibri" w:eastAsia="Microsoft YaHei"/>
          <w:b w:val="0"/>
          <w:i w:val="0"/>
          <w:color w:val="606A76"/>
          <w:sz w:val="18"/>
        </w:rPr>
        <w:t>FP8 使 GPU 推理 −30%,请求总延迟仅 −1.7%。数据搬运相关环节约占 75%。</w:t>
      </w:r>
    </w:p>
    <w:p>
      <w:pPr>
        <w:pStyle w:val="Heading1"/>
      </w:pPr>
      <w:r>
        <w:t>四、原因分析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872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因素</w:t>
            </w:r>
          </w:p>
        </w:tc>
        <w:tc>
          <w:tcPr>
            <w:tcW w:type="dxa" w:w="5184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证据</w:t>
            </w:r>
          </w:p>
        </w:tc>
        <w:tc>
          <w:tcPr>
            <w:tcW w:type="dxa" w:w="2592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影响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TensorRT 版本</w:t>
            </w:r>
          </w:p>
        </w:tc>
        <w:tc>
          <w:tcPr>
            <w:tcW w:type="dxa" w:w="5184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同一 FP8 模型 batch 8:10.13 为 1.38×,11.3 为 1.55×</w:t>
            </w:r>
          </w:p>
        </w:tc>
        <w:tc>
          <w:tcPr>
            <w:tcW w:type="dxa" w:w="259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首要因素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batch 大小</w:t>
            </w:r>
          </w:p>
        </w:tc>
        <w:tc>
          <w:tcPr>
            <w:tcW w:type="dxa" w:w="5184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batch 1 两版本均 1.25×;batch 8 / 32 达 1.50× 以上</w:t>
            </w:r>
          </w:p>
        </w:tc>
        <w:tc>
          <w:tcPr>
            <w:tcW w:type="dxa" w:w="259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低并发在线场景收益小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SiLU 未融合</w:t>
            </w:r>
          </w:p>
        </w:tc>
        <w:tc>
          <w:tcPr>
            <w:tcW w:type="dxa" w:w="5184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11.3 FP8 中 SiLU 为独立 kernel,占 GPU 时间 27%</w:t>
            </w:r>
          </w:p>
        </w:tc>
        <w:tc>
          <w:tcPr>
            <w:tcW w:type="dxa" w:w="259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GPU 侧剩余优化空间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端到端 I/O</w:t>
            </w:r>
          </w:p>
        </w:tc>
        <w:tc>
          <w:tcPr>
            <w:tcW w:type="dxa" w:w="5184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GPU 推理仅占请求延迟 11%,数据搬运约 75%</w:t>
            </w:r>
          </w:p>
        </w:tc>
        <w:tc>
          <w:tcPr>
            <w:tcW w:type="dxa" w:w="259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端到端收益被稀释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模型本身</w:t>
            </w:r>
          </w:p>
        </w:tc>
        <w:tc>
          <w:tcPr>
            <w:tcW w:type="dxa" w:w="5184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同卡 INT8(TRT 10.13)达 1.87×</w:t>
            </w:r>
          </w:p>
        </w:tc>
        <w:tc>
          <w:tcPr>
            <w:tcW w:type="dxa" w:w="259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排除“小模型吃不到低精度”</w:t>
            </w:r>
          </w:p>
        </w:tc>
      </w:tr>
    </w:tbl>
    <w:p>
      <w:pPr>
        <w:pStyle w:val="Heading1"/>
      </w:pPr>
      <w:r>
        <w:t>五、建议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96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建议</w:t>
            </w:r>
          </w:p>
        </w:tc>
        <w:tc>
          <w:tcPr>
            <w:tcW w:type="dxa" w:w="4752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依据</w:t>
            </w:r>
          </w:p>
        </w:tc>
      </w:tr>
      <w:tr>
        <w:tc>
          <w:tcPr>
            <w:tcW w:type="dxa" w:w="489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使用 TensorRT 11.3 及以上构建 FP8 引擎</w:t>
            </w:r>
          </w:p>
        </w:tc>
        <w:tc>
          <w:tcPr>
            <w:tcW w:type="dxa" w:w="475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batch 8 加速 1.38× → 1.55×</w:t>
            </w:r>
          </w:p>
        </w:tc>
      </w:tr>
      <w:tr>
        <w:tc>
          <w:tcPr>
            <w:tcW w:type="dxa" w:w="489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在线服务开启动态批处理,目标 batch ≥ 8</w:t>
            </w:r>
          </w:p>
        </w:tc>
        <w:tc>
          <w:tcPr>
            <w:tcW w:type="dxa" w:w="475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batch 1 仅 1.25×,batch 8 达 1.55×</w:t>
            </w:r>
          </w:p>
        </w:tc>
      </w:tr>
      <w:tr>
        <w:tc>
          <w:tcPr>
            <w:tcW w:type="dxa" w:w="489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精度敏感场景检测头保留 FP16</w:t>
            </w:r>
          </w:p>
        </w:tc>
        <w:tc>
          <w:tcPr>
            <w:tcW w:type="dxa" w:w="475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mAP 损失 0.41 → 0.22 pt,速度约 −9%</w:t>
            </w:r>
          </w:p>
        </w:tc>
      </w:tr>
      <w:tr>
        <w:tc>
          <w:tcPr>
            <w:tcW w:type="dxa" w:w="489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优化端到端 I/O:FP16 / uint8 输入、NMS 融入引擎、GPU 预处理</w:t>
            </w:r>
          </w:p>
        </w:tc>
        <w:tc>
          <w:tcPr>
            <w:tcW w:type="dxa" w:w="475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数据搬运约占请求延迟 75%,是端到端提升的主要空间(详见第六节)</w:t>
            </w:r>
          </w:p>
        </w:tc>
      </w:tr>
      <w:tr>
        <w:tc>
          <w:tcPr>
            <w:tcW w:type="dxa" w:w="489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跟进 TensorRT 后续版本的 FP8 Conv + SiLU 融合</w:t>
            </w:r>
          </w:p>
        </w:tc>
        <w:tc>
          <w:tcPr>
            <w:tcW w:type="dxa" w:w="475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SiLU 占 FP8 GPU 时间 27%</w:t>
            </w:r>
          </w:p>
        </w:tc>
      </w:tr>
    </w:tbl>
    <w:p>
      <w:pPr>
        <w:pStyle w:val="Heading1"/>
      </w:pPr>
      <w:r>
        <w:t>六、端到端 I/O 优化方向</w:t>
      </w:r>
    </w:p>
    <w:p>
      <w:pPr>
        <w:spacing w:after="120"/>
        <w:jc w:val="left"/>
      </w:pPr>
      <w:r>
        <w:rPr>
          <w:rFonts w:ascii="Calibri" w:hAnsi="Calibri" w:eastAsia="Microsoft YaHei"/>
          <w:b w:val="0"/>
          <w:i w:val="0"/>
          <w:color w:val="606A76"/>
          <w:sz w:val="18"/>
        </w:rPr>
        <w:t>现状:每次请求传输 FP32 输入 4.7 MB + FP32 原始输出 2.7 MB,I/O 相关环节约 12.8 ms,占请求延迟 75%(见 3.4)。以下为优化方案与数据量估算,延迟收益需实测确认。</w:t>
      </w:r>
    </w:p>
    <w:p>
      <w:pPr>
        <w:pStyle w:val="Heading2"/>
      </w:pPr>
      <w:r>
        <w:t>6.1 优化方案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656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方案</w:t>
            </w:r>
          </w:p>
        </w:tc>
        <w:tc>
          <w:tcPr>
            <w:tcW w:type="dxa" w:w="4536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做法</w:t>
            </w:r>
          </w:p>
        </w:tc>
        <w:tc>
          <w:tcPr>
            <w:tcW w:type="dxa" w:w="2376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作用环节</w:t>
            </w:r>
          </w:p>
        </w:tc>
        <w:tc>
          <w:tcPr>
            <w:tcW w:type="dxa" w:w="108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改动</w:t>
            </w:r>
          </w:p>
        </w:tc>
      </w:tr>
      <w:tr>
        <w:tc>
          <w:tcPr>
            <w:tcW w:type="dxa" w:w="165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uint8 输入</w:t>
            </w:r>
          </w:p>
        </w:tc>
        <w:tc>
          <w:tcPr>
            <w:tcW w:type="dxa" w:w="453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客户端发送 uint8 图像;归一化(/255)与类型转换作为模型前置节点在 GPU 执行</w:t>
            </w:r>
          </w:p>
        </w:tc>
        <w:tc>
          <w:tcPr>
            <w:tcW w:type="dxa" w:w="23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网络收发、输入拷贝、客户端发送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低</w:t>
            </w:r>
          </w:p>
        </w:tc>
      </w:tr>
      <w:tr>
        <w:tc>
          <w:tcPr>
            <w:tcW w:type="dxa" w:w="165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NMS 融入引擎</w:t>
            </w:r>
          </w:p>
        </w:tc>
        <w:tc>
          <w:tcPr>
            <w:tcW w:type="dxa" w:w="453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导出时加入 TensorRT EfficientNMS,引擎直接输出 ≤ 300 个检测框</w:t>
            </w:r>
          </w:p>
        </w:tc>
        <w:tc>
          <w:tcPr>
            <w:tcW w:type="dxa" w:w="23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输出拷贝、网络收发、客户端 NMS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低</w:t>
            </w:r>
          </w:p>
        </w:tc>
      </w:tr>
      <w:tr>
        <w:tc>
          <w:tcPr>
            <w:tcW w:type="dxa" w:w="165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JPEG + GPU 解码</w:t>
            </w:r>
          </w:p>
        </w:tc>
        <w:tc>
          <w:tcPr>
            <w:tcW w:type="dxa" w:w="453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客户端发送 JPEG;Triton DALI 后端在 GPU 上解码、缩放、letterbox</w:t>
            </w:r>
          </w:p>
        </w:tc>
        <w:tc>
          <w:tcPr>
            <w:tcW w:type="dxa" w:w="23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网络收发、客户端预处理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中</w:t>
            </w:r>
          </w:p>
        </w:tc>
      </w:tr>
      <w:tr>
        <w:tc>
          <w:tcPr>
            <w:tcW w:type="dxa" w:w="165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共享内存</w:t>
            </w:r>
          </w:p>
        </w:tc>
        <w:tc>
          <w:tcPr>
            <w:tcW w:type="dxa" w:w="453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客户端与 Triton 同机时,用 CUDA / 系统共享内存传张量,免去 gRPC 序列化</w:t>
            </w:r>
          </w:p>
        </w:tc>
        <w:tc>
          <w:tcPr>
            <w:tcW w:type="dxa" w:w="23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网络收发、序列化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低(仅同机)</w:t>
            </w:r>
          </w:p>
        </w:tc>
      </w:tr>
      <w:tr>
        <w:tc>
          <w:tcPr>
            <w:tcW w:type="dxa" w:w="165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多实例</w:t>
            </w:r>
          </w:p>
        </w:tc>
        <w:tc>
          <w:tcPr>
            <w:tcW w:type="dxa" w:w="453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instance_group 设 2 个实例,使数据拷贝与 GPU 计算重叠</w:t>
            </w:r>
          </w:p>
        </w:tc>
        <w:tc>
          <w:tcPr>
            <w:tcW w:type="dxa" w:w="23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排队、输入 / 输出拷贝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低</w:t>
            </w:r>
          </w:p>
        </w:tc>
      </w:tr>
    </w:tbl>
    <w:p>
      <w:pPr>
        <w:pStyle w:val="Heading2"/>
      </w:pPr>
      <w:r>
        <w:t>6.2 单次请求数据量(640×640)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3312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组合</w:t>
            </w:r>
          </w:p>
        </w:tc>
        <w:tc>
          <w:tcPr>
            <w:tcW w:type="dxa" w:w="144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输入</w:t>
            </w:r>
          </w:p>
        </w:tc>
        <w:tc>
          <w:tcPr>
            <w:tcW w:type="dxa" w:w="144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输出</w:t>
            </w:r>
          </w:p>
        </w:tc>
        <w:tc>
          <w:tcPr>
            <w:tcW w:type="dxa" w:w="144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合计</w:t>
            </w:r>
          </w:p>
        </w:tc>
        <w:tc>
          <w:tcPr>
            <w:tcW w:type="dxa" w:w="144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相对现状</w:t>
            </w:r>
          </w:p>
        </w:tc>
      </w:tr>
      <w:tr>
        <w:tc>
          <w:tcPr>
            <w:tcW w:type="dxa" w:w="331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现状:FP32 输入 + 原始输出</w:t>
            </w:r>
          </w:p>
        </w:tc>
        <w:tc>
          <w:tcPr>
            <w:tcW w:type="dxa" w:w="144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4.7 MB</w:t>
            </w:r>
          </w:p>
        </w:tc>
        <w:tc>
          <w:tcPr>
            <w:tcW w:type="dxa" w:w="144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2.7 MB</w:t>
            </w:r>
          </w:p>
        </w:tc>
        <w:tc>
          <w:tcPr>
            <w:tcW w:type="dxa" w:w="144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7.4 MB</w:t>
            </w:r>
          </w:p>
        </w:tc>
        <w:tc>
          <w:tcPr>
            <w:tcW w:type="dxa" w:w="144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—</w:t>
            </w:r>
          </w:p>
        </w:tc>
      </w:tr>
      <w:tr>
        <w:tc>
          <w:tcPr>
            <w:tcW w:type="dxa" w:w="331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uint8 输入</w:t>
            </w:r>
          </w:p>
        </w:tc>
        <w:tc>
          <w:tcPr>
            <w:tcW w:type="dxa" w:w="144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1.2 MB</w:t>
            </w:r>
          </w:p>
        </w:tc>
        <w:tc>
          <w:tcPr>
            <w:tcW w:type="dxa" w:w="144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2.7 MB</w:t>
            </w:r>
          </w:p>
        </w:tc>
        <w:tc>
          <w:tcPr>
            <w:tcW w:type="dxa" w:w="144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3.9 MB</w:t>
            </w:r>
          </w:p>
        </w:tc>
        <w:tc>
          <w:tcPr>
            <w:tcW w:type="dxa" w:w="144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−47%</w:t>
            </w:r>
          </w:p>
        </w:tc>
      </w:tr>
      <w:tr>
        <w:tc>
          <w:tcPr>
            <w:tcW w:type="dxa" w:w="3312"/>
            <w:shd w:val="clear" w:fill="E7F0FA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sz w:val="19"/>
              </w:rPr>
              <w:t>uint8 输入 + NMS 融入引擎</w:t>
            </w:r>
          </w:p>
        </w:tc>
        <w:tc>
          <w:tcPr>
            <w:tcW w:type="dxa" w:w="1440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1.2 MB</w:t>
            </w:r>
          </w:p>
        </w:tc>
        <w:tc>
          <w:tcPr>
            <w:tcW w:type="dxa" w:w="1440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&lt; 0.01 MB</w:t>
            </w:r>
          </w:p>
        </w:tc>
        <w:tc>
          <w:tcPr>
            <w:tcW w:type="dxa" w:w="1440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1.2 MB</w:t>
            </w:r>
          </w:p>
        </w:tc>
        <w:tc>
          <w:tcPr>
            <w:tcW w:type="dxa" w:w="1440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−84%</w:t>
            </w:r>
          </w:p>
        </w:tc>
      </w:tr>
      <w:tr>
        <w:tc>
          <w:tcPr>
            <w:tcW w:type="dxa" w:w="331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JPEG + NMS 融入引擎</w:t>
            </w:r>
          </w:p>
        </w:tc>
        <w:tc>
          <w:tcPr>
            <w:tcW w:type="dxa" w:w="144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约 0.1 MB</w:t>
            </w:r>
          </w:p>
        </w:tc>
        <w:tc>
          <w:tcPr>
            <w:tcW w:type="dxa" w:w="144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&lt; 0.01 MB</w:t>
            </w:r>
          </w:p>
        </w:tc>
        <w:tc>
          <w:tcPr>
            <w:tcW w:type="dxa" w:w="144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约 0.1 MB</w:t>
            </w:r>
          </w:p>
        </w:tc>
        <w:tc>
          <w:tcPr>
            <w:tcW w:type="dxa" w:w="144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约 −98%</w:t>
            </w:r>
          </w:p>
        </w:tc>
      </w:tr>
    </w:tbl>
    <w:p>
      <w:pPr>
        <w:spacing w:after="120"/>
        <w:jc w:val="left"/>
      </w:pPr>
      <w:r>
        <w:rPr>
          <w:rFonts w:ascii="Calibri" w:hAnsi="Calibri" w:eastAsia="Microsoft YaHei"/>
          <w:b w:val="0"/>
          <w:i w:val="0"/>
          <w:color w:val="606A76"/>
          <w:sz w:val="18"/>
        </w:rPr>
        <w:t>建议先做 uint8 输入 + NMS 融入引擎:改动小,数据量 −84%。I/O 降下来后,FP8 的 GPU 收益才能在端到端体现。JPEG 大小随图像内容与压缩质量变化。</w:t>
      </w:r>
    </w:p>
    <w:p>
      <w:pPr>
        <w:pStyle w:val="Heading1"/>
      </w:pPr>
      <w:r>
        <w:t>七、说明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19"/>
        </w:rPr>
        <w:t>测试硬件为 Blackwell;客户 L4 为 Ada 架构,FP8 kernel 不同,绝对加速比不可直接套用,TensorRT 版本、batch、I/O 三项影响因素同样需要考虑。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19"/>
        </w:rPr>
        <w:t>吞吐以 trtexec 整体计时为准;逐层 profile 仅用于耗时构成的相对比较。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19"/>
        </w:rPr>
        <w:t>mAP 采用固定 640×640 letterbox,绝对值略低于 Ultralytics 官方(rect 批推理),各精度同口径可比。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19"/>
        </w:rPr>
        <w:t>端到端吞吐受压测工具计时粒度限制,不作为结论;端到端部分仅采用逐请求延迟分解。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color w:val="21212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257A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1212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