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F119C" w14:textId="1C76F959" w:rsidR="00F6515D" w:rsidRDefault="009815E6" w:rsidP="009815E6">
      <w:pPr>
        <w:jc w:val="center"/>
        <w:rPr>
          <w:rFonts w:ascii="Arial" w:hAnsi="Arial" w:cs="Arial"/>
          <w:b/>
          <w:sz w:val="56"/>
        </w:rPr>
      </w:pPr>
      <w:r>
        <w:rPr>
          <w:rFonts w:ascii="Arial" w:hAnsi="Arial" w:cs="Arial"/>
          <w:b/>
          <w:sz w:val="56"/>
        </w:rPr>
        <w:t>ReadiLY</w:t>
      </w:r>
    </w:p>
    <w:p w14:paraId="1B487AEA" w14:textId="08826E17" w:rsidR="009815E6" w:rsidRDefault="009815E6" w:rsidP="009815E6">
      <w:pPr>
        <w:jc w:val="center"/>
        <w:rPr>
          <w:rFonts w:ascii="Arial" w:hAnsi="Arial" w:cs="Arial"/>
          <w:sz w:val="32"/>
        </w:rPr>
      </w:pPr>
      <w:r>
        <w:rPr>
          <w:rFonts w:ascii="Arial" w:hAnsi="Arial" w:cs="Arial"/>
          <w:sz w:val="32"/>
        </w:rPr>
        <w:t>Real-Time Reading Intelligence for ASEAN Classrooms</w:t>
      </w:r>
    </w:p>
    <w:p w14:paraId="0EC6231A" w14:textId="623D5F81" w:rsidR="009815E6" w:rsidRDefault="009815E6" w:rsidP="009815E6">
      <w:pPr>
        <w:jc w:val="center"/>
        <w:rPr>
          <w:rFonts w:ascii="Arial" w:hAnsi="Arial" w:cs="Arial"/>
          <w:sz w:val="32"/>
        </w:rPr>
      </w:pPr>
    </w:p>
    <w:p w14:paraId="6785C781" w14:textId="45555563" w:rsidR="009815E6" w:rsidRDefault="009815E6" w:rsidP="009815E6">
      <w:pPr>
        <w:jc w:val="center"/>
        <w:rPr>
          <w:rFonts w:ascii="Arial" w:hAnsi="Arial" w:cs="Arial"/>
          <w:b/>
          <w:sz w:val="40"/>
        </w:rPr>
      </w:pPr>
      <w:r>
        <w:rPr>
          <w:rFonts w:ascii="Arial" w:hAnsi="Arial" w:cs="Arial"/>
          <w:b/>
          <w:sz w:val="40"/>
        </w:rPr>
        <w:t>Business Plan</w:t>
      </w:r>
    </w:p>
    <w:p w14:paraId="75B97F1E" w14:textId="684E9F07" w:rsidR="009815E6" w:rsidRDefault="009815E6" w:rsidP="009815E6">
      <w:pPr>
        <w:jc w:val="center"/>
        <w:rPr>
          <w:rFonts w:ascii="Arial" w:hAnsi="Arial" w:cs="Arial"/>
          <w:b/>
          <w:sz w:val="40"/>
        </w:rPr>
      </w:pPr>
    </w:p>
    <w:p w14:paraId="2B37B692" w14:textId="1363CF84" w:rsidR="009815E6" w:rsidRDefault="009815E6" w:rsidP="009815E6">
      <w:pPr>
        <w:jc w:val="center"/>
        <w:rPr>
          <w:rFonts w:ascii="Arial" w:hAnsi="Arial" w:cs="Arial"/>
          <w:b/>
          <w:sz w:val="40"/>
        </w:rPr>
      </w:pPr>
    </w:p>
    <w:p w14:paraId="771CB193" w14:textId="69C016A6" w:rsidR="009815E6" w:rsidRDefault="009815E6" w:rsidP="009815E6">
      <w:pPr>
        <w:jc w:val="center"/>
        <w:rPr>
          <w:rFonts w:ascii="Arial" w:hAnsi="Arial" w:cs="Arial"/>
          <w:b/>
          <w:sz w:val="28"/>
        </w:rPr>
      </w:pPr>
      <w:r>
        <w:rPr>
          <w:rFonts w:ascii="Arial" w:hAnsi="Arial" w:cs="Arial"/>
          <w:b/>
          <w:sz w:val="28"/>
        </w:rPr>
        <w:t>Team IKIYUH</w:t>
      </w:r>
    </w:p>
    <w:p w14:paraId="0931BC45" w14:textId="108D32EA" w:rsidR="009815E6" w:rsidRDefault="009815E6" w:rsidP="009815E6">
      <w:pPr>
        <w:jc w:val="center"/>
        <w:rPr>
          <w:rFonts w:ascii="Arial" w:hAnsi="Arial" w:cs="Arial"/>
          <w:sz w:val="24"/>
        </w:rPr>
      </w:pPr>
      <w:r>
        <w:rPr>
          <w:rFonts w:ascii="Arial" w:hAnsi="Arial" w:cs="Arial"/>
          <w:sz w:val="24"/>
        </w:rPr>
        <w:t>Yhasmen Nogales â€” yhasmennogales04@gmail.com</w:t>
      </w:r>
    </w:p>
    <w:p w14:paraId="13E6F77A" w14:textId="7FBCFB1C" w:rsidR="009815E6" w:rsidRDefault="009815E6" w:rsidP="009815E6">
      <w:pPr>
        <w:jc w:val="center"/>
        <w:rPr>
          <w:rFonts w:ascii="Arial" w:hAnsi="Arial" w:cs="Arial"/>
          <w:sz w:val="24"/>
        </w:rPr>
      </w:pPr>
      <w:r>
        <w:rPr>
          <w:rFonts w:ascii="Arial" w:hAnsi="Arial" w:cs="Arial"/>
          <w:sz w:val="24"/>
        </w:rPr>
        <w:t>Caryl Joy A. Atienza â€” carylatienzaa@gmail.com</w:t>
      </w:r>
    </w:p>
    <w:p w14:paraId="0FFA5C5B" w14:textId="12B5DA37" w:rsidR="009815E6" w:rsidRDefault="009815E6" w:rsidP="009815E6">
      <w:pPr>
        <w:jc w:val="center"/>
        <w:rPr>
          <w:rFonts w:ascii="Arial" w:hAnsi="Arial" w:cs="Arial"/>
          <w:sz w:val="24"/>
        </w:rPr>
      </w:pPr>
    </w:p>
    <w:p w14:paraId="65812A93" w14:textId="08D3105B" w:rsidR="009815E6" w:rsidRDefault="009815E6" w:rsidP="009815E6">
      <w:pPr>
        <w:jc w:val="center"/>
        <w:rPr>
          <w:rFonts w:ascii="Arial" w:hAnsi="Arial" w:cs="Arial"/>
          <w:sz w:val="24"/>
        </w:rPr>
      </w:pPr>
      <w:r>
        <w:rPr>
          <w:rFonts w:ascii="Arial" w:hAnsi="Arial" w:cs="Arial"/>
          <w:sz w:val="24"/>
        </w:rPr>
        <w:t>July 2026</w:t>
      </w:r>
    </w:p>
    <w:p w14:paraId="0AD64047" w14:textId="77777777" w:rsidR="009815E6" w:rsidRDefault="009815E6" w:rsidP="009815E6">
      <w:pPr>
        <w:jc w:val="center"/>
        <w:rPr>
          <w:rFonts w:ascii="Arial" w:hAnsi="Arial" w:cs="Arial"/>
          <w:sz w:val="24"/>
        </w:rPr>
        <w:sectPr w:rsidR="009815E6" w:rsidSect="009815E6">
          <w:headerReference w:type="even" r:id="rId6"/>
          <w:headerReference w:type="default" r:id="rId7"/>
          <w:footerReference w:type="even" r:id="rId8"/>
          <w:footerReference w:type="default" r:id="rId9"/>
          <w:headerReference w:type="first" r:id="rId10"/>
          <w:footerReference w:type="first" r:id="rId11"/>
          <w:pgSz w:w="12240" w:h="18720"/>
          <w:pgMar w:top="1440" w:right="1440" w:bottom="1440" w:left="1440" w:header="708" w:footer="708" w:gutter="0"/>
          <w:cols w:space="708"/>
          <w:docGrid w:linePitch="360"/>
        </w:sectPr>
      </w:pPr>
    </w:p>
    <w:p w14:paraId="24271826" w14:textId="7740264A" w:rsidR="009815E6" w:rsidRDefault="009815E6" w:rsidP="009815E6">
      <w:pPr>
        <w:spacing w:before="120" w:after="120" w:line="276" w:lineRule="auto"/>
        <w:rPr>
          <w:rFonts w:ascii="Arial" w:hAnsi="Arial" w:cs="Arial"/>
          <w:b/>
          <w:sz w:val="28"/>
        </w:rPr>
      </w:pPr>
      <w:r>
        <w:rPr>
          <w:rFonts w:ascii="Arial" w:hAnsi="Arial" w:cs="Arial"/>
          <w:b/>
          <w:sz w:val="28"/>
        </w:rPr>
        <w:lastRenderedPageBreak/>
        <w:t>1. Executive Summary</w:t>
      </w:r>
    </w:p>
    <w:p w14:paraId="7309CB9B" w14:textId="6848E04B" w:rsidR="009815E6" w:rsidRDefault="009815E6" w:rsidP="009815E6">
      <w:pPr>
        <w:spacing w:before="120" w:line="276" w:lineRule="auto"/>
        <w:jc w:val="both"/>
        <w:rPr>
          <w:rFonts w:ascii="Arial" w:hAnsi="Arial" w:cs="Arial"/>
          <w:sz w:val="24"/>
        </w:rPr>
      </w:pPr>
      <w:r>
        <w:rPr>
          <w:rFonts w:ascii="Arial" w:hAnsi="Arial" w:cs="Arial"/>
          <w:sz w:val="24"/>
        </w:rPr>
        <w:t>ReadiLY is an AI-powered oral reading intelligence system that turns a three-minute classroom reading activity into real-time diagnosis, prediction, and intervention. Using only a teacher's smartphone, ReadiLY listens to a student read aloud, analyzes fluency, accuracy, and error patterns through on-device speech recognition, and returns an actionable diagnostic profile within seconds â€” no additional hardware, no reliable internet connection, and no extra time required from an already overloaded teacher.</w:t>
      </w:r>
    </w:p>
    <w:p w14:paraId="4ED17DC1" w14:textId="59F7A113" w:rsidR="009815E6" w:rsidRDefault="009815E6" w:rsidP="009815E6">
      <w:pPr>
        <w:spacing w:before="120" w:line="276" w:lineRule="auto"/>
        <w:jc w:val="both"/>
        <w:rPr>
          <w:rFonts w:ascii="Arial" w:hAnsi="Arial" w:cs="Arial"/>
          <w:sz w:val="24"/>
        </w:rPr>
      </w:pPr>
      <w:r>
        <w:rPr>
          <w:rFonts w:ascii="Arial" w:hAnsi="Arial" w:cs="Arial"/>
          <w:sz w:val="24"/>
        </w:rPr>
        <w:t>The problem is not a lack of literacy assessment tools; the Philippines already mandates Phil-IRI and CRLA. The problem is that these tools are manual, slow, and produce results too late to act on. ReadiLY does not replace official assessments â€” it functions as a real-time diagnostic layer that can complement them, cutting assessment time from roughly fifteen minutes to three minutes per learner while covering 100% of a class instead of a sample.</w:t>
      </w:r>
    </w:p>
    <w:p w14:paraId="0BEB4194" w14:textId="219E2A92" w:rsidR="009815E6" w:rsidRDefault="009815E6" w:rsidP="009815E6">
      <w:pPr>
        <w:spacing w:before="120" w:line="276" w:lineRule="auto"/>
        <w:jc w:val="both"/>
        <w:rPr>
          <w:rFonts w:ascii="Arial" w:hAnsi="Arial" w:cs="Arial"/>
          <w:sz w:val="24"/>
        </w:rPr>
      </w:pPr>
      <w:r>
        <w:rPr>
          <w:rFonts w:ascii="Arial" w:hAnsi="Arial" w:cs="Arial"/>
          <w:sz w:val="24"/>
        </w:rPr>
        <w:t>Our primary users are Grades 1â€“3 public school teachers and their students; our primary customers are the institutions that fund classroom tools at scale â€” the Department of Education (DepEd), Local Government Units (LGUs), and private schools. We plan to validate the product first through direct pilots with private schools and NGO partners, where sales cycles are short, before pursuing longer B2G procurement with DepEd and LGUs.</w:t>
      </w:r>
    </w:p>
    <w:p w14:paraId="4BD3F4A3" w14:textId="7D897DB0" w:rsidR="009815E6" w:rsidRDefault="009815E6" w:rsidP="009815E6">
      <w:pPr>
        <w:spacing w:before="120" w:line="276" w:lineRule="auto"/>
        <w:jc w:val="both"/>
        <w:rPr>
          <w:rFonts w:ascii="Arial" w:hAnsi="Arial" w:cs="Arial"/>
          <w:sz w:val="24"/>
        </w:rPr>
      </w:pPr>
      <w:r>
        <w:rPr>
          <w:rFonts w:ascii="Arial" w:hAnsi="Arial" w:cs="Arial"/>
          <w:sz w:val="24"/>
        </w:rPr>
        <w:t>ReadiLY is currently pre-product: a validated problem, a working concept, and UI mockups. Our immediate priority is a structured pilot with 1â€“3 schools to test the core assessment loop, gather teacher feedback, and produce the evidence needed for both government partnership conversations and early funding.</w:t>
      </w:r>
    </w:p>
    <w:p w14:paraId="1EA7BECD" w14:textId="1AFAD91A" w:rsidR="009815E6" w:rsidRDefault="009815E6" w:rsidP="009815E6">
      <w:pPr>
        <w:spacing w:before="120" w:after="120" w:line="276" w:lineRule="auto"/>
        <w:rPr>
          <w:rFonts w:ascii="Arial" w:hAnsi="Arial" w:cs="Arial"/>
          <w:b/>
          <w:sz w:val="28"/>
        </w:rPr>
      </w:pPr>
      <w:r>
        <w:rPr>
          <w:rFonts w:ascii="Arial" w:hAnsi="Arial" w:cs="Arial"/>
          <w:b/>
          <w:sz w:val="28"/>
        </w:rPr>
        <w:t>2. Problem Statement</w:t>
      </w:r>
    </w:p>
    <w:p w14:paraId="24677737" w14:textId="7F67521F" w:rsidR="009815E6" w:rsidRDefault="009815E6" w:rsidP="009815E6">
      <w:pPr>
        <w:spacing w:before="120" w:line="276" w:lineRule="auto"/>
        <w:jc w:val="both"/>
        <w:rPr>
          <w:rFonts w:ascii="Arial" w:hAnsi="Arial" w:cs="Arial"/>
          <w:sz w:val="24"/>
        </w:rPr>
      </w:pPr>
      <w:r>
        <w:rPr>
          <w:rFonts w:ascii="Arial" w:hAnsi="Arial" w:cs="Arial"/>
          <w:sz w:val="24"/>
        </w:rPr>
        <w:t>Early-grade literacy remains one of the most urgent education challenges in the Philippines and across Southeast Asia. The World Bank (2022) estimates that up to 90% of children in low- and middle-income countries experience "learning poverty" â€” unable to read and understand a simple text by age 10. UNESCO identifies literacy as foundational to lifelong learning, employability, and social participation. Large class sizes, multilingual instruction, and limited access to digital tools make it difficult for teachers to consistently assess and support early readers.</w:t>
      </w:r>
    </w:p>
    <w:p w14:paraId="39C670E3" w14:textId="0C6E2890" w:rsidR="009815E6" w:rsidRDefault="009815E6" w:rsidP="009815E6">
      <w:pPr>
        <w:spacing w:before="120" w:line="276" w:lineRule="auto"/>
        <w:jc w:val="both"/>
        <w:rPr>
          <w:rFonts w:ascii="Arial" w:hAnsi="Arial" w:cs="Arial"/>
          <w:sz w:val="24"/>
        </w:rPr>
      </w:pPr>
      <w:r>
        <w:rPr>
          <w:rFonts w:ascii="Arial" w:hAnsi="Arial" w:cs="Arial"/>
          <w:sz w:val="24"/>
        </w:rPr>
        <w:t>As a result: teachers lack real-time visibility into student learning gaps; struggling readers are identified too late, often only after they have fallen significantly behind; and foundational reading issues persist into higher grade levels, compounding into broader academic and long-term workforce outcomes.</w:t>
      </w:r>
    </w:p>
    <w:p w14:paraId="7916CC43" w14:textId="267340F7" w:rsidR="009815E6" w:rsidRDefault="009815E6" w:rsidP="009815E6">
      <w:pPr>
        <w:spacing w:before="120" w:line="276" w:lineRule="auto"/>
        <w:jc w:val="both"/>
        <w:rPr>
          <w:rFonts w:ascii="Arial" w:hAnsi="Arial" w:cs="Arial"/>
          <w:sz w:val="24"/>
        </w:rPr>
      </w:pPr>
      <w:r>
        <w:rPr>
          <w:rFonts w:ascii="Arial" w:hAnsi="Arial" w:cs="Arial"/>
          <w:sz w:val="24"/>
        </w:rPr>
        <w:t>The core gap is not the absence of assessment â€” it is the absence of real-time, scalable diagnostic intelligence. A teacher handling 40+ students cannot manually administer, score, and interpret individual oral reading assessments for every child, every grading period, and still act on the results in time to matter.</w:t>
      </w:r>
    </w:p>
    <w:p w14:paraId="2E8FF81B" w14:textId="5337BD2D" w:rsidR="009815E6" w:rsidRDefault="009815E6" w:rsidP="009815E6">
      <w:pPr>
        <w:spacing w:before="120" w:after="120" w:line="276" w:lineRule="auto"/>
        <w:rPr>
          <w:rFonts w:ascii="Arial" w:hAnsi="Arial" w:cs="Arial"/>
          <w:b/>
          <w:sz w:val="28"/>
        </w:rPr>
      </w:pPr>
      <w:r>
        <w:rPr>
          <w:rFonts w:ascii="Arial" w:hAnsi="Arial" w:cs="Arial"/>
          <w:b/>
          <w:sz w:val="28"/>
        </w:rPr>
        <w:t>3. Target Market &amp; Customer Segments</w:t>
      </w:r>
    </w:p>
    <w:p w14:paraId="1C613A12" w14:textId="11FFDFF4" w:rsidR="009815E6" w:rsidRDefault="009815E6" w:rsidP="009815E6">
      <w:pPr>
        <w:spacing w:before="120" w:line="276" w:lineRule="auto"/>
        <w:jc w:val="both"/>
        <w:rPr>
          <w:rFonts w:ascii="Arial" w:hAnsi="Arial" w:cs="Arial"/>
          <w:sz w:val="24"/>
        </w:rPr>
      </w:pPr>
      <w:r>
        <w:rPr>
          <w:rFonts w:ascii="Arial" w:hAnsi="Arial" w:cs="Arial"/>
          <w:sz w:val="24"/>
        </w:rPr>
        <w:t>ReadiLY serves two distinct groups, and we are deliberate about not conflating them: end users, who interact with the product daily, and paying customers, who fund and procure it.</w:t>
      </w:r>
    </w:p>
    <w:p w14:paraId="203F3E47" w14:textId="67861742" w:rsidR="009815E6" w:rsidRDefault="009815E6" w:rsidP="009815E6">
      <w:pPr>
        <w:spacing w:before="120" w:line="276" w:lineRule="auto"/>
        <w:jc w:val="both"/>
        <w:rPr>
          <w:rFonts w:ascii="Arial" w:hAnsi="Arial" w:cs="Arial"/>
          <w:sz w:val="24"/>
        </w:rPr>
      </w:pPr>
      <w:r>
        <w:rPr>
          <w:rFonts w:ascii="Arial" w:hAnsi="Arial" w:cs="Arial"/>
          <w:sz w:val="24"/>
        </w:rPr>
        <w:t>End users: Grades 1â€“3 public school teachers, their students (ages 6â€“10, in foundational literacy stages), and reading coordinators â€” typically in high student-to-teacher ratio classrooms, rural or underserved communities, and multilingual learning environments.</w:t>
      </w:r>
    </w:p>
    <w:p w14:paraId="1E372AA7" w14:textId="49D98FF1" w:rsidR="009815E6" w:rsidRDefault="009815E6" w:rsidP="009815E6">
      <w:pPr>
        <w:spacing w:before="120" w:line="276" w:lineRule="auto"/>
        <w:jc w:val="both"/>
        <w:rPr>
          <w:rFonts w:ascii="Arial" w:hAnsi="Arial" w:cs="Arial"/>
          <w:sz w:val="24"/>
        </w:rPr>
      </w:pPr>
      <w:r>
        <w:rPr>
          <w:rFonts w:ascii="Arial" w:hAnsi="Arial" w:cs="Arial"/>
          <w:sz w:val="24"/>
        </w:rPr>
        <w:t>Paying customers: the Department of Education (DepEd) at the division level, Local Government Units (LGUs) running education modernization initiatives, and private schools purchasing SaaS subscriptions directly. Secondary institutional stakeholders include NGOs focused on literacy, community learning centers, and parents/guardians through a future companion app.</w:t>
      </w:r>
    </w:p>
    <w:p w14:paraId="3A73E226" w14:textId="7F30793F" w:rsidR="009815E6" w:rsidRDefault="009815E6" w:rsidP="009815E6">
      <w:pPr>
        <w:spacing w:before="120" w:line="276" w:lineRule="auto"/>
        <w:jc w:val="both"/>
        <w:rPr>
          <w:rFonts w:ascii="Arial" w:hAnsi="Arial" w:cs="Arial"/>
          <w:sz w:val="24"/>
        </w:rPr>
      </w:pPr>
      <w:r>
        <w:rPr>
          <w:rFonts w:ascii="Arial" w:hAnsi="Arial" w:cs="Arial"/>
          <w:sz w:val="24"/>
        </w:rPr>
        <w:t>Because end users and buyers are different people with different incentives, our go-to-market plan sequences customer acquisition by sales-cycle length: private schools and NGO/CSR partnerships first (fast, direct decision-making), followed by LGU pilots, followed by DepEd division-level engagement once we can show pilot evidence and, ideally, a research permit or MOA.</w:t>
      </w:r>
    </w:p>
    <w:p w14:paraId="01A85BC1" w14:textId="22A27AE5" w:rsidR="009815E6" w:rsidRDefault="009815E6" w:rsidP="009815E6">
      <w:pPr>
        <w:spacing w:before="120" w:after="120" w:line="276" w:lineRule="auto"/>
        <w:rPr>
          <w:rFonts w:ascii="Arial" w:hAnsi="Arial" w:cs="Arial"/>
          <w:b/>
          <w:sz w:val="28"/>
        </w:rPr>
      </w:pPr>
      <w:r>
        <w:rPr>
          <w:rFonts w:ascii="Arial" w:hAnsi="Arial" w:cs="Arial"/>
          <w:b/>
          <w:sz w:val="28"/>
        </w:rPr>
        <w:t>4. Product &amp; Solution</w:t>
      </w:r>
    </w:p>
    <w:p w14:paraId="4E516B76" w14:textId="2FA20546" w:rsidR="009815E6" w:rsidRDefault="009815E6" w:rsidP="009815E6">
      <w:pPr>
        <w:spacing w:before="120" w:line="276" w:lineRule="auto"/>
        <w:jc w:val="both"/>
        <w:rPr>
          <w:rFonts w:ascii="Arial" w:hAnsi="Arial" w:cs="Arial"/>
          <w:sz w:val="24"/>
        </w:rPr>
      </w:pPr>
      <w:r>
        <w:rPr>
          <w:rFonts w:ascii="Arial" w:hAnsi="Arial" w:cs="Arial"/>
          <w:sz w:val="24"/>
        </w:rPr>
        <w:t>ReadiLY is an Android-native, offline-first mobile application built around a single core loop: a student reads a short passage aloud into a teacher's smartphone; ReadiLY's on-device speech engine analyzes the recording in real time; the teacher receives an immediate diagnostic result and a recommended next action.</w:t>
      </w:r>
    </w:p>
    <w:p w14:paraId="75B11D40" w14:textId="1AB44E33" w:rsidR="009815E6" w:rsidRDefault="009815E6" w:rsidP="009815E6">
      <w:pPr>
        <w:spacing w:before="120" w:line="276" w:lineRule="auto"/>
        <w:jc w:val="both"/>
        <w:rPr>
          <w:rFonts w:ascii="Arial" w:hAnsi="Arial" w:cs="Arial"/>
          <w:sz w:val="24"/>
        </w:rPr>
      </w:pPr>
      <w:r>
        <w:rPr>
          <w:rFonts w:ascii="Arial" w:hAnsi="Arial" w:cs="Arial"/>
          <w:sz w:val="24"/>
        </w:rPr>
        <w:t>Core features:</w:t>
      </w:r>
    </w:p>
    <w:p w14:paraId="1228BF04" w14:textId="406ACDD7" w:rsidR="009815E6" w:rsidRDefault="009815E6" w:rsidP="009815E6">
      <w:pPr>
        <w:spacing w:before="120" w:line="276" w:lineRule="auto"/>
        <w:jc w:val="both"/>
        <w:rPr>
          <w:rFonts w:ascii="Arial" w:hAnsi="Arial" w:cs="Arial"/>
          <w:sz w:val="24"/>
        </w:rPr>
      </w:pPr>
      <w:r>
        <w:rPr>
          <w:rFonts w:ascii="Arial" w:hAnsi="Arial" w:cs="Arial"/>
          <w:sz w:val="24"/>
        </w:rPr>
        <w:t>1. AI-Powered Oral Reading Assessment â€” captures and analyzes a student's oral reading in real time via a teacher's smartphone, replacing manual, one-at-a-time assessment.</w:t>
      </w:r>
    </w:p>
    <w:p w14:paraId="5C6787A5" w14:textId="45291BB1" w:rsidR="009815E6" w:rsidRDefault="009815E6" w:rsidP="009815E6">
      <w:pPr>
        <w:spacing w:before="120" w:line="276" w:lineRule="auto"/>
        <w:jc w:val="both"/>
        <w:rPr>
          <w:rFonts w:ascii="Arial" w:hAnsi="Arial" w:cs="Arial"/>
          <w:sz w:val="24"/>
        </w:rPr>
      </w:pPr>
      <w:r>
        <w:rPr>
          <w:rFonts w:ascii="Arial" w:hAnsi="Arial" w:cs="Arial"/>
          <w:sz w:val="24"/>
        </w:rPr>
        <w:t>2. Real-Time Learning Gap Diagnosis â€” converts the raw assessment into a structured diagnostic profile per student, flagging specific phonics, fluency, and comprehension gaps rather than a single aggregate score.</w:t>
      </w:r>
    </w:p>
    <w:p w14:paraId="55183967" w14:textId="6429CF29" w:rsidR="009815E6" w:rsidRDefault="009815E6" w:rsidP="009815E6">
      <w:pPr>
        <w:spacing w:before="120" w:line="276" w:lineRule="auto"/>
        <w:jc w:val="both"/>
        <w:rPr>
          <w:rFonts w:ascii="Arial" w:hAnsi="Arial" w:cs="Arial"/>
          <w:sz w:val="24"/>
        </w:rPr>
      </w:pPr>
      <w:r>
        <w:rPr>
          <w:rFonts w:ascii="Arial" w:hAnsi="Arial" w:cs="Arial"/>
          <w:sz w:val="24"/>
        </w:rPr>
        <w:t>3. Error Pattern Detection â€” identifies specific literacy gaps such as phonics, fluency, and comprehension errors, showing exactly where a student is struggling rather than only that they are struggling.</w:t>
      </w:r>
    </w:p>
    <w:p w14:paraId="32FD3315" w14:textId="548FD784" w:rsidR="009815E6" w:rsidRDefault="009815E6" w:rsidP="009815E6">
      <w:pPr>
        <w:spacing w:before="120" w:line="276" w:lineRule="auto"/>
        <w:jc w:val="both"/>
        <w:rPr>
          <w:rFonts w:ascii="Arial" w:hAnsi="Arial" w:cs="Arial"/>
          <w:sz w:val="24"/>
        </w:rPr>
      </w:pPr>
      <w:r>
        <w:rPr>
          <w:rFonts w:ascii="Arial" w:hAnsi="Arial" w:cs="Arial"/>
          <w:sz w:val="24"/>
        </w:rPr>
        <w:t>4. Early Warning System (Predictive) â€” surfaces students at risk of falling further behind by tracking reading-difficulty patterns across repeated assessments over time.</w:t>
      </w:r>
    </w:p>
    <w:p w14:paraId="2D4BB7EC" w14:textId="2341C45F" w:rsidR="009815E6" w:rsidRDefault="009815E6" w:rsidP="009815E6">
      <w:pPr>
        <w:spacing w:before="120" w:line="276" w:lineRule="auto"/>
        <w:jc w:val="both"/>
        <w:rPr>
          <w:rFonts w:ascii="Arial" w:hAnsi="Arial" w:cs="Arial"/>
          <w:sz w:val="24"/>
        </w:rPr>
      </w:pPr>
      <w:r>
        <w:rPr>
          <w:rFonts w:ascii="Arial" w:hAnsi="Arial" w:cs="Arial"/>
          <w:sz w:val="24"/>
        </w:rPr>
        <w:t>5. Teacher Intelligence Dashboard â€” presents student profiles, class-level summaries, and key literacy gaps in one view, so a teacher can act on insights without manual data entry.</w:t>
      </w:r>
    </w:p>
    <w:p w14:paraId="2D172663" w14:textId="49F146ED" w:rsidR="009815E6" w:rsidRDefault="009815E6" w:rsidP="009815E6">
      <w:pPr>
        <w:spacing w:before="120" w:line="276" w:lineRule="auto"/>
        <w:jc w:val="both"/>
        <w:rPr>
          <w:rFonts w:ascii="Arial" w:hAnsi="Arial" w:cs="Arial"/>
          <w:sz w:val="24"/>
        </w:rPr>
      </w:pPr>
      <w:r>
        <w:rPr>
          <w:rFonts w:ascii="Arial" w:hAnsi="Arial" w:cs="Arial"/>
          <w:sz w:val="24"/>
        </w:rPr>
        <w:t>Technical approach: the input layer combines student voice input with a karaoke-style reading passage display, where words are highlighted in sync with the student's reading and errors are marked inline for immediate teacher review. The AI processing layer runs a speech-to-text engine (ASR), a pronunciation and fluency analyzer, error detection, a reading-level classification model, and a recommendation engine. Processing happens on-device (edge AI) for zero-latency use in classrooms without reliable connectivity, with an optional encrypted cloud sync when a connection is available. The system architecture follows an MVVM pattern for modularity and testability, targeting Android tablets and smartphones as the primary hardware.</w:t>
      </w:r>
    </w:p>
    <w:p w14:paraId="483AD920" w14:textId="1D07A912" w:rsidR="009815E6" w:rsidRDefault="009815E6" w:rsidP="009815E6">
      <w:pPr>
        <w:spacing w:before="120" w:after="120" w:line="276" w:lineRule="auto"/>
        <w:rPr>
          <w:rFonts w:ascii="Arial" w:hAnsi="Arial" w:cs="Arial"/>
          <w:b/>
          <w:sz w:val="28"/>
        </w:rPr>
      </w:pPr>
      <w:r>
        <w:rPr>
          <w:rFonts w:ascii="Arial" w:hAnsi="Arial" w:cs="Arial"/>
          <w:b/>
          <w:sz w:val="28"/>
        </w:rPr>
        <w:t>5. Unique Value Proposition &amp; Competitive Landscape</w:t>
      </w:r>
    </w:p>
    <w:p w14:paraId="49EDDAF9" w14:textId="51380DDE" w:rsidR="009815E6" w:rsidRDefault="009815E6" w:rsidP="009815E6">
      <w:pPr>
        <w:spacing w:before="120" w:line="276" w:lineRule="auto"/>
        <w:jc w:val="both"/>
        <w:rPr>
          <w:rFonts w:ascii="Arial" w:hAnsi="Arial" w:cs="Arial"/>
          <w:sz w:val="24"/>
        </w:rPr>
      </w:pPr>
      <w:r>
        <w:rPr>
          <w:rFonts w:ascii="Arial" w:hAnsi="Arial" w:cs="Arial"/>
          <w:sz w:val="24"/>
        </w:rPr>
        <w:t>Unique Value Proposition: ReadiLY turns a 15-minute, one-student-at-a-time oral reading assessment into a 3-minute, AI-diagnosed reading intelligence report â€” giving every teacher, in every classroom, real-time visibility into exactly where each student is struggling, without needing internet access or additional hardware.</w:t>
      </w:r>
    </w:p>
    <w:p w14:paraId="6E78DA8F" w14:textId="2A56FC9D" w:rsidR="009815E6" w:rsidRDefault="009815E6" w:rsidP="009815E6">
      <w:pPr>
        <w:spacing w:before="120" w:line="276" w:lineRule="auto"/>
        <w:jc w:val="both"/>
        <w:rPr>
          <w:rFonts w:ascii="Arial" w:hAnsi="Arial" w:cs="Arial"/>
          <w:sz w:val="24"/>
        </w:rPr>
      </w:pPr>
      <w:r>
        <w:rPr>
          <w:rFonts w:ascii="Arial" w:hAnsi="Arial" w:cs="Arial"/>
          <w:sz w:val="24"/>
        </w:rPr>
        <w:t>High-level concept: Google Maps for literacy development. Just as Google Maps identifies the fastest route to a destination, ReadiLY identifies the fastest path to reading proficiency by detecting learning gaps before they become long-term barriers.</w:t>
      </w:r>
    </w:p>
    <w:p w14:paraId="6625D139" w14:textId="4D46500D" w:rsidR="009815E6" w:rsidRDefault="009815E6" w:rsidP="009815E6">
      <w:pPr>
        <w:spacing w:before="120" w:line="276" w:lineRule="auto"/>
        <w:jc w:val="both"/>
        <w:rPr>
          <w:rFonts w:ascii="Arial" w:hAnsi="Arial" w:cs="Arial"/>
          <w:sz w:val="24"/>
        </w:rPr>
      </w:pPr>
      <w:r>
        <w:rPr>
          <w:rFonts w:ascii="Arial" w:hAnsi="Arial" w:cs="Arial"/>
          <w:sz w:val="24"/>
        </w:rPr>
        <w:t>Competitive landscape: DepEd already mandates Phil-IRI and CRLA as official reading assessments, and global tools such as Amira Learning and Microsoft Reading Progress already perform AI-based oral reading assessment elsewhere. ReadiLY's positioning is deliberately narrow: rather than compete with mandated assessments, we aim to function as a real-time diagnostic layer that complements them, with future score-mapping to Phil-IRI bands. Our durable differentiation is threefold: (1) purpose-built for Philippine and ASEAN classroom constraints â€” large class sizes, multilingual and mother-tongue instruction, and low-connectivity schools; (2) a fully offline-first architecture, unlike cloud-dependent competitors; and (3) diagnostic depth â€” surfacing specific error patterns (phonics, fluency, comprehension) rather than a single fluency score.</w:t>
      </w:r>
    </w:p>
    <w:p w14:paraId="1D79F0DF" w14:textId="2657F15D" w:rsidR="009815E6" w:rsidRDefault="009815E6" w:rsidP="009815E6">
      <w:pPr>
        <w:spacing w:before="120" w:line="276" w:lineRule="auto"/>
        <w:jc w:val="both"/>
        <w:rPr>
          <w:rFonts w:ascii="Arial" w:hAnsi="Arial" w:cs="Arial"/>
          <w:sz w:val="24"/>
        </w:rPr>
      </w:pPr>
      <w:r>
        <w:rPr>
          <w:rFonts w:ascii="Arial" w:hAnsi="Arial" w:cs="Arial"/>
          <w:sz w:val="24"/>
        </w:rPr>
        <w:t>We recognize offline-first and localization alone are not permanent moats â€” global players could localize their own models over time. Our defensible advantage will need to be built through direct relationships with DepEd divisions and schools, a growing dataset of Filipino children's oral reading (Tagalog, Cebuano, and other mother-tongue instruction), and continuous refinement of our error-detection models against that data.</w:t>
      </w:r>
    </w:p>
    <w:p w14:paraId="16D34D43" w14:textId="31B5FC2B" w:rsidR="009815E6" w:rsidRDefault="009815E6" w:rsidP="009815E6">
      <w:pPr>
        <w:spacing w:before="120" w:after="120" w:line="276" w:lineRule="auto"/>
        <w:rPr>
          <w:rFonts w:ascii="Arial" w:hAnsi="Arial" w:cs="Arial"/>
          <w:b/>
          <w:sz w:val="28"/>
        </w:rPr>
      </w:pPr>
      <w:r>
        <w:rPr>
          <w:rFonts w:ascii="Arial" w:hAnsi="Arial" w:cs="Arial"/>
          <w:b/>
          <w:sz w:val="28"/>
        </w:rPr>
        <w:t>6. Business Model &amp; Revenue Streams</w:t>
      </w:r>
    </w:p>
    <w:p w14:paraId="2D97C361" w14:textId="5971FBD3" w:rsidR="009815E6" w:rsidRDefault="009815E6" w:rsidP="009815E6">
      <w:pPr>
        <w:spacing w:before="120" w:line="276" w:lineRule="auto"/>
        <w:jc w:val="both"/>
        <w:rPr>
          <w:rFonts w:ascii="Arial" w:hAnsi="Arial" w:cs="Arial"/>
          <w:sz w:val="24"/>
        </w:rPr>
      </w:pPr>
      <w:r>
        <w:rPr>
          <w:rFonts w:ascii="Arial" w:hAnsi="Arial" w:cs="Arial"/>
          <w:sz w:val="24"/>
        </w:rPr>
        <w:t>ReadiLY operates a B2G/B2B licensing model, monetizing institutions rather than individual teachers or students.</w:t>
      </w:r>
    </w:p>
    <w:p w14:paraId="04D6AA91" w14:textId="324F0A52" w:rsidR="009815E6" w:rsidRDefault="009815E6" w:rsidP="009815E6">
      <w:pPr>
        <w:spacing w:before="120" w:line="276" w:lineRule="auto"/>
        <w:jc w:val="both"/>
        <w:rPr>
          <w:rFonts w:ascii="Arial" w:hAnsi="Arial" w:cs="Arial"/>
          <w:sz w:val="24"/>
        </w:rPr>
      </w:pPr>
      <w:r>
        <w:rPr>
          <w:rFonts w:ascii="Arial" w:hAnsi="Arial" w:cs="Arial"/>
          <w:sz w:val="24"/>
        </w:rPr>
        <w:t>1. B2G (Government): annual per-division licensing for DepEd, LGU procurement under education modernization initiatives, and eventual national digital-transformation programs.</w:t>
      </w:r>
    </w:p>
    <w:p w14:paraId="1D4BC960" w14:textId="691A43D1" w:rsidR="009815E6" w:rsidRDefault="009815E6" w:rsidP="009815E6">
      <w:pPr>
        <w:spacing w:before="120" w:line="276" w:lineRule="auto"/>
        <w:jc w:val="both"/>
        <w:rPr>
          <w:rFonts w:ascii="Arial" w:hAnsi="Arial" w:cs="Arial"/>
          <w:sz w:val="24"/>
        </w:rPr>
      </w:pPr>
      <w:r>
        <w:rPr>
          <w:rFonts w:ascii="Arial" w:hAnsi="Arial" w:cs="Arial"/>
          <w:sz w:val="24"/>
        </w:rPr>
        <w:t>2. B2B (Institutions): SaaS subscriptions for private schools, and NGO/CSR-funded partnerships that sponsor access for public schools they support.</w:t>
      </w:r>
    </w:p>
    <w:p w14:paraId="2FA889F6" w14:textId="6851A244" w:rsidR="009815E6" w:rsidRDefault="009815E6" w:rsidP="009815E6">
      <w:pPr>
        <w:spacing w:before="120" w:line="276" w:lineRule="auto"/>
        <w:jc w:val="both"/>
        <w:rPr>
          <w:rFonts w:ascii="Arial" w:hAnsi="Arial" w:cs="Arial"/>
          <w:sz w:val="24"/>
        </w:rPr>
      </w:pPr>
      <w:r>
        <w:rPr>
          <w:rFonts w:ascii="Arial" w:hAnsi="Arial" w:cs="Arial"/>
          <w:sz w:val="24"/>
        </w:rPr>
        <w:t>3. Future expansion: a parent companion app, learning-analytics subscriptions for school administrators, and ASEAN-market licensing once the core model is validated locally.</w:t>
      </w:r>
    </w:p>
    <w:p w14:paraId="1ECAFCF9" w14:textId="086F6C7F" w:rsidR="009815E6" w:rsidRDefault="009815E6" w:rsidP="009815E6">
      <w:pPr>
        <w:spacing w:before="120" w:line="276" w:lineRule="auto"/>
        <w:jc w:val="both"/>
        <w:rPr>
          <w:rFonts w:ascii="Arial" w:hAnsi="Arial" w:cs="Arial"/>
          <w:sz w:val="24"/>
        </w:rPr>
      </w:pPr>
      <w:r>
        <w:rPr>
          <w:rFonts w:ascii="Arial" w:hAnsi="Arial" w:cs="Arial"/>
          <w:sz w:val="24"/>
        </w:rPr>
        <w:t>Cost structure includes fixed costs (AI model development, mobile app development, cloud infrastructure, data security and compliance) and variable costs (teacher training and onboarding, AI literacy workshops, cloud/speech-processing usage, and pilot deployment support).</w:t>
      </w:r>
    </w:p>
    <w:p w14:paraId="35A1F36B" w14:textId="358AB644" w:rsidR="009815E6" w:rsidRDefault="009815E6" w:rsidP="009815E6">
      <w:pPr>
        <w:spacing w:before="120" w:after="120" w:line="276" w:lineRule="auto"/>
        <w:rPr>
          <w:rFonts w:ascii="Arial" w:hAnsi="Arial" w:cs="Arial"/>
          <w:b/>
          <w:sz w:val="28"/>
        </w:rPr>
      </w:pPr>
      <w:r>
        <w:rPr>
          <w:rFonts w:ascii="Arial" w:hAnsi="Arial" w:cs="Arial"/>
          <w:b/>
          <w:sz w:val="28"/>
        </w:rPr>
        <w:t>7. Market Size &amp; Financial Projections (Estimates)</w:t>
      </w:r>
    </w:p>
    <w:p w14:paraId="257F2E50" w14:textId="55DABDED" w:rsidR="009815E6" w:rsidRDefault="009815E6" w:rsidP="009815E6">
      <w:pPr>
        <w:spacing w:before="120" w:line="276" w:lineRule="auto"/>
        <w:jc w:val="both"/>
        <w:rPr>
          <w:rFonts w:ascii="Arial" w:hAnsi="Arial" w:cs="Arial"/>
          <w:sz w:val="24"/>
        </w:rPr>
      </w:pPr>
      <w:r>
        <w:rPr>
          <w:rFonts w:ascii="Arial" w:hAnsi="Arial" w:cs="Arial"/>
          <w:sz w:val="24"/>
        </w:rPr>
        <w:t>ReadiLY has not yet generated revenue and has no signed contracts; the figures below are illustrative planning estimates to guide pilot and pricing strategy, not validated projections. They will be replaced with real figures as pilot data and procurement conversations mature.</w:t>
      </w:r>
    </w:p>
    <w:p w14:paraId="43B51C97" w14:textId="0E7CAA5A" w:rsidR="009815E6" w:rsidRDefault="009815E6" w:rsidP="009815E6">
      <w:pPr>
        <w:spacing w:before="120" w:line="276" w:lineRule="auto"/>
        <w:jc w:val="both"/>
        <w:rPr>
          <w:rFonts w:ascii="Arial" w:hAnsi="Arial" w:cs="Arial"/>
          <w:sz w:val="24"/>
        </w:rPr>
      </w:pPr>
      <w:r>
        <w:rPr>
          <w:rFonts w:ascii="Arial" w:hAnsi="Arial" w:cs="Arial"/>
          <w:sz w:val="24"/>
        </w:rPr>
        <w:t>Market sizing (illustrative): the Philippines has roughly 47,000 public elementary schools and over 300,000 Grades 1â€“3 teachers. If we assume an addressable market (TAM) of all Grades 1â€“3 public and private classrooms nationally, a serviceable market (SAM) of schools within DepEd divisions actively running literacy-improvement initiatives (an estimated 15â€“20% of schools), and a serviceable obtainable market (SOM) of 1â€“2 divisions and 50â€“100 private schools reachable within 24 months through direct partnerships, our near-term addressable base is on the order of a few hundred schools rather than the full national system.</w:t>
      </w:r>
    </w:p>
    <w:p w14:paraId="5FA00906" w14:textId="41AEE44E" w:rsidR="009815E6" w:rsidRDefault="009815E6" w:rsidP="009815E6">
      <w:pPr>
        <w:spacing w:before="120" w:line="276" w:lineRule="auto"/>
        <w:jc w:val="both"/>
        <w:rPr>
          <w:rFonts w:ascii="Arial" w:hAnsi="Arial" w:cs="Arial"/>
          <w:sz w:val="24"/>
        </w:rPr>
      </w:pPr>
      <w:r>
        <w:rPr>
          <w:rFonts w:ascii="Arial" w:hAnsi="Arial" w:cs="Arial"/>
          <w:sz w:val="24"/>
        </w:rPr>
        <w:t>Illustrative pricing: a per-school annual subscription in the range of PHP 15,000â€“40,000 (scaled by student population), or a per-division licensing fee for DepEd/LGU deployments, to be validated through pilot conversations with private schools and division offices.</w:t>
      </w:r>
    </w:p>
    <w:p w14:paraId="6D79503C" w14:textId="20C3F4C4" w:rsidR="009815E6" w:rsidRDefault="009815E6" w:rsidP="009815E6">
      <w:pPr>
        <w:spacing w:before="120" w:line="276" w:lineRule="auto"/>
        <w:jc w:val="both"/>
        <w:rPr>
          <w:rFonts w:ascii="Arial" w:hAnsi="Arial" w:cs="Arial"/>
          <w:sz w:val="24"/>
        </w:rPr>
      </w:pPr>
      <w:r>
        <w:rPr>
          <w:rFonts w:ascii="Arial" w:hAnsi="Arial" w:cs="Arial"/>
          <w:sz w:val="24"/>
        </w:rPr>
        <w:t>Illustrative cost base for Year 1: founder/team time (unpaid or grant-supported at this stage), cloud and speech-processing costs during pilot (estimated PHP 50,000â€“150,000), and pilot logistics (teacher training, device support, travel) estimated at PHP 100,000â€“200,000 for a 1â€“3 school pilot.</w:t>
      </w:r>
    </w:p>
    <w:p w14:paraId="1891D1CE" w14:textId="0B112667" w:rsidR="009815E6" w:rsidRDefault="009815E6" w:rsidP="009815E6">
      <w:pPr>
        <w:spacing w:before="120" w:line="276" w:lineRule="auto"/>
        <w:jc w:val="both"/>
        <w:rPr>
          <w:rFonts w:ascii="Arial" w:hAnsi="Arial" w:cs="Arial"/>
          <w:sz w:val="24"/>
        </w:rPr>
      </w:pPr>
      <w:r>
        <w:rPr>
          <w:rFonts w:ascii="Arial" w:hAnsi="Arial" w:cs="Arial"/>
          <w:sz w:val="24"/>
        </w:rPr>
        <w:t>Break-even is not expected within the pilot phase; it is contingent on securing either grant funding (DOST, DTI, Startup QC) or first paying private-school/NGO contracts within 12â€“18 months of pilot completion. We intend to firm up all figures in this section immediately following pilot data collection and initial customer conversations.</w:t>
      </w:r>
    </w:p>
    <w:p w14:paraId="2BFB0055" w14:textId="1238F728" w:rsidR="009815E6" w:rsidRDefault="009815E6" w:rsidP="009815E6">
      <w:pPr>
        <w:spacing w:before="120" w:after="120" w:line="276" w:lineRule="auto"/>
        <w:rPr>
          <w:rFonts w:ascii="Arial" w:hAnsi="Arial" w:cs="Arial"/>
          <w:b/>
          <w:sz w:val="28"/>
        </w:rPr>
      </w:pPr>
      <w:r>
        <w:rPr>
          <w:rFonts w:ascii="Arial" w:hAnsi="Arial" w:cs="Arial"/>
          <w:b/>
          <w:sz w:val="28"/>
        </w:rPr>
        <w:t>8. Feasibility</w:t>
      </w:r>
    </w:p>
    <w:p w14:paraId="2E6E61D8" w14:textId="08BA3E6E" w:rsidR="009815E6" w:rsidRDefault="009815E6" w:rsidP="009815E6">
      <w:pPr>
        <w:spacing w:before="120" w:line="276" w:lineRule="auto"/>
        <w:jc w:val="both"/>
        <w:rPr>
          <w:rFonts w:ascii="Arial" w:hAnsi="Arial" w:cs="Arial"/>
          <w:sz w:val="24"/>
        </w:rPr>
      </w:pPr>
      <w:r>
        <w:rPr>
          <w:rFonts w:ascii="Arial" w:hAnsi="Arial" w:cs="Arial"/>
          <w:sz w:val="24"/>
        </w:rPr>
        <w:t>Technical feasibility rests on four layers: a user layer (teacher, student, and â€” in later phases â€” parent); an input layer (student voice input paired with a karaoke-style reading passage); an AI processing layer (ASR, pronunciation/fluency analysis, error detection, reading-level classification, and recommendations); and a system layer (an offline-first Android app with optional encrypted cloud sync).</w:t>
      </w:r>
    </w:p>
    <w:p w14:paraId="6BF9C159" w14:textId="7EBFE50C" w:rsidR="009815E6" w:rsidRDefault="009815E6" w:rsidP="009815E6">
      <w:pPr>
        <w:spacing w:before="120" w:line="276" w:lineRule="auto"/>
        <w:jc w:val="both"/>
        <w:rPr>
          <w:rFonts w:ascii="Arial" w:hAnsi="Arial" w:cs="Arial"/>
          <w:sz w:val="24"/>
        </w:rPr>
      </w:pPr>
      <w:r>
        <w:rPr>
          <w:rFonts w:ascii="Arial" w:hAnsi="Arial" w:cs="Arial"/>
          <w:sz w:val="24"/>
        </w:rPr>
        <w:t>Operational feasibility across ASEAN contexts: in the Philippines and Indonesia, large class sizes create demand for faster assessment; in Vietnam, multilingual instruction requires adaptable speech models; in Thailand, teacher workload creates demand for automation. The offline-first design is intended to support usability in rural and low-connectivity environments common across these settings, though ASEAN expansion (Phase 4 below) remains a later-stage goal contingent on Philippine validation.</w:t>
      </w:r>
    </w:p>
    <w:p w14:paraId="22C2F8C5" w14:textId="32F70C54" w:rsidR="009815E6" w:rsidRDefault="009815E6" w:rsidP="009815E6">
      <w:pPr>
        <w:spacing w:before="120" w:line="276" w:lineRule="auto"/>
        <w:jc w:val="both"/>
        <w:rPr>
          <w:rFonts w:ascii="Arial" w:hAnsi="Arial" w:cs="Arial"/>
          <w:sz w:val="24"/>
        </w:rPr>
      </w:pPr>
      <w:r>
        <w:rPr>
          <w:rFonts w:ascii="Arial" w:hAnsi="Arial" w:cs="Arial"/>
          <w:sz w:val="24"/>
        </w:rPr>
        <w:t>Regulatory feasibility: processing children's voice data in the Philippines falls under the Data Privacy Act and National Privacy Commission rules. We plan to engage a privacy review and, if warranted by pilot scale, a designated Data Protection Officer, before any pilot that captures and stores student audio beyond on-device processing.</w:t>
      </w:r>
    </w:p>
    <w:p w14:paraId="4AA0B9D9" w14:textId="2DC8EBBB" w:rsidR="009815E6" w:rsidRDefault="009815E6" w:rsidP="009815E6">
      <w:pPr>
        <w:spacing w:before="120" w:line="276" w:lineRule="auto"/>
        <w:jc w:val="both"/>
        <w:rPr>
          <w:rFonts w:ascii="Arial" w:hAnsi="Arial" w:cs="Arial"/>
          <w:sz w:val="24"/>
        </w:rPr>
      </w:pPr>
      <w:r>
        <w:rPr>
          <w:rFonts w:ascii="Arial" w:hAnsi="Arial" w:cs="Arial"/>
          <w:sz w:val="24"/>
        </w:rPr>
        <w:t>Known technical risk: automatic speech recognition for Filipino children's speech in Tagalog, Cebuano, and other mother-tongue instruction is an underexplored problem relative to adult or English-language ASR. Our plan depends on collecting a labeled dataset of children's oral reading in target languages during the pilot phase to fine-tune and validate model accuracy before wider deployment.</w:t>
      </w:r>
    </w:p>
    <w:p w14:paraId="1008241A" w14:textId="5E2DFF68" w:rsidR="009815E6" w:rsidRDefault="009815E6" w:rsidP="009815E6">
      <w:pPr>
        <w:spacing w:before="120" w:after="120" w:line="276" w:lineRule="auto"/>
        <w:rPr>
          <w:rFonts w:ascii="Arial" w:hAnsi="Arial" w:cs="Arial"/>
          <w:b/>
          <w:sz w:val="28"/>
        </w:rPr>
      </w:pPr>
      <w:r>
        <w:rPr>
          <w:rFonts w:ascii="Arial" w:hAnsi="Arial" w:cs="Arial"/>
          <w:b/>
          <w:sz w:val="28"/>
        </w:rPr>
        <w:t>9. Go-to-Market &amp; Outreach Strategy</w:t>
      </w:r>
    </w:p>
    <w:p w14:paraId="25AC1B80" w14:textId="7EE622D2" w:rsidR="009815E6" w:rsidRDefault="009815E6" w:rsidP="009815E6">
      <w:pPr>
        <w:spacing w:before="120" w:line="276" w:lineRule="auto"/>
        <w:jc w:val="both"/>
        <w:rPr>
          <w:rFonts w:ascii="Arial" w:hAnsi="Arial" w:cs="Arial"/>
          <w:sz w:val="24"/>
        </w:rPr>
      </w:pPr>
      <w:r>
        <w:rPr>
          <w:rFonts w:ascii="Arial" w:hAnsi="Arial" w:cs="Arial"/>
          <w:sz w:val="24"/>
        </w:rPr>
        <w:t>ReadiLY's outreach follows a "School-to-Home Viral Loop": Teachers â†’ Students â†’ Parents â†’ Community â†’ More Teachers.</w:t>
      </w:r>
    </w:p>
    <w:p w14:paraId="5DD2BBC9" w14:textId="226D82EF" w:rsidR="009815E6" w:rsidRDefault="009815E6" w:rsidP="009815E6">
      <w:pPr>
        <w:spacing w:before="120" w:line="276" w:lineRule="auto"/>
        <w:jc w:val="both"/>
        <w:rPr>
          <w:rFonts w:ascii="Arial" w:hAnsi="Arial" w:cs="Arial"/>
          <w:sz w:val="24"/>
        </w:rPr>
      </w:pPr>
      <w:r>
        <w:rPr>
          <w:rFonts w:ascii="Arial" w:hAnsi="Arial" w:cs="Arial"/>
          <w:sz w:val="24"/>
        </w:rPr>
        <w:t>Phase 1 â€” School Activation: live app demos with teachers and students, AI-literacy sessions in pilot schools, and collection of real testimonials and usage examples (est. reach: 300â€“800 individuals).</w:t>
      </w:r>
    </w:p>
    <w:p w14:paraId="5E44DAC5" w14:textId="4744FEC8" w:rsidR="009815E6" w:rsidRDefault="009815E6" w:rsidP="009815E6">
      <w:pPr>
        <w:spacing w:before="120" w:line="276" w:lineRule="auto"/>
        <w:jc w:val="both"/>
        <w:rPr>
          <w:rFonts w:ascii="Arial" w:hAnsi="Arial" w:cs="Arial"/>
          <w:sz w:val="24"/>
        </w:rPr>
      </w:pPr>
      <w:r>
        <w:rPr>
          <w:rFonts w:ascii="Arial" w:hAnsi="Arial" w:cs="Arial"/>
          <w:sz w:val="24"/>
        </w:rPr>
        <w:t>Phase 2 â€” Parent &amp; Household Engagement: distributing app access via QR codes and Messenger groups, launching "Read at Home" activities, and encouraging peer sharing among parents (est. reach: 500â€“1,000 individuals).</w:t>
      </w:r>
    </w:p>
    <w:p w14:paraId="3CEF2828" w14:textId="7BE1FEBC" w:rsidR="009815E6" w:rsidRDefault="009815E6" w:rsidP="009815E6">
      <w:pPr>
        <w:spacing w:before="120" w:line="276" w:lineRule="auto"/>
        <w:jc w:val="both"/>
        <w:rPr>
          <w:rFonts w:ascii="Arial" w:hAnsi="Arial" w:cs="Arial"/>
          <w:sz w:val="24"/>
        </w:rPr>
      </w:pPr>
      <w:r>
        <w:rPr>
          <w:rFonts w:ascii="Arial" w:hAnsi="Arial" w:cs="Arial"/>
          <w:sz w:val="24"/>
        </w:rPr>
        <w:t>Phase 3 â€” AI Literacy Workshops: simple, localized workshops on AI in education, run in partnership with schools, youth organizations, and community groups (est. reach: 300+ individuals).</w:t>
      </w:r>
    </w:p>
    <w:p w14:paraId="27F66876" w14:textId="5D8465E5" w:rsidR="009815E6" w:rsidRDefault="009815E6" w:rsidP="009815E6">
      <w:pPr>
        <w:spacing w:before="120" w:line="276" w:lineRule="auto"/>
        <w:jc w:val="both"/>
        <w:rPr>
          <w:rFonts w:ascii="Arial" w:hAnsi="Arial" w:cs="Arial"/>
          <w:sz w:val="24"/>
        </w:rPr>
      </w:pPr>
      <w:r>
        <w:rPr>
          <w:rFonts w:ascii="Arial" w:hAnsi="Arial" w:cs="Arial"/>
          <w:sz w:val="24"/>
        </w:rPr>
        <w:t>Phase 4 â€” Public Engagement: mobilizing school communities and networks, short-form storytelling content featuring teacher and student impact, and organic spread through group chats and social platforms (est. reach: 1,000â€“2,000+ individuals).</w:t>
      </w:r>
    </w:p>
    <w:p w14:paraId="3B45E6D2" w14:textId="4CB3C769" w:rsidR="009815E6" w:rsidRDefault="009815E6" w:rsidP="009815E6">
      <w:pPr>
        <w:spacing w:before="120" w:after="120" w:line="276" w:lineRule="auto"/>
        <w:rPr>
          <w:rFonts w:ascii="Arial" w:hAnsi="Arial" w:cs="Arial"/>
          <w:b/>
          <w:sz w:val="28"/>
        </w:rPr>
      </w:pPr>
      <w:r>
        <w:rPr>
          <w:rFonts w:ascii="Arial" w:hAnsi="Arial" w:cs="Arial"/>
          <w:b/>
          <w:sz w:val="28"/>
        </w:rPr>
        <w:t>10. Scalability Roadmap</w:t>
      </w:r>
    </w:p>
    <w:p w14:paraId="27F5E4F5" w14:textId="59942AF0" w:rsidR="009815E6" w:rsidRDefault="009815E6" w:rsidP="009815E6">
      <w:pPr>
        <w:spacing w:before="120" w:line="276" w:lineRule="auto"/>
        <w:jc w:val="both"/>
        <w:rPr>
          <w:rFonts w:ascii="Arial" w:hAnsi="Arial" w:cs="Arial"/>
          <w:sz w:val="24"/>
        </w:rPr>
      </w:pPr>
      <w:r>
        <w:rPr>
          <w:rFonts w:ascii="Arial" w:hAnsi="Arial" w:cs="Arial"/>
          <w:sz w:val="24"/>
        </w:rPr>
        <w:t>Phase 1 â€” Pilot (Local Implementation): deploy in 1â€“3 public schools (Grades 1â€“3), onboard teachers, and test real classroom usage over a 2â€“4 week period with 2â€“3 teachers and roughly 100â€“150 students.</w:t>
      </w:r>
    </w:p>
    <w:p w14:paraId="24401B45" w14:textId="51AA2858" w:rsidR="009815E6" w:rsidRDefault="009815E6" w:rsidP="009815E6">
      <w:pPr>
        <w:spacing w:before="120" w:line="276" w:lineRule="auto"/>
        <w:jc w:val="both"/>
        <w:rPr>
          <w:rFonts w:ascii="Arial" w:hAnsi="Arial" w:cs="Arial"/>
          <w:sz w:val="24"/>
        </w:rPr>
      </w:pPr>
      <w:r>
        <w:rPr>
          <w:rFonts w:ascii="Arial" w:hAnsi="Arial" w:cs="Arial"/>
          <w:sz w:val="24"/>
        </w:rPr>
        <w:t>Phase 2 â€” Community Expansion: extend usage to parents and households through QR-based access and home learning support.</w:t>
      </w:r>
    </w:p>
    <w:p w14:paraId="07DA890B" w14:textId="4C597631" w:rsidR="009815E6" w:rsidRDefault="009815E6" w:rsidP="009815E6">
      <w:pPr>
        <w:spacing w:before="120" w:line="276" w:lineRule="auto"/>
        <w:jc w:val="both"/>
        <w:rPr>
          <w:rFonts w:ascii="Arial" w:hAnsi="Arial" w:cs="Arial"/>
          <w:sz w:val="24"/>
        </w:rPr>
      </w:pPr>
      <w:r>
        <w:rPr>
          <w:rFonts w:ascii="Arial" w:hAnsi="Arial" w:cs="Arial"/>
          <w:sz w:val="24"/>
        </w:rPr>
        <w:t>Phase 3 â€” Institutional Scaling: partner with school divisions, LGUs, and NGOs to expand across districts and integrate into existing literacy programs.</w:t>
      </w:r>
    </w:p>
    <w:p w14:paraId="1F1824EC" w14:textId="38BE6197" w:rsidR="009815E6" w:rsidRDefault="009815E6" w:rsidP="009815E6">
      <w:pPr>
        <w:spacing w:before="120" w:line="276" w:lineRule="auto"/>
        <w:jc w:val="both"/>
        <w:rPr>
          <w:rFonts w:ascii="Arial" w:hAnsi="Arial" w:cs="Arial"/>
          <w:sz w:val="24"/>
        </w:rPr>
      </w:pPr>
      <w:r>
        <w:rPr>
          <w:rFonts w:ascii="Arial" w:hAnsi="Arial" w:cs="Arial"/>
          <w:sz w:val="24"/>
        </w:rPr>
        <w:t>Phase 4 â€” ASEAN Adaptation: localize language models and pursue deployment in markets such as Indonesia, Vietnam, and Thailand, where similar literacy challenges exist.</w:t>
      </w:r>
    </w:p>
    <w:p w14:paraId="7AB2A376" w14:textId="20674B55" w:rsidR="009815E6" w:rsidRDefault="009815E6" w:rsidP="009815E6">
      <w:pPr>
        <w:spacing w:before="120" w:line="276" w:lineRule="auto"/>
        <w:jc w:val="both"/>
        <w:rPr>
          <w:rFonts w:ascii="Arial" w:hAnsi="Arial" w:cs="Arial"/>
          <w:sz w:val="24"/>
        </w:rPr>
      </w:pPr>
      <w:r>
        <w:rPr>
          <w:rFonts w:ascii="Arial" w:hAnsi="Arial" w:cs="Arial"/>
          <w:sz w:val="24"/>
        </w:rPr>
        <w:t>Measurable impact at three levels â€” classroom (assessment time reduced from ~15 to ~3 minutes per student, 100% class coverage instead of partial sampling), student (earlier identification of phonics, fluency, and comprehension gaps, enabling timely intervention), and system (data-driven insights for schools and divisions, contributing to reduced learning poverty).</w:t>
      </w:r>
    </w:p>
    <w:p w14:paraId="35C1BF64" w14:textId="541EEEED" w:rsidR="009815E6" w:rsidRDefault="009815E6" w:rsidP="009815E6">
      <w:pPr>
        <w:spacing w:before="120" w:after="120" w:line="276" w:lineRule="auto"/>
        <w:rPr>
          <w:rFonts w:ascii="Arial" w:hAnsi="Arial" w:cs="Arial"/>
          <w:b/>
          <w:sz w:val="28"/>
        </w:rPr>
      </w:pPr>
      <w:r>
        <w:rPr>
          <w:rFonts w:ascii="Arial" w:hAnsi="Arial" w:cs="Arial"/>
          <w:b/>
          <w:sz w:val="28"/>
        </w:rPr>
        <w:t>11. Team</w:t>
      </w:r>
    </w:p>
    <w:p w14:paraId="41C0CBC5" w14:textId="2EC80E3B" w:rsidR="009815E6" w:rsidRDefault="009815E6" w:rsidP="009815E6">
      <w:pPr>
        <w:spacing w:before="120" w:line="276" w:lineRule="auto"/>
        <w:jc w:val="both"/>
        <w:rPr>
          <w:rFonts w:ascii="Arial" w:hAnsi="Arial" w:cs="Arial"/>
          <w:sz w:val="24"/>
        </w:rPr>
      </w:pPr>
      <w:r>
        <w:rPr>
          <w:rFonts w:ascii="Arial" w:hAnsi="Arial" w:cs="Arial"/>
          <w:sz w:val="24"/>
        </w:rPr>
        <w:t>ReadiLY is built by Team IKIYUH: Yhasmen Nogales and Caryl Joy A. Atienza, undergraduate students at the Polytechnic University of the Philippines.</w:t>
      </w:r>
    </w:p>
    <w:p w14:paraId="4BD6B930" w14:textId="37B4E9D9" w:rsidR="009815E6" w:rsidRDefault="009815E6" w:rsidP="009815E6">
      <w:pPr>
        <w:spacing w:before="120" w:line="276" w:lineRule="auto"/>
        <w:jc w:val="both"/>
        <w:rPr>
          <w:rFonts w:ascii="Arial" w:hAnsi="Arial" w:cs="Arial"/>
          <w:sz w:val="24"/>
        </w:rPr>
      </w:pPr>
      <w:r>
        <w:rPr>
          <w:rFonts w:ascii="Arial" w:hAnsi="Arial" w:cs="Arial"/>
          <w:sz w:val="24"/>
        </w:rPr>
        <w:t>As a two-person student team, our current gaps are ML/ASR engineering depth, an education domain expert or advisor with direct DepEd/classroom experience, and B2G sales relationships. Our near-term plan is to close these gaps through mentorship (Startup QC), advisor recruitment from education and speech-technology backgrounds, and partnership conversations with NGOs already embedded in target schools, rather than immediate hiring.</w:t>
      </w:r>
    </w:p>
    <w:p w14:paraId="327BFF7B" w14:textId="0548B958" w:rsidR="009815E6" w:rsidRDefault="009815E6" w:rsidP="009815E6">
      <w:pPr>
        <w:spacing w:before="120" w:after="120" w:line="276" w:lineRule="auto"/>
        <w:rPr>
          <w:rFonts w:ascii="Arial" w:hAnsi="Arial" w:cs="Arial"/>
          <w:b/>
          <w:sz w:val="28"/>
        </w:rPr>
      </w:pPr>
      <w:r>
        <w:rPr>
          <w:rFonts w:ascii="Arial" w:hAnsi="Arial" w:cs="Arial"/>
          <w:b/>
          <w:sz w:val="28"/>
        </w:rPr>
        <w:t>12. Risks &amp; Mitigation</w:t>
      </w:r>
    </w:p>
    <w:p w14:paraId="51FB1F0A" w14:textId="74494EC2" w:rsidR="009815E6" w:rsidRDefault="009815E6" w:rsidP="009815E6">
      <w:pPr>
        <w:spacing w:before="120" w:line="276" w:lineRule="auto"/>
        <w:jc w:val="both"/>
        <w:rPr>
          <w:rFonts w:ascii="Arial" w:hAnsi="Arial" w:cs="Arial"/>
          <w:sz w:val="24"/>
        </w:rPr>
      </w:pPr>
      <w:r>
        <w:rPr>
          <w:rFonts w:ascii="Arial" w:hAnsi="Arial" w:cs="Arial"/>
          <w:sz w:val="24"/>
        </w:rPr>
        <w:t>Data &amp; privacy risk: handling children's voice recordings requires Data Privacy Act compliance. Mitigation: on-device processing by default, minimal retention, and a privacy review before any pilot involving stored audio.</w:t>
      </w:r>
    </w:p>
    <w:p w14:paraId="3B5F57AC" w14:textId="1B684E50" w:rsidR="009815E6" w:rsidRDefault="009815E6" w:rsidP="009815E6">
      <w:pPr>
        <w:spacing w:before="120" w:line="276" w:lineRule="auto"/>
        <w:jc w:val="both"/>
        <w:rPr>
          <w:rFonts w:ascii="Arial" w:hAnsi="Arial" w:cs="Arial"/>
          <w:sz w:val="24"/>
        </w:rPr>
      </w:pPr>
      <w:r>
        <w:rPr>
          <w:rFonts w:ascii="Arial" w:hAnsi="Arial" w:cs="Arial"/>
          <w:sz w:val="24"/>
        </w:rPr>
        <w:t>Technical risk: ASR accuracy for Filipino children's speech across mother-tongue languages is unproven at our current stage. Mitigation: dedicated data collection during the pilot and staged accuracy validation before broader rollout.</w:t>
      </w:r>
    </w:p>
    <w:p w14:paraId="0B9118F9" w14:textId="07265255" w:rsidR="009815E6" w:rsidRDefault="009815E6" w:rsidP="009815E6">
      <w:pPr>
        <w:spacing w:before="120" w:line="276" w:lineRule="auto"/>
        <w:jc w:val="both"/>
        <w:rPr>
          <w:rFonts w:ascii="Arial" w:hAnsi="Arial" w:cs="Arial"/>
          <w:sz w:val="24"/>
        </w:rPr>
      </w:pPr>
      <w:r>
        <w:rPr>
          <w:rFonts w:ascii="Arial" w:hAnsi="Arial" w:cs="Arial"/>
          <w:sz w:val="24"/>
        </w:rPr>
        <w:t>Adoption risk: teacher willingness to change existing assessment habits, and device/connectivity constraints in some schools. Mitigation: offline-first design, minimal device requirements, and hands-on teacher onboarding during pilots.</w:t>
      </w:r>
    </w:p>
    <w:p w14:paraId="64313E2D" w14:textId="217CA5C0" w:rsidR="009815E6" w:rsidRDefault="009815E6" w:rsidP="009815E6">
      <w:pPr>
        <w:spacing w:before="120" w:line="276" w:lineRule="auto"/>
        <w:jc w:val="both"/>
        <w:rPr>
          <w:rFonts w:ascii="Arial" w:hAnsi="Arial" w:cs="Arial"/>
          <w:sz w:val="24"/>
        </w:rPr>
      </w:pPr>
      <w:r>
        <w:rPr>
          <w:rFonts w:ascii="Arial" w:hAnsi="Arial" w:cs="Arial"/>
          <w:sz w:val="24"/>
        </w:rPr>
        <w:t>Go-to-market risk: long B2G sales cycles with DepEd/LGUs could stall early revenue. Mitigation: sequence private-school and NGO partnerships first to generate revenue and evidence before pursuing government procurement.</w:t>
      </w:r>
    </w:p>
    <w:p w14:paraId="45EF71B8" w14:textId="4E74F302" w:rsidR="009815E6" w:rsidRDefault="009815E6" w:rsidP="009815E6">
      <w:pPr>
        <w:spacing w:before="120" w:line="276" w:lineRule="auto"/>
        <w:jc w:val="both"/>
        <w:rPr>
          <w:rFonts w:ascii="Arial" w:hAnsi="Arial" w:cs="Arial"/>
          <w:sz w:val="24"/>
        </w:rPr>
      </w:pPr>
      <w:r>
        <w:rPr>
          <w:rFonts w:ascii="Arial" w:hAnsi="Arial" w:cs="Arial"/>
          <w:sz w:val="24"/>
        </w:rPr>
        <w:t>Team capacity risk: a two-person student team taking on ML engineering, education design, and B2G sales simultaneously. Mitigation: prioritize advisor and mentor relationships (including Startup QC) over premature hiring, and scope the MVP to the smallest version that proves the core diagnostic loop.</w:t>
      </w:r>
    </w:p>
    <w:p w14:paraId="779B7EF2" w14:textId="23620759" w:rsidR="009815E6" w:rsidRDefault="009815E6">
      <w:pPr>
        <w:rPr>
          <w:rFonts w:ascii="Arial" w:hAnsi="Arial" w:cs="Arial"/>
          <w:sz w:val="24"/>
        </w:rPr>
      </w:pPr>
      <w:r>
        <w:rPr>
          <w:rFonts w:ascii="Arial" w:hAnsi="Arial" w:cs="Arial"/>
          <w:sz w:val="24"/>
        </w:rPr>
        <w:br w:type="page"/>
      </w:r>
    </w:p>
    <w:p w14:paraId="02C09782" w14:textId="403E1A78" w:rsidR="009815E6" w:rsidRDefault="009815E6" w:rsidP="009815E6">
      <w:pPr>
        <w:spacing w:before="120" w:line="276" w:lineRule="auto"/>
        <w:rPr>
          <w:rFonts w:ascii="Arial" w:hAnsi="Arial" w:cs="Arial"/>
          <w:b/>
          <w:sz w:val="28"/>
        </w:rPr>
      </w:pPr>
      <w:r>
        <w:rPr>
          <w:rFonts w:ascii="Arial" w:hAnsi="Arial" w:cs="Arial"/>
          <w:b/>
          <w:sz w:val="28"/>
        </w:rPr>
        <w:t>References</w:t>
      </w:r>
    </w:p>
    <w:p w14:paraId="298A39F3" w14:textId="777221B4" w:rsidR="009815E6" w:rsidRDefault="009815E6" w:rsidP="009815E6">
      <w:pPr>
        <w:spacing w:before="120" w:after="120" w:line="276" w:lineRule="auto"/>
        <w:jc w:val="both"/>
        <w:rPr>
          <w:rFonts w:ascii="Arial" w:hAnsi="Arial" w:cs="Arial"/>
          <w:sz w:val="24"/>
        </w:rPr>
      </w:pPr>
      <w:r>
        <w:rPr>
          <w:rFonts w:ascii="Arial" w:hAnsi="Arial" w:cs="Arial"/>
          <w:sz w:val="24"/>
        </w:rPr>
        <w:t>Department of Education [DepEd] Philippines. Early Grade Literacy Reports. https://www.deped.gov.ph/2026/01/16/reading-intervention-ng-deped-naghatid-ng-positibong-resulta-sa-early-grade-learners/</w:t>
      </w:r>
    </w:p>
    <w:p w14:paraId="7083F444" w14:textId="33608FAF" w:rsidR="009815E6" w:rsidRDefault="009815E6" w:rsidP="009815E6">
      <w:pPr>
        <w:spacing w:before="120" w:after="120" w:line="276" w:lineRule="auto"/>
        <w:jc w:val="both"/>
        <w:rPr>
          <w:rFonts w:ascii="Arial" w:hAnsi="Arial" w:cs="Arial"/>
          <w:sz w:val="24"/>
        </w:rPr>
      </w:pPr>
      <w:r>
        <w:rPr>
          <w:rFonts w:ascii="Arial" w:hAnsi="Arial" w:cs="Arial"/>
          <w:sz w:val="24"/>
        </w:rPr>
        <w:t>OECD. (2019). PISA 2018 Results (Volume I): What Students Know and Can Do. OECD Publishing. https://doi.org/10.1787/5f07c754-en</w:t>
      </w:r>
    </w:p>
    <w:p w14:paraId="1A74F628" w14:textId="62D915D3" w:rsidR="009815E6" w:rsidRDefault="009815E6" w:rsidP="009815E6">
      <w:pPr>
        <w:spacing w:before="120" w:after="120" w:line="276" w:lineRule="auto"/>
        <w:jc w:val="both"/>
        <w:rPr>
          <w:rFonts w:ascii="Arial" w:hAnsi="Arial" w:cs="Arial"/>
          <w:sz w:val="24"/>
        </w:rPr>
      </w:pPr>
      <w:r>
        <w:rPr>
          <w:rFonts w:ascii="Arial" w:hAnsi="Arial" w:cs="Arial"/>
          <w:sz w:val="24"/>
        </w:rPr>
        <w:t>UNESCO. (2021). Global Education Monitoring Report. https://digitallibrary.un.org/record/4020380</w:t>
      </w:r>
    </w:p>
    <w:p w14:paraId="3D272FAC" w14:textId="33C60671" w:rsidR="009815E6" w:rsidRDefault="009815E6" w:rsidP="009815E6">
      <w:pPr>
        <w:spacing w:before="120" w:after="120" w:line="276" w:lineRule="auto"/>
        <w:jc w:val="both"/>
        <w:rPr>
          <w:rFonts w:ascii="Arial" w:hAnsi="Arial" w:cs="Arial"/>
          <w:sz w:val="24"/>
        </w:rPr>
      </w:pPr>
      <w:r>
        <w:rPr>
          <w:rFonts w:ascii="Arial" w:hAnsi="Arial" w:cs="Arial"/>
          <w:sz w:val="24"/>
        </w:rPr>
        <w:t>World Bank. (2022). The State of Global Learning Poverty: 2022 Update. https://www.worldbank.org/en/topic/education/publication/state-of-global-learning-poverty</w:t>
      </w:r>
    </w:p>
    <w:p w14:paraId="4EF1E714" w14:textId="392872F6" w:rsidR="009815E6" w:rsidRDefault="009815E6" w:rsidP="009815E6">
      <w:pPr>
        <w:spacing w:before="120" w:after="120" w:line="276" w:lineRule="auto"/>
        <w:jc w:val="both"/>
        <w:rPr>
          <w:rFonts w:ascii="Arial" w:hAnsi="Arial" w:cs="Arial"/>
          <w:sz w:val="24"/>
        </w:rPr>
      </w:pPr>
      <w:r>
        <w:rPr>
          <w:rFonts w:ascii="Arial" w:hAnsi="Arial" w:cs="Arial"/>
          <w:sz w:val="24"/>
        </w:rPr>
        <w:t>World Economic Forum. (2023). Future of Jobs Report.</w:t>
      </w:r>
    </w:p>
    <w:p w14:paraId="5FCF1345" w14:textId="77777777" w:rsidR="009815E6" w:rsidRPr="009815E6" w:rsidRDefault="009815E6" w:rsidP="009815E6">
      <w:pPr>
        <w:spacing w:before="120" w:after="120" w:line="276" w:lineRule="auto"/>
        <w:jc w:val="both"/>
        <w:rPr>
          <w:rFonts w:ascii="Arial" w:hAnsi="Arial" w:cs="Arial"/>
          <w:sz w:val="24"/>
        </w:rPr>
      </w:pPr>
    </w:p>
    <w:sectPr w:rsidR="009815E6" w:rsidRPr="009815E6" w:rsidSect="009815E6">
      <w:footerReference w:type="default" r:id="rId12"/>
      <w:pgSz w:w="12240" w:h="1872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BA38D" w14:textId="77777777" w:rsidR="009815E6" w:rsidRDefault="009815E6" w:rsidP="009815E6">
      <w:pPr>
        <w:spacing w:after="0" w:line="240" w:lineRule="auto"/>
      </w:pPr>
      <w:r>
        <w:separator/>
      </w:r>
    </w:p>
  </w:endnote>
  <w:endnote w:type="continuationSeparator" w:id="0">
    <w:p w14:paraId="506AE5AC" w14:textId="77777777" w:rsidR="009815E6" w:rsidRDefault="009815E6" w:rsidP="00981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22791" w14:textId="77777777" w:rsidR="009815E6" w:rsidRDefault="009815E6" w:rsidP="0061400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2D8246E6" w14:textId="77777777" w:rsidR="009815E6" w:rsidRDefault="009815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3DE17" w14:textId="77777777" w:rsidR="009815E6" w:rsidRDefault="009815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25AC8" w14:textId="77777777" w:rsidR="009815E6" w:rsidRDefault="009815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4DB04" w14:textId="1F36ED22" w:rsidR="009815E6" w:rsidRDefault="009815E6" w:rsidP="0061400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0F02C068" w14:textId="77777777" w:rsidR="009815E6" w:rsidRDefault="009815E6" w:rsidP="009815E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1FDF8" w14:textId="77777777" w:rsidR="009815E6" w:rsidRDefault="009815E6" w:rsidP="009815E6">
      <w:pPr>
        <w:spacing w:after="0" w:line="240" w:lineRule="auto"/>
      </w:pPr>
      <w:r>
        <w:separator/>
      </w:r>
    </w:p>
  </w:footnote>
  <w:footnote w:type="continuationSeparator" w:id="0">
    <w:p w14:paraId="441B62D9" w14:textId="77777777" w:rsidR="009815E6" w:rsidRDefault="009815E6" w:rsidP="009815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07FB2" w14:textId="77777777" w:rsidR="009815E6" w:rsidRDefault="009815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0D1F1" w14:textId="77777777" w:rsidR="009815E6" w:rsidRDefault="009815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A55C5" w14:textId="77777777" w:rsidR="009815E6" w:rsidRDefault="009815E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5E6"/>
    <w:rsid w:val="009815E6"/>
    <w:rsid w:val="00F651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FADB6"/>
  <w15:chartTrackingRefBased/>
  <w15:docId w15:val="{9B37563F-BF4F-466F-B659-A07BC143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15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5E6"/>
  </w:style>
  <w:style w:type="paragraph" w:styleId="Footer">
    <w:name w:val="footer"/>
    <w:basedOn w:val="Normal"/>
    <w:link w:val="FooterChar"/>
    <w:uiPriority w:val="99"/>
    <w:unhideWhenUsed/>
    <w:rsid w:val="009815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5E6"/>
  </w:style>
  <w:style w:type="character" w:styleId="PageNumber">
    <w:name w:val="page number"/>
    <w:basedOn w:val="DefaultParagraphFont"/>
    <w:uiPriority w:val="99"/>
    <w:semiHidden/>
    <w:unhideWhenUsed/>
    <w:rsid w:val="00981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2589</Words>
  <Characters>14763</Characters>
  <Application>Microsoft Office Word</Application>
  <DocSecurity>0</DocSecurity>
  <Lines>123</Lines>
  <Paragraphs>34</Paragraphs>
  <ScaleCrop>false</ScaleCrop>
  <Company/>
  <LinksUpToDate>false</LinksUpToDate>
  <CharactersWithSpaces>17318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Yhasmen Nogales</dc:creator>
  <cp:keywords/>
  <dc:description/>
  <cp:lastModifiedBy>Yhasmen Nogales</cp:lastModifiedBy>
  <cp:revision>1</cp:revision>
  <dcterms:created xsi:type="dcterms:W3CDTF">2026-07-28T02:32:00Z</dcterms:created>
  <dcterms:modified xsi:type="dcterms:W3CDTF">2026-07-28T02:32:00Z</dcterms:modified>
</cp:coreProperties>
</file>