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720" w:right="720" w:bottom="720" w:left="720" w:header="360" w:footer="360" w:gutter="undefined"/>
      <w:footerReference r:id="rId12" w:type="default"/>
    </w:sectPr>
    <w:p>
      <w:pPr>
        <w:spacing w:lineRule="auto"/>
      </w:pPr>
      <w:r>
        <w:rPr/>
        <w:t xml:space="preserve"/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drawing>
                <wp:inline distB="0" distL="0" distR="0" distT="0">
                  <wp:extent cx="3429000" cy="2730954"/>
                  <wp:effectExtent b="0" l="0" r="0" t="0"/>
                  <wp:docPr id="2" name="image-PwWUtiE35DfsRgQT6oN7i.png"/>
                  <a:graphic>
                    <a:graphicData uri="http://schemas.openxmlformats.org/drawingml/2006/picture">
                      <pic:pic>
                        <pic:nvPicPr>
                          <pic:cNvPr id="2" name="image-PwWUtiE35DfsRgQT6oN7i.png" descr=""/>
                          <pic:cNvPicPr/>
                        </pic:nvPicPr>
                        <pic:blipFill>
                          <a:blip r:embed="rId7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27309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20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0D5C46"/>
                <w:sz w:val="20"/>
                <w:b/>
              </w:rPr>
              <w:t xml:space="preserve">Casa Bonita Oregón</w:t>
            </w:r>
          </w:p>
        </w:tc>
        <w:tc>
          <w:tcPr>
            <w:gridSpan w:val="2"/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20"/>
              </w:rPr>
              <w:t xml:space="preserve">PLAN DE CONTINGENCIA ANTE EMERGENCIAS</w:t>
            </w:r>
          </w:p>
        </w:tc>
      </w:tr>
      <w:tr>
        <w:trPr>
          <w:cantSplit/>
        </w:trPr>
        <w:tc>
          <w:tcPr>
            <w:gridSpan w:val="3"/>
            <w:shd w:val="clear" w:fill="ffffff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9"/>
              </w:rPr>
              <w:t xml:space="preserve">ESPECIALIDAD: INSTALACIONES ELÉCTRICAS</w:t>
            </w:r>
          </w:p>
        </w:tc>
      </w:tr>
      <w:tr>
        <w:trPr>
          <w:cantSplit/>
        </w:trPr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Código: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CBO-SST-PCE-IE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Versión: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01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Revisión: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00</w:t>
            </w:r>
          </w:p>
        </w:tc>
      </w:tr>
      <w:tr>
        <w:trPr>
          <w:cantSplit/>
        </w:trPr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Fecha de creación: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18/10/2026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Elaborado: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SST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Aprobado: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GG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lineRule="auto"/>
            </w:pPr>
            <w:r>
              <w:rPr>
                <w:color w:val="5E8676"/>
                <w:sz w:val="16"/>
              </w:rPr>
              <w:t xml:space="preserve">OBRA / CLIENTE: 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spacing w:lineRule="auto"/>
      </w:pPr>
      <w:r>
        <w:rPr/>
        <w:drawing>
          <wp:inline distB="0" distL="0" distR="0" distT="0">
            <wp:extent cx="6858000" cy="5461907"/>
            <wp:effectExtent b="0" l="0" r="0" t="0"/>
            <wp:docPr id="4" name="image-xaaXqmdrhurY4poNKFNhk.png"/>
            <a:graphic>
              <a:graphicData uri="http://schemas.openxmlformats.org/drawingml/2006/picture">
                <pic:pic>
                  <pic:nvPicPr>
                    <pic:cNvPr id="4" name="image-xaaXqmdrhurY4poNKFNhk.png" descr=""/>
                    <pic:cNvPicPr/>
                  </pic:nvPicPr>
                  <pic:blipFill>
                    <a:blip r:embed="rId9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461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>Casa Bonita Oregón</w:t>
      </w:r>
    </w:p>
    <w:p>
      <w:pPr>
        <w:spacing w:lineRule="auto"/>
      </w:pPr>
      <w:r>
        <w:rPr/>
        <w:t xml:space="preserve">GASFITERÍA · ELECTRICIDAD</w:t>
      </w:r>
    </w:p>
    <w:p>
      <w:pPr>
        <w:pStyle w:val="Heading1"/>
        <w:spacing w:lineRule="auto"/>
      </w:pPr>
      <w:r>
        <w:rPr/>
        <w:t xml:space="preserve">Plan de Contingencia ante Emergencias</w:t>
      </w:r>
    </w:p>
    <w:p>
      <w:pPr>
        <w:spacing w:lineRule="auto"/>
      </w:pPr>
      <w:r>
        <w:rPr/>
        <w:t xml:space="preserve">“INSTALACIONES ELÉCTRICAS”</w:t>
      </w:r>
    </w:p>
    <w:p>
      <w:pPr>
        <w:spacing w:lineRule="auto"/>
      </w:pPr>
      <w:r>
        <w:rPr/>
        <w:t xml:space="preserve">Entubado en losas y muros · Cableado de circuitos · Tableros e interruptores termomagnéticos · Tomacorrientes, interruptores y luminarias · Pozo a tierra · Pruebas eléctricas y energización</w:t>
      </w:r>
    </w:p>
    <w:p>
      <w:pPr>
        <w:spacing w:lineRule="auto"/>
      </w:pPr>
      <w:r>
        <w:rPr/>
        <w:t xml:space="preserve">OBRA:</w:t>
      </w:r>
    </w:p>
    <w:p>
      <w:pPr>
        <w:spacing w:lineRule="auto"/>
      </w:pPr>
      <w:r>
        <w:rPr/>
        <w:t xml:space="preserve"> 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7"/>
              </w:rPr>
              <w:t xml:space="preserve">ELABORADO POR: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7"/>
              </w:rPr>
              <w:t xml:space="preserve">REVISADO POR: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7"/>
              </w:rPr>
              <w:t xml:space="preserve">APROBADO POR: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/>
                  <wp:effectExtent b="0" l="0" r="0" t="0"/>
                  <wp:docPr id="6" name="image-cHuIH1G9uTn8nZvAjF18i.png"/>
                  <a:graphic>
                    <a:graphicData uri="http://schemas.openxmlformats.org/drawingml/2006/picture">
                      <pic:pic>
                        <pic:nvPicPr>
                          <pic:cNvPr id="6" name="image-cHuIH1G9uTn8nZvAjF18i.png" descr=""/>
                          <pic:cNvPicPr/>
                        </pic:nvPicPr>
                        <pic:blipFill>
                          <a:blip r:embed="rId11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Jesús Donato Villar Bendezú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DNI 72906209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f4ede0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7"/>
              </w:rPr>
              <w:t xml:space="preserve">SUPERVISOR DE SST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f4ede0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7"/>
              </w:rPr>
              <w:t xml:space="preserve">RESPONSABLE TÉCNICO / MAESTRO DE OBRA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f4ede0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7"/>
              </w:rPr>
              <w:t xml:space="preserve">GERENTE GENERAL</w:t>
            </w:r>
          </w:p>
        </w:tc>
      </w:tr>
    </w:tbl>
    <w:p>
      <w:pPr>
        <w:spacing w:lineRule="auto"/>
      </w:pPr>
      <w:r>
        <w:rPr/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7"/>
              </w:rPr>
              <w:t xml:space="preserve">Versión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7"/>
              </w:rPr>
              <w:t xml:space="preserve">Fecha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7"/>
              </w:rPr>
              <w:t xml:space="preserve">Descripción del cambio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18/10/2026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Emisión inicial del documento (CBO-SST-PCE-IE).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0d5c46"/>
          <w:b/>
          <w:sz w:val="22"/>
        </w:rPr>
        <w:t xml:space="preserve">1. Objetivo</w:t>
      </w:r>
    </w:p>
    <w:p>
      <w:pPr>
        <w:spacing w:lineRule="auto"/>
      </w:pPr>
      <w:r>
        <w:rPr/>
        <w:t xml:space="preserve">Establecer las acciones que el personal de Casa Bonita Oregón S.A.C. debe seguir antes, durante y después de una emergencia en los trabajos de instalaciones eléctricas, para proteger la vida de las personas y reducir los daños, en coordinación con el plan de emergencias del contratista principal o cliente.</w:t>
      </w:r>
    </w:p>
    <w:p>
      <w:pPr>
        <w:pStyle w:val="Heading2"/>
        <w:spacing w:lineRule="auto"/>
      </w:pPr>
      <w:r>
        <w:rPr>
          <w:color w:val="0d5c46"/>
          <w:b/>
          <w:sz w:val="22"/>
        </w:rPr>
        <w:t xml:space="preserve">2. Alcance</w:t>
      </w:r>
    </w:p>
    <w:p>
      <w:pPr>
        <w:spacing w:lineRule="auto"/>
      </w:pPr>
      <w:r>
        <w:rPr/>
        <w:t xml:space="preserve">Aplica a todo el personal de Casa Bonita Oregón S.A.C. que ejecute instalaciones eléctricas en las obras de edificación donde la empresa preste servicios.</w:t>
      </w:r>
    </w:p>
    <w:p>
      <w:pPr>
        <w:pStyle w:val="Heading2"/>
        <w:spacing w:lineRule="auto"/>
      </w:pPr>
      <w:r>
        <w:rPr>
          <w:color w:val="0d5c46"/>
          <w:b/>
          <w:sz w:val="22"/>
        </w:rPr>
        <w:t xml:space="preserve">3. Base legal</w:t>
      </w:r>
    </w:p>
    <w:p>
      <w:pPr>
        <w:numPr>
          <w:ilvl w:val="0"/>
          <w:numId w:val="1"/>
        </w:numPr>
        <w:spacing w:lineRule="auto"/>
      </w:pPr>
      <w:r>
        <w:rPr/>
        <w:t xml:space="preserve">Ley N° 29783, Ley de Seguridad y Salud en el Trabajo, su Reglamento D.S. N° 005-2012-TR y su modificatoria Ley N° 30222.</w:t>
      </w:r>
    </w:p>
    <w:p>
      <w:pPr>
        <w:numPr>
          <w:ilvl w:val="0"/>
          <w:numId w:val="1"/>
        </w:numPr>
        <w:spacing w:lineRule="auto"/>
      </w:pPr>
      <w:r>
        <w:rPr/>
        <w:t xml:space="preserve">D.S. N° 011-2019-TR, Reglamento de Seguridad y Salud en el Trabajo para el Sector Construcción.</w:t>
      </w:r>
    </w:p>
    <w:p>
      <w:pPr>
        <w:numPr>
          <w:ilvl w:val="0"/>
          <w:numId w:val="1"/>
        </w:numPr>
        <w:spacing w:lineRule="auto"/>
      </w:pPr>
      <w:r>
        <w:rPr/>
        <w:t xml:space="preserve">Norma Técnica de Edificación G.050 Seguridad durante la Construcción.</w:t>
      </w:r>
    </w:p>
    <w:p>
      <w:pPr>
        <w:numPr>
          <w:ilvl w:val="0"/>
          <w:numId w:val="1"/>
        </w:numPr>
        <w:spacing w:lineRule="auto"/>
      </w:pPr>
      <w:r>
        <w:rPr/>
        <w:t xml:space="preserve">R.M. N° 050-2013-TR, Formatos referenciales del Sistema de Gestión de SST.</w:t>
      </w:r>
    </w:p>
    <w:p>
      <w:pPr>
        <w:numPr>
          <w:ilvl w:val="0"/>
          <w:numId w:val="1"/>
        </w:numPr>
        <w:spacing w:lineRule="auto"/>
      </w:pPr>
      <w:r>
        <w:rPr/>
        <w:t xml:space="preserve">Ley N° 26790 y D.S. N° 003-98-SA, Seguro Complementario de Trabajo de Riesgo (SCTR).</w:t>
      </w:r>
    </w:p>
    <w:p>
      <w:pPr>
        <w:numPr>
          <w:ilvl w:val="0"/>
          <w:numId w:val="1"/>
        </w:numPr>
        <w:spacing w:lineRule="auto"/>
      </w:pPr>
      <w:r>
        <w:rPr/>
        <w:t xml:space="preserve">Ley N° 29664, Ley que crea el Sistema Nacional de Gestión del Riesgo de Desastres (SINAGERD).</w:t>
      </w:r>
    </w:p>
    <w:p>
      <w:pPr>
        <w:pStyle w:val="Heading2"/>
        <w:spacing w:lineRule="auto"/>
      </w:pPr>
      <w:r>
        <w:rPr>
          <w:color w:val="0d5c46"/>
          <w:b/>
          <w:sz w:val="22"/>
        </w:rPr>
        <w:t xml:space="preserve">4. Definiciones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6"/>
              </w:rPr>
              <w:t xml:space="preserve">Término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6"/>
              </w:rPr>
              <w:t xml:space="preserve">Definición</w:t>
            </w:r>
          </w:p>
        </w:tc>
      </w:t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  <w:b/>
              </w:rPr>
              <w:t xml:space="preserve">Emergencia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Evento no deseado que pone en riesgo la vida de las personas, los bienes o el ambiente y requiere una respuesta inmediata.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  <w:b/>
              </w:rPr>
              <w:t xml:space="preserve">Contingencia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Situación de riesgo que podría presentarse y para la cual se planifica una respuesta.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  <w:b/>
              </w:rPr>
              <w:t xml:space="preserve">Brigada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Grupo de trabajadores capacitados para actuar ante una emergencia: primeros auxilios, lucha contra incendios y evacuación.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  <w:b/>
              </w:rPr>
              <w:t xml:space="preserve">Zona segura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Lugar señalizado, libre de peligros, donde se reúne el personal durante una emergencia.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  <w:b/>
              </w:rPr>
              <w:t xml:space="preserve">Punto de reunión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Lugar exterior designado por la obra para contar al personal después de una evacuación.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0d5c46"/>
          <w:b/>
          <w:sz w:val="22"/>
        </w:rPr>
        <w:t xml:space="preserve">5. Organización ante emergencias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6"/>
              </w:rPr>
              <w:t xml:space="preserve">Función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6"/>
              </w:rPr>
              <w:t xml:space="preserve">Responsable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6"/>
              </w:rPr>
              <w:t xml:space="preserve">Nombre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6"/>
              </w:rPr>
              <w:t xml:space="preserve">Teléfono</w:t>
            </w:r>
          </w:p>
        </w:tc>
      </w:t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Jefe de emergencia: dirige la respuesta y comunica al cliente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Supervisor de SST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Brigada de primeros auxilios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Maestro de obra – Instalaciones Eléctricas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Brigada contra incendios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Operario designado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Brigada de evacuación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Operario designado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Comunicación con la Gerencia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Gerente General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Jesús Donato Villar Bendezú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922 732 329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0d5c46"/>
          <w:b/>
          <w:sz w:val="22"/>
        </w:rPr>
        <w:t xml:space="preserve">6. Directorio de emergencia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7"/>
              </w:rPr>
              <w:t xml:space="preserve">Entidad / servicio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7"/>
              </w:rPr>
              <w:t xml:space="preserve">Teléfono</w:t>
            </w:r>
          </w:p>
        </w:tc>
      </w:t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Bomberos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116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Central de emergencias – Policía Nacional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105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SAMU (ambulancia)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106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Defensa Civil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115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Comisaría del sector de la obra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Centro de salud / clínica más cercana a la obra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Serenazgo del distrito de la obra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Aseguradora del SCTR – central de emergencias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Empresa eléctrica / de agua de la zona – emergencias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</w:tr>
    </w:tbl>
    <w:p>
      <w:pPr>
        <w:spacing w:lineRule="auto"/>
      </w:pPr>
      <w:r>
        <w:rPr/>
      </w:r>
    </w:p>
    <w:p>
      <w:pPr>
        <w:pStyle w:val="Heading4"/>
        <w:spacing w:lineRule="auto"/>
      </w:pPr>
      <w:r>
        <w:rPr>
          <w:color w:val="0a3328"/>
          <w:b/>
          <w:sz w:val="20"/>
        </w:rPr>
        <w:t xml:space="preserve">Contactos internos – Casa Bonita Oregón S.A.C.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7"/>
              </w:rPr>
              <w:t xml:space="preserve">Responsable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7"/>
              </w:rPr>
              <w:t xml:space="preserve">Cargo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7"/>
              </w:rPr>
              <w:t xml:space="preserve">Teléfono</w:t>
            </w:r>
          </w:p>
        </w:tc>
      </w:tr>
      <w:tblGrid>
        <w:gridCol w:w="3600"/>
        <w:gridCol w:w="3600"/>
        <w:gridCol w:w="36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Jesús Donato Villar Bendezú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Gerente General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922 732 329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Supervisor de SST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Maestro de obra – Instalaciones Eléctricas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Responsable de SST del contratista principal / cliente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0d5c46"/>
          <w:b/>
          <w:sz w:val="22"/>
        </w:rPr>
        <w:t xml:space="preserve">7. Recursos para emergencias</w:t>
      </w:r>
    </w:p>
    <w:p>
      <w:pPr>
        <w:numPr>
          <w:ilvl w:val="0"/>
          <w:numId w:val="2"/>
        </w:numPr>
        <w:spacing w:lineRule="auto"/>
      </w:pPr>
      <w:r>
        <w:rPr/>
        <w:t xml:space="preserve">Extintor PQS de 6 kg (tipo ABC) en cada frente de trabajo, con inspección mensual vigente.</w:t>
      </w:r>
    </w:p>
    <w:p>
      <w:pPr>
        <w:numPr>
          <w:ilvl w:val="0"/>
          <w:numId w:val="2"/>
        </w:numPr>
        <w:spacing w:lineRule="auto"/>
      </w:pPr>
      <w:r>
        <w:rPr/>
        <w:t xml:space="preserve">Botiquín de primeros auxilios: gasas y apósitos estériles, vendas elásticas, esparadrapo, guantes descartables, suero fisiológico, alcohol, crema o gel para quemaduras, tijera, pinza, linterna.</w:t>
      </w:r>
    </w:p>
    <w:p>
      <w:pPr>
        <w:numPr>
          <w:ilvl w:val="0"/>
          <w:numId w:val="2"/>
        </w:numPr>
        <w:spacing w:lineRule="auto"/>
      </w:pPr>
      <w:r>
        <w:rPr/>
        <w:t xml:space="preserve">Camilla rígida y collarín cervical (coordinados con la obra).</w:t>
      </w:r>
    </w:p>
    <w:p>
      <w:pPr>
        <w:numPr>
          <w:ilvl w:val="0"/>
          <w:numId w:val="2"/>
        </w:numPr>
        <w:spacing w:lineRule="auto"/>
      </w:pPr>
      <w:r>
        <w:rPr/>
        <w:t xml:space="preserve">Celular con saldo y el directorio de emergencia impreso en el frente de trabajo.</w:t>
      </w:r>
    </w:p>
    <w:p>
      <w:pPr>
        <w:numPr>
          <w:ilvl w:val="0"/>
          <w:numId w:val="2"/>
        </w:numPr>
        <w:spacing w:lineRule="auto"/>
      </w:pPr>
      <w:r>
        <w:rPr/>
        <w:t xml:space="preserve">Pértiga o elemento aislante para separar a una víctima de contacto eléctrico.</w:t>
      </w:r>
    </w:p>
    <w:p>
      <w:pPr>
        <w:pStyle w:val="Heading2"/>
        <w:spacing w:lineRule="auto"/>
      </w:pPr>
      <w:r>
        <w:rPr>
          <w:color w:val="0d5c46"/>
          <w:b/>
          <w:sz w:val="22"/>
        </w:rPr>
        <w:t xml:space="preserve">8. Identificación de emergencias probables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7"/>
              </w:rPr>
              <w:t xml:space="preserve">Tipo de emergencia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7"/>
              </w:rPr>
              <w:t xml:space="preserve">Posible causa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7"/>
              </w:rPr>
              <w:t xml:space="preserve">Probabilidad</w:t>
            </w:r>
          </w:p>
        </w:tc>
      </w:tr>
      <w:tblGrid>
        <w:gridCol w:w="3600"/>
        <w:gridCol w:w="3600"/>
        <w:gridCol w:w="36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Contacto eléctrico (electrocución)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Circuitos energizados, falla de aislamiento, herramientas defectuosas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Media – consecuencia grave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Arco eléctrico y quemaduras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Cortocircuito durante maniobras o energización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Baja – consecuencia grave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Incendio de origen eléctrico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Sobrecarga, cortocircuito en tableros o extensiones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Media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Caída de altura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Escaleras, andamios, bordes de losa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Media – consecuencia grave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Derrumbe en excavación de pozo a tierra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Paredes sin entibar, desmonte en el borde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Baja – consecuencia grave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Golpes y cortes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Herramientas, láminas metálicas de tableros, vidrios de luminarias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Media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Sismo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Evento natural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Baja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0d5c46"/>
          <w:b/>
          <w:sz w:val="22"/>
        </w:rPr>
        <w:t xml:space="preserve">9. Procedimiento general de respuesta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Detener</w:t>
      </w:r>
      <w:r>
        <w:rPr/>
        <w:t xml:space="preserve"> el trabajo y alertar en voz alta a los compañeros.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Asegurar la zona:</w:t>
      </w:r>
      <w:r>
        <w:rPr/>
        <w:t xml:space="preserve"> cortar la energía, cerrar válvulas, apagar equipos.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Comunicar</w:t>
      </w:r>
      <w:r>
        <w:rPr/>
        <w:t xml:space="preserve"> al maestro de obra, al Supervisor de SST y al área de SST del cliente.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Atender</w:t>
      </w:r>
      <w:r>
        <w:rPr/>
        <w:t xml:space="preserve"> a los heridos solo si es seguro hacerlo; llamar al 106 o al 116 según el caso.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Evacuar</w:t>
      </w:r>
      <w:r>
        <w:rPr/>
        <w:t xml:space="preserve"> por la ruta señalizada hacia la zona segura y pasar lista al personal.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Reportar</w:t>
      </w:r>
      <w:r>
        <w:rPr/>
        <w:t xml:space="preserve"> el evento por escrito e investigarlo (CBO-SST-REG-01).</w:t>
      </w:r>
    </w:p>
    <w:p>
      <w:pPr>
        <w:pStyle w:val="Heading2"/>
        <w:spacing w:lineRule="auto"/>
      </w:pPr>
      <w:r>
        <w:rPr>
          <w:color w:val="0d5c46"/>
          <w:b/>
          <w:sz w:val="22"/>
        </w:rPr>
        <w:t xml:space="preserve">10. Procedimientos específicos de respuesta</w:t>
      </w:r>
    </w:p>
    <w:p>
      <w:pPr>
        <w:pStyle w:val="Heading3"/>
        <w:spacing w:lineRule="auto"/>
      </w:pPr>
      <w:r>
        <w:rPr>
          <w:color w:val="0a3328"/>
          <w:b/>
          <w:sz w:val="20"/>
        </w:rPr>
        <w:t xml:space="preserve">Contacto eléctrico (electrocución)</w:t>
      </w:r>
    </w:p>
    <w:p>
      <w:pPr>
        <w:numPr>
          <w:ilvl w:val="0"/>
          <w:numId w:val="4"/>
        </w:numPr>
        <w:spacing w:lineRule="auto"/>
      </w:pPr>
      <w:r>
        <w:rPr/>
        <w:t xml:space="preserve">No tocar a la víctima mientras esté en contacto con la corriente.</w:t>
      </w:r>
    </w:p>
    <w:p>
      <w:pPr>
        <w:numPr>
          <w:ilvl w:val="0"/>
          <w:numId w:val="4"/>
        </w:numPr>
        <w:spacing w:lineRule="auto"/>
      </w:pPr>
      <w:r>
        <w:rPr/>
        <w:t xml:space="preserve">Cortar la energía en el tablero o separar a la víctima con un elemento seco y aislante (madera, PVC).</w:t>
      </w:r>
    </w:p>
    <w:p>
      <w:pPr>
        <w:numPr>
          <w:ilvl w:val="0"/>
          <w:numId w:val="4"/>
        </w:numPr>
        <w:spacing w:lineRule="auto"/>
      </w:pPr>
      <w:r>
        <w:rPr/>
        <w:t xml:space="preserve">Verificar si respira; si no respira, iniciar RCP y llamar al SAMU (106).</w:t>
      </w:r>
    </w:p>
    <w:p>
      <w:pPr>
        <w:numPr>
          <w:ilvl w:val="0"/>
          <w:numId w:val="4"/>
        </w:numPr>
        <w:spacing w:lineRule="auto"/>
      </w:pPr>
      <w:r>
        <w:rPr/>
        <w:t xml:space="preserve">Cubrir las quemaduras con apósitos estériles y trasladar siempre al centro médico, aunque la persona parezca estar bien.</w:t>
      </w:r>
    </w:p>
    <w:p>
      <w:pPr>
        <w:pStyle w:val="Heading3"/>
        <w:spacing w:lineRule="auto"/>
      </w:pPr>
      <w:r>
        <w:rPr>
          <w:color w:val="0a3328"/>
          <w:b/>
          <w:sz w:val="20"/>
        </w:rPr>
        <w:t xml:space="preserve">Incendio de origen eléctrico</w:t>
      </w:r>
    </w:p>
    <w:p>
      <w:pPr>
        <w:numPr>
          <w:ilvl w:val="0"/>
          <w:numId w:val="5"/>
        </w:numPr>
        <w:spacing w:lineRule="auto"/>
      </w:pPr>
      <w:r>
        <w:rPr/>
        <w:t xml:space="preserve">Dar la alarma y cortar la energía desde el tablero general.</w:t>
      </w:r>
    </w:p>
    <w:p>
      <w:pPr>
        <w:numPr>
          <w:ilvl w:val="0"/>
          <w:numId w:val="5"/>
        </w:numPr>
        <w:spacing w:lineRule="auto"/>
      </w:pPr>
      <w:r>
        <w:rPr/>
        <w:t xml:space="preserve">Usar extintor PQS (o CO₂); nunca agua sobre equipos energizados.</w:t>
      </w:r>
    </w:p>
    <w:p>
      <w:pPr>
        <w:numPr>
          <w:ilvl w:val="0"/>
          <w:numId w:val="5"/>
        </w:numPr>
        <w:spacing w:lineRule="auto"/>
      </w:pPr>
      <w:r>
        <w:rPr/>
        <w:t xml:space="preserve">Si no se controla en segundos, evacuar y llamar a los Bomberos (116).</w:t>
      </w:r>
    </w:p>
    <w:p>
      <w:pPr>
        <w:pStyle w:val="Heading3"/>
        <w:spacing w:lineRule="auto"/>
      </w:pPr>
      <w:r>
        <w:rPr>
          <w:color w:val="0a3328"/>
          <w:b/>
          <w:sz w:val="20"/>
        </w:rPr>
        <w:t xml:space="preserve">Arco eléctrico y quemaduras</w:t>
      </w:r>
    </w:p>
    <w:p>
      <w:pPr>
        <w:numPr>
          <w:ilvl w:val="0"/>
          <w:numId w:val="6"/>
        </w:numPr>
        <w:spacing w:lineRule="auto"/>
      </w:pPr>
      <w:r>
        <w:rPr/>
        <w:t xml:space="preserve">Cortar la energía y alejar a la víctima de la zona.</w:t>
      </w:r>
    </w:p>
    <w:p>
      <w:pPr>
        <w:numPr>
          <w:ilvl w:val="0"/>
          <w:numId w:val="6"/>
        </w:numPr>
        <w:spacing w:lineRule="auto"/>
      </w:pPr>
      <w:r>
        <w:rPr/>
        <w:t xml:space="preserve">Enfriar las quemaduras con agua limpia a temperatura ambiente de 10 a 20 minutos; no retirar ropa adherida a la piel.</w:t>
      </w:r>
    </w:p>
    <w:p>
      <w:pPr>
        <w:numPr>
          <w:ilvl w:val="0"/>
          <w:numId w:val="6"/>
        </w:numPr>
        <w:spacing w:lineRule="auto"/>
      </w:pPr>
      <w:r>
        <w:rPr/>
        <w:t xml:space="preserve">Llamar al SAMU (106) y trasladar al centro médico.</w:t>
      </w:r>
    </w:p>
    <w:p>
      <w:pPr>
        <w:pStyle w:val="Heading3"/>
        <w:spacing w:lineRule="auto"/>
      </w:pPr>
      <w:r>
        <w:rPr>
          <w:color w:val="0a3328"/>
          <w:b/>
          <w:sz w:val="20"/>
        </w:rPr>
        <w:t xml:space="preserve">Derrumbe en la excavación del pozo a tierra</w:t>
      </w:r>
    </w:p>
    <w:p>
      <w:pPr>
        <w:numPr>
          <w:ilvl w:val="0"/>
          <w:numId w:val="7"/>
        </w:numPr>
        <w:spacing w:lineRule="auto"/>
      </w:pPr>
      <w:r>
        <w:rPr/>
        <w:t xml:space="preserve">Evacuar la excavación y alejar al personal del borde.</w:t>
      </w:r>
    </w:p>
    <w:p>
      <w:pPr>
        <w:numPr>
          <w:ilvl w:val="0"/>
          <w:numId w:val="7"/>
        </w:numPr>
        <w:spacing w:lineRule="auto"/>
      </w:pPr>
      <w:r>
        <w:rPr/>
        <w:t xml:space="preserve">Llamar a los Bomberos (116); no desenterrar con herramientas sin asegurar las paredes.</w:t>
      </w:r>
    </w:p>
    <w:p>
      <w:pPr>
        <w:numPr>
          <w:ilvl w:val="0"/>
          <w:numId w:val="7"/>
        </w:numPr>
        <w:spacing w:lineRule="auto"/>
      </w:pPr>
      <w:r>
        <w:rPr/>
        <w:t xml:space="preserve">Retirar la tierra con las manos alrededor de la cabeza y el pecho para permitir que la víctima respire.</w:t>
      </w:r>
    </w:p>
    <w:p>
      <w:pPr>
        <w:pStyle w:val="Heading3"/>
        <w:spacing w:lineRule="auto"/>
      </w:pPr>
      <w:r>
        <w:rPr>
          <w:color w:val="0a3328"/>
          <w:b/>
          <w:sz w:val="20"/>
        </w:rPr>
        <w:t xml:space="preserve">Caída de altura</w:t>
      </w:r>
    </w:p>
    <w:p>
      <w:pPr>
        <w:numPr>
          <w:ilvl w:val="0"/>
          <w:numId w:val="8"/>
        </w:numPr>
        <w:spacing w:lineRule="auto"/>
      </w:pPr>
      <w:r>
        <w:rPr/>
        <w:t xml:space="preserve">No mover a la víctima si se sospecha lesión de columna; inmovilizar el cuello.</w:t>
      </w:r>
    </w:p>
    <w:p>
      <w:pPr>
        <w:numPr>
          <w:ilvl w:val="0"/>
          <w:numId w:val="8"/>
        </w:numPr>
        <w:spacing w:lineRule="auto"/>
      </w:pPr>
      <w:r>
        <w:rPr/>
        <w:t xml:space="preserve">Si quedó suspendida en el arnés, rescatarla en el menor tiempo posible (máximo 15 minutos) para evitar el trauma por suspensión.</w:t>
      </w:r>
    </w:p>
    <w:p>
      <w:pPr>
        <w:numPr>
          <w:ilvl w:val="0"/>
          <w:numId w:val="8"/>
        </w:numPr>
        <w:spacing w:lineRule="auto"/>
      </w:pPr>
      <w:r>
        <w:rPr/>
        <w:t xml:space="preserve">Controlar hemorragias con presión directa y llamar al SAMU (106).</w:t>
      </w:r>
    </w:p>
    <w:p>
      <w:pPr>
        <w:pStyle w:val="Heading3"/>
        <w:spacing w:lineRule="auto"/>
      </w:pPr>
      <w:r>
        <w:rPr>
          <w:color w:val="0a3328"/>
          <w:b/>
          <w:sz w:val="20"/>
        </w:rPr>
        <w:t xml:space="preserve">Sismo</w:t>
      </w:r>
    </w:p>
    <w:p>
      <w:pPr>
        <w:numPr>
          <w:ilvl w:val="0"/>
          <w:numId w:val="9"/>
        </w:numPr>
        <w:spacing w:lineRule="auto"/>
      </w:pPr>
      <w:r>
        <w:rPr/>
        <w:t xml:space="preserve">Detener el trabajo, soltar herramientas y alejarse de bordes de losa, ventanas, ductos y materiales apilados.</w:t>
      </w:r>
    </w:p>
    <w:p>
      <w:pPr>
        <w:numPr>
          <w:ilvl w:val="0"/>
          <w:numId w:val="9"/>
        </w:numPr>
        <w:spacing w:lineRule="auto"/>
      </w:pPr>
      <w:r>
        <w:rPr/>
        <w:t xml:space="preserve">Si está en altura, asegurarse al punto de anclaje y bajar cuando termine el movimiento.</w:t>
      </w:r>
    </w:p>
    <w:p>
      <w:pPr>
        <w:numPr>
          <w:ilvl w:val="0"/>
          <w:numId w:val="9"/>
        </w:numPr>
        <w:spacing w:lineRule="auto"/>
      </w:pPr>
      <w:r>
        <w:rPr/>
        <w:t xml:space="preserve">Evacuar a la zona segura sin correr ni usar ascensores; pasar lista y no reingresar hasta que la obra lo autorice.</w:t>
      </w:r>
    </w:p>
    <w:p>
      <w:pPr>
        <w:pStyle w:val="Heading3"/>
        <w:spacing w:lineRule="auto"/>
      </w:pPr>
      <w:r>
        <w:rPr>
          <w:color w:val="0a3328"/>
          <w:b/>
          <w:sz w:val="20"/>
        </w:rPr>
        <w:t xml:space="preserve">Cortes y hemorragias</w:t>
      </w:r>
    </w:p>
    <w:p>
      <w:pPr>
        <w:numPr>
          <w:ilvl w:val="0"/>
          <w:numId w:val="10"/>
        </w:numPr>
        <w:spacing w:lineRule="auto"/>
      </w:pPr>
      <w:r>
        <w:rPr/>
        <w:t xml:space="preserve">Usar guantes descartables.</w:t>
      </w:r>
    </w:p>
    <w:p>
      <w:pPr>
        <w:numPr>
          <w:ilvl w:val="0"/>
          <w:numId w:val="10"/>
        </w:numPr>
        <w:spacing w:lineRule="auto"/>
      </w:pPr>
      <w:r>
        <w:rPr/>
        <w:t xml:space="preserve">Presionar la herida con gasa limpia y elevar la extremidad.</w:t>
      </w:r>
    </w:p>
    <w:p>
      <w:pPr>
        <w:numPr>
          <w:ilvl w:val="0"/>
          <w:numId w:val="10"/>
        </w:numPr>
        <w:spacing w:lineRule="auto"/>
      </w:pPr>
      <w:r>
        <w:rPr/>
        <w:t xml:space="preserve">Si la hemorragia no cede, mantener la presión y llamar al SAMU (106).</w:t>
      </w:r>
    </w:p>
    <w:p>
      <w:pPr>
        <w:pStyle w:val="Heading2"/>
        <w:spacing w:lineRule="auto"/>
      </w:pPr>
      <w:r>
        <w:rPr>
          <w:color w:val="0d5c46"/>
          <w:b/>
          <w:sz w:val="22"/>
        </w:rPr>
        <w:t xml:space="preserve">11. Comunicación y reporte</w:t>
      </w:r>
    </w:p>
    <w:p>
      <w:pPr>
        <w:numPr>
          <w:ilvl w:val="0"/>
          <w:numId w:val="11"/>
        </w:numPr>
        <w:spacing w:lineRule="auto"/>
      </w:pPr>
      <w:r>
        <w:rPr/>
        <w:t xml:space="preserve">Informar de inmediato al cliente y a la Gerencia General.</w:t>
      </w:r>
    </w:p>
    <w:p>
      <w:pPr>
        <w:numPr>
          <w:ilvl w:val="0"/>
          <w:numId w:val="11"/>
        </w:numPr>
        <w:spacing w:lineRule="auto"/>
      </w:pPr>
      <w:r>
        <w:rPr/>
        <w:t xml:space="preserve">Registrar el evento e investigar sus causas (CBO-SST-REG-01).</w:t>
      </w:r>
    </w:p>
    <w:p>
      <w:pPr>
        <w:numPr>
          <w:ilvl w:val="0"/>
          <w:numId w:val="11"/>
        </w:numPr>
        <w:spacing w:lineRule="auto"/>
      </w:pPr>
      <w:r>
        <w:rPr/>
        <w:t xml:space="preserve">Notificar al Ministerio de Trabajo dentro de las 24 horas los accidentes mortales y los incidentes peligrosos (Ley N° 29783, art. 82).</w:t>
      </w:r>
    </w:p>
    <w:p>
      <w:pPr>
        <w:pStyle w:val="Heading2"/>
        <w:spacing w:lineRule="auto"/>
      </w:pPr>
      <w:r>
        <w:rPr>
          <w:color w:val="0d5c46"/>
          <w:b/>
          <w:sz w:val="22"/>
        </w:rPr>
        <w:t xml:space="preserve">12. Simulacros</w:t>
      </w:r>
    </w:p>
    <w:p>
      <w:pPr>
        <w:spacing w:lineRule="auto"/>
      </w:pPr>
      <w:r>
        <w:rPr/>
        <w:t xml:space="preserve">El personal participa en los simulacros que programe el contratista principal o cliente. Cuando la empresa los organice, se registran en CBO-SST-REG-07.</w:t>
      </w:r>
    </w:p>
    <w:p>
      <w:pPr>
        <w:pStyle w:val="Heading2"/>
        <w:spacing w:lineRule="auto"/>
      </w:pPr>
      <w:r>
        <w:rPr>
          <w:color w:val="0d5c46"/>
          <w:b/>
          <w:sz w:val="22"/>
        </w:rPr>
        <w:t xml:space="preserve">13. Después de la emergencia</w:t>
      </w:r>
    </w:p>
    <w:p>
      <w:pPr>
        <w:numPr>
          <w:ilvl w:val="0"/>
          <w:numId w:val="12"/>
        </w:numPr>
        <w:spacing w:lineRule="auto"/>
      </w:pPr>
      <w:r>
        <w:rPr/>
        <w:t xml:space="preserve">Verificar que todo el personal esté completo y atendido.</w:t>
      </w:r>
    </w:p>
    <w:p>
      <w:pPr>
        <w:numPr>
          <w:ilvl w:val="0"/>
          <w:numId w:val="12"/>
        </w:numPr>
        <w:spacing w:lineRule="auto"/>
      </w:pPr>
      <w:r>
        <w:rPr/>
        <w:t xml:space="preserve">Reponer los extintores y materiales del botiquín utilizados.</w:t>
      </w:r>
    </w:p>
    <w:p>
      <w:pPr>
        <w:numPr>
          <w:ilvl w:val="0"/>
          <w:numId w:val="12"/>
        </w:numPr>
        <w:spacing w:lineRule="auto"/>
      </w:pPr>
      <w:r>
        <w:rPr/>
        <w:t xml:space="preserve">Revisar las causas y actualizar la IPERC, los PETS y este plan si corresponde.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jc xmlns:ns1="http://schemas.openxmlformats.org/wordprocessingml/2006/main" ns1:val="center"/>
      <spacing xmlns:ns2="http://schemas.openxmlformats.org/wordprocessingml/2006/main" ns2:lineRule="auto"/>
    </pPr>
    <r>
      <rPr>
        <color xmlns:ns3="http://schemas.openxmlformats.org/wordprocessingml/2006/main" ns3:val="3F6B5B"/>
        <sz xmlns:ns4="http://schemas.openxmlformats.org/wordprocessingml/2006/main" ns4:val="14"/>
      </rPr>
      <t xml:space="preserve">Casa Bonita Oregón S.A.C. · RUC 20614484153 · CBO-SST-PCE-IE</t>
    </r>
    <fldSimple xmlns:ns5="http://schemas.openxmlformats.org/wordprocessingml/2006/main" ns5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eastAsiaTheme="minorHAnsi" w:hAnsiTheme="minorHAnsi" w:cstheme="minorBidi"/>
        <w:sz w:val="18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jd9x5Y9Koa_LGrXoT_L37.png" TargetMode="Internal"/>
  <Relationship Id="rId7" Type="http://schemas.openxmlformats.org/officeDocument/2006/relationships/image" Target="media/image-PwWUtiE35DfsRgQT6oN7i.png" TargetMode="Internal"/>
  <Relationship Id="rId8" Type="http://schemas.openxmlformats.org/officeDocument/2006/relationships/image" Target="media/image-WEE3_FPecsF9SfumQuDFN.png" TargetMode="Internal"/>
  <Relationship Id="rId9" Type="http://schemas.openxmlformats.org/officeDocument/2006/relationships/image" Target="media/image-xaaXqmdrhurY4poNKFNhk.png" TargetMode="Internal"/>
  <Relationship Id="rId10" Type="http://schemas.openxmlformats.org/officeDocument/2006/relationships/image" Target="media/image-SqVhWhQ3HyKfrO42XGdf8.png" TargetMode="Internal"/>
  <Relationship Id="rId11" Type="http://schemas.openxmlformats.org/officeDocument/2006/relationships/image" Target="media/image-cHuIH1G9uTn8nZvAjF18i.png" TargetMode="Internal"/>
  <Relationship Id="rId12" Type="http://schemas.openxmlformats.org/officeDocument/2006/relationships/footer" Target="footer1.xml" TargetMode="Internal"/>
  <Relationship Id="rId13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Arial"/>
        <a:cs typeface=""/>
      </a:majorFont>
      <a:minorFont>
        <a:latin typeface="Arial"/>
        <a:ea typeface="Arial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CBO-SST-PCE-IE Plan de Contingencia ante Emergencias – Instalaciones Eléctricas</dc:title>
  <dc:subject/>
  <dc:creator>Casa Bonita Oregón S.A.C.</dc:creator>
  <cp:keywords>html-to-docx</cp:keywords>
  <dc:description/>
  <cp:lastModifiedBy>html-to-docx</cp:lastModifiedBy>
  <cp:revision>1</cp:revision>
  <dcterms:created xsi:type="dcterms:W3CDTF">2026-10-19T01:14:28.742Z</dcterms:created>
  <dcterms:modified xsi:type="dcterms:W3CDTF">2026-10-19T01:14:28.742Z</dcterms:modified>
</cp:coreProperties>
</file>