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9Dtq1EBYR4-ybHe-36i4o.png"/>
                  <a:graphic>
                    <a:graphicData uri="http://schemas.openxmlformats.org/drawingml/2006/picture">
                      <pic:pic>
                        <pic:nvPicPr>
                          <pic:cNvPr id="2" name="image-9Dtq1EBYR4-ybHe-36i4o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USO DE HERRAMIENTAS ELÉCTRICAS PORTÁTILES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CBO-SST-PETS-02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el uso seguro de herramientas eléctricas portátiles —taladro, rotomartillo, amoladora, termofusora, sierra— para prevenir contactos eléctricos, cortes, proyección de partículas y otros daños.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111-2013-MEM/DM, Reglamento de SST con Electricidad.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capacitado en el uso de la herramienta.</w:t>
      </w:r>
    </w:p>
    <w:p>
      <w:pPr>
        <w:numPr>
          <w:ilvl w:val="0"/>
          <w:numId w:val="2"/>
        </w:numPr>
        <w:spacing w:lineRule="auto"/>
      </w:pPr>
      <w:r>
        <w:rPr/>
        <w:t xml:space="preserve">Ayudante, solo si fue capacitado y autorizado.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Careta facial (amoladora y rotomartillo)</w:t>
      </w:r>
    </w:p>
    <w:p>
      <w:pPr>
        <w:numPr>
          <w:ilvl w:val="0"/>
          <w:numId w:val="3"/>
        </w:numPr>
        <w:spacing w:lineRule="auto"/>
      </w:pPr>
      <w:r>
        <w:rPr/>
        <w:t xml:space="preserve">Tapones u orejeras</w:t>
      </w:r>
    </w:p>
    <w:p>
      <w:pPr>
        <w:numPr>
          <w:ilvl w:val="0"/>
          <w:numId w:val="3"/>
        </w:numPr>
        <w:spacing w:lineRule="auto"/>
      </w:pPr>
      <w:r>
        <w:rPr/>
        <w:t xml:space="preserve">Respirador para polvo (picado y corte)</w:t>
      </w:r>
    </w:p>
    <w:p>
      <w:pPr>
        <w:numPr>
          <w:ilvl w:val="0"/>
          <w:numId w:val="3"/>
        </w:numPr>
        <w:spacing w:lineRule="auto"/>
      </w:pPr>
      <w:r>
        <w:rPr/>
        <w:t xml:space="preserve">Zapatos dieléctricos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Herramientas con doble aislamiento o puesta a tierra, con guardas y mango lateral cuando corresponda</w:t>
      </w:r>
    </w:p>
    <w:p>
      <w:pPr>
        <w:numPr>
          <w:ilvl w:val="0"/>
          <w:numId w:val="4"/>
        </w:numPr>
        <w:spacing w:lineRule="auto"/>
      </w:pPr>
      <w:r>
        <w:rPr/>
        <w:t xml:space="preserve">Extensiones tipo vulcanizado, sin empalmes, con enchufe y tomacorriente industriales</w:t>
      </w:r>
    </w:p>
    <w:p>
      <w:pPr>
        <w:numPr>
          <w:ilvl w:val="0"/>
          <w:numId w:val="4"/>
        </w:numPr>
        <w:spacing w:lineRule="auto"/>
      </w:pPr>
      <w:r>
        <w:rPr/>
        <w:t xml:space="preserve">Tablero eléctrico provisional con interruptor diferencial (30 mA)</w:t>
      </w:r>
    </w:p>
    <w:p>
      <w:pPr>
        <w:numPr>
          <w:ilvl w:val="0"/>
          <w:numId w:val="4"/>
        </w:numPr>
        <w:spacing w:lineRule="auto"/>
      </w:pPr>
      <w:r>
        <w:rPr/>
        <w:t xml:space="preserve">Cinta de color del mes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que la herramienta tenga la cinta del color del mes y llenar el check-list CBO-SST-F-07.</w:t>
      </w:r>
    </w:p>
    <w:p>
      <w:pPr>
        <w:numPr>
          <w:ilvl w:val="0"/>
          <w:numId w:val="5"/>
        </w:numPr>
        <w:spacing w:lineRule="auto"/>
      </w:pPr>
      <w:r>
        <w:rPr/>
        <w:t xml:space="preserve">Revisar el cable, el enchufe, la carcasa, el interruptor y la guarda; el disco o la broca deben ser adecuados, estar en buen estado y bien ajustados.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que el tomacorriente esté conectado a un tablero con interruptor diferencial.</w:t>
      </w:r>
    </w:p>
    <w:p>
      <w:pPr>
        <w:numPr>
          <w:ilvl w:val="0"/>
          <w:numId w:val="5"/>
        </w:numPr>
        <w:spacing w:lineRule="auto"/>
      </w:pPr>
      <w:r>
        <w:rPr/>
        <w:t xml:space="preserve">Tender las extensiones por zonas donde no las pisen ni las mojen; mantenerlas elevadas en pasadizos.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Durante el trabajo</w:t>
      </w:r>
    </w:p>
    <w:p>
      <w:pPr>
        <w:numPr>
          <w:ilvl w:val="0"/>
          <w:numId w:val="6"/>
        </w:numPr>
        <w:spacing w:lineRule="auto"/>
      </w:pPr>
      <w:r>
        <w:rPr/>
        <w:t xml:space="preserve">Sujetar la herramienta con las dos manos y con postura estable; usar el mango lateral.</w:t>
      </w:r>
    </w:p>
    <w:p>
      <w:pPr>
        <w:numPr>
          <w:ilvl w:val="0"/>
          <w:numId w:val="6"/>
        </w:numPr>
        <w:spacing w:lineRule="auto"/>
      </w:pPr>
      <w:r>
        <w:rPr/>
        <w:t xml:space="preserve">Fijar la pieza a cortar o perforar con prensa o soporte; no sostenerla con la mano.</w:t>
      </w:r>
    </w:p>
    <w:p>
      <w:pPr>
        <w:numPr>
          <w:ilvl w:val="0"/>
          <w:numId w:val="6"/>
        </w:numPr>
        <w:spacing w:lineRule="auto"/>
      </w:pPr>
      <w:r>
        <w:rPr/>
        <w:t xml:space="preserve">En la amoladora, el disco gira alejado del cuerpo; no forzar el disco ni usarlo de costado.</w:t>
      </w:r>
    </w:p>
    <w:p>
      <w:pPr>
        <w:numPr>
          <w:ilvl w:val="0"/>
          <w:numId w:val="6"/>
        </w:numPr>
        <w:spacing w:lineRule="auto"/>
      </w:pPr>
      <w:r>
        <w:rPr/>
        <w:t xml:space="preserve">Mantener a otras personas fuera del área de proyección.</w:t>
      </w:r>
    </w:p>
    <w:p>
      <w:pPr>
        <w:numPr>
          <w:ilvl w:val="0"/>
          <w:numId w:val="6"/>
        </w:numPr>
        <w:spacing w:lineRule="auto"/>
      </w:pPr>
      <w:r>
        <w:rPr/>
        <w:t xml:space="preserve">Desconectar la herramienta para cambiar disco o broca y cuando no se use.</w:t>
      </w:r>
    </w:p>
    <w:p>
      <w:pPr>
        <w:numPr>
          <w:ilvl w:val="0"/>
          <w:numId w:val="6"/>
        </w:numPr>
        <w:spacing w:lineRule="auto"/>
      </w:pPr>
      <w:r>
        <w:rPr/>
        <w:t xml:space="preserve">No jalar la herramienta del cable ni desconectarla tirando del cable.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7"/>
        </w:numPr>
        <w:spacing w:lineRule="auto"/>
      </w:pPr>
      <w:r>
        <w:rPr/>
        <w:t xml:space="preserve">Desconectar, dejar enfriar y limpiar la herramienta.</w:t>
      </w:r>
    </w:p>
    <w:p>
      <w:pPr>
        <w:numPr>
          <w:ilvl w:val="0"/>
          <w:numId w:val="7"/>
        </w:numPr>
        <w:spacing w:lineRule="auto"/>
      </w:pPr>
      <w:r>
        <w:rPr/>
        <w:t xml:space="preserve">Guardarla en su caja o en el almacén.</w:t>
      </w:r>
    </w:p>
    <w:p>
      <w:pPr>
        <w:numPr>
          <w:ilvl w:val="0"/>
          <w:numId w:val="7"/>
        </w:numPr>
        <w:spacing w:lineRule="auto"/>
      </w:pPr>
      <w:r>
        <w:rPr/>
        <w:t xml:space="preserve">Retirar de uso y etiquetar como 'NO USAR' toda herramienta defectuosa e informar al maestro de obra.</w:t>
      </w:r>
    </w:p>
    <w:p>
      <w:pPr>
        <w:numPr>
          <w:ilvl w:val="0"/>
          <w:numId w:val="7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8"/>
        </w:numPr>
        <w:spacing w:lineRule="auto"/>
      </w:pPr>
      <w:r>
        <w:rPr/>
        <w:t xml:space="preserve">No usar herramientas sin guarda, con cables pelados, empalmes o enchufes rotos.</w:t>
      </w:r>
    </w:p>
    <w:p>
      <w:pPr>
        <w:numPr>
          <w:ilvl w:val="0"/>
          <w:numId w:val="8"/>
        </w:numPr>
        <w:spacing w:lineRule="auto"/>
      </w:pPr>
      <w:r>
        <w:rPr/>
        <w:t xml:space="preserve">No usar herramientas eléctricas en zonas con agua o con las manos mojadas.</w:t>
      </w:r>
    </w:p>
    <w:p>
      <w:pPr>
        <w:numPr>
          <w:ilvl w:val="0"/>
          <w:numId w:val="8"/>
        </w:numPr>
        <w:spacing w:lineRule="auto"/>
      </w:pPr>
      <w:r>
        <w:rPr/>
        <w:t xml:space="preserve">No usar discos de corte de mayor diámetro o menor velocidad que los indicados en la amoladora.</w:t>
      </w:r>
    </w:p>
    <w:p>
      <w:pPr>
        <w:numPr>
          <w:ilvl w:val="0"/>
          <w:numId w:val="8"/>
        </w:numPr>
        <w:spacing w:lineRule="auto"/>
      </w:pPr>
      <w:r>
        <w:rPr/>
        <w:t xml:space="preserve">No reparar herramientas en obra: solo personal técnico autorizado.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CBO-SST-PETS-02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auBEZiY9KVl_3Ey2NmFNG.png" TargetMode="Internal"/>
  <Relationship Id="rId7" Type="http://schemas.openxmlformats.org/officeDocument/2006/relationships/image" Target="media/image-9Dtq1EBYR4-ybHe-36i4o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CBO-SST-PETS-02 PETS Uso de Herramientas Eléctricas Portátiles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