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720" w:right="720" w:bottom="720" w:left="720" w:header="360" w:footer="360" w:gutter="undefined"/>
      <w:footerReference r:id="rId8" w:type="default"/>
    </w:sectPr>
    <w:p>
      <w:pPr>
        <w:spacing w:lineRule="auto"/>
      </w:pPr>
      <w:r>
        <w:rPr/>
        <w:t xml:space="preserve"/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V w:val="single" w:sz="1" w:space="0" w:color="000000"/>
          <w:insideH w:val="single" w:sz="1" w:space="0" w:color="000000"/>
        </w:tblBorders>
        <w:tblCellSpacing w:w="0" w:type="dxa"/>
        <w:tblW w:type="dxa" w:w="108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600"/>
        <w:gridCol w:w="3600"/>
        <w:gridCol w:w="360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drawing>
                <wp:inline distB="0" distL="0" distR="0" distT="0">
                  <wp:extent cx="3429000" cy="2730954"/>
                  <wp:effectExtent b="0" l="0" r="0" t="0"/>
                  <wp:docPr id="2" name="image-Cfdloo4aViw7K19vooJlY.png"/>
                  <a:graphic>
                    <a:graphicData uri="http://schemas.openxmlformats.org/drawingml/2006/picture">
                      <pic:pic>
                        <pic:nvPicPr>
                          <pic:cNvPr id="2" name="image-Cfdloo4aViw7K19vooJlY.png" descr=""/>
                          <pic:cNvPicPr/>
                        </pic:nvPicPr>
                        <pic:blipFill>
                          <a:blip r:embed="rId7" cstate="print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27309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9"/>
              </w:rPr>
              <w:br w:type="textWrapping"/>
            </w:r>
          </w:p>
          <w:p>
            <w:pPr>
              <w:jc w:val="center"/>
              <w:spacing w:lineRule="auto"/>
            </w:pPr>
            <w:r>
              <w:rPr>
                <w:color w:val="0D5C46"/>
                <w:sz w:val="19"/>
                <w:b/>
              </w:rPr>
              <w:t xml:space="preserve">Casa Bonita Oregón</w:t>
            </w:r>
          </w:p>
        </w:tc>
        <w:tc>
          <w:tcPr>
            <w:gridSpan w:val="2"/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20"/>
              </w:rPr>
              <w:t xml:space="preserve">INSTALACIÓN DE ELECTROBOMBAS Y EQUIPOS DE BOMBEO</w:t>
            </w:r>
          </w:p>
        </w:tc>
      </w:tr>
      <w:tr>
        <w:trPr>
          <w:cantSplit/>
        </w:trPr>
        <w:tc>
          <w:tcPr>
            <w:gridSpan w:val="3"/>
            <w:shd w:val="clear" w:fill="ffffff"/>
          </w:tcPr>
          <w:p>
            <w:pPr>
              <w:jc w:val="center"/>
              <w:spacing w:lineRule="auto"/>
            </w:pPr>
            <w:r>
              <w:rPr>
                <w:color w:val="0a3328"/>
                <w:b/>
                <w:sz w:val="17"/>
              </w:rPr>
              <w:t xml:space="preserve">Procedimiento Escrito de Trabajo Seguro</w:t>
            </w:r>
          </w:p>
        </w:tc>
      </w:tr>
      <w:tr>
        <w:trPr>
          <w:cantSplit/>
        </w:trPr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Código: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CBO-SST-PETS-09</w:t>
            </w:r>
          </w:p>
        </w:tc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Versión: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01</w:t>
            </w:r>
          </w:p>
        </w:tc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Revisión: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00</w:t>
            </w:r>
          </w:p>
        </w:tc>
      </w:tr>
      <w:tr>
        <w:trPr>
          <w:cantSplit/>
        </w:trPr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Fecha de creación: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18/10/2026</w:t>
            </w:r>
          </w:p>
        </w:tc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Elaborado: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SST</w:t>
            </w:r>
          </w:p>
        </w:tc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Aprobado: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GG</w:t>
            </w:r>
          </w:p>
        </w:tc>
      </w:tr>
      <w:tr>
        <w:trPr>
          <w:cantSplit/>
        </w:trPr>
        <w:tc>
          <w:tcPr>
            <w:gridSpan w:val="3"/>
          </w:tcPr>
          <w:p>
            <w:pPr>
              <w:spacing w:lineRule="auto"/>
            </w:pPr>
            <w:r>
              <w:rPr>
                <w:color w:val="5E8676"/>
                <w:sz w:val="16"/>
              </w:rPr>
              <w:t xml:space="preserve">OBRA / CLIENTE: 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</w:r>
    </w:p>
    <w:p>
      <w:pPr>
        <w:pStyle w:val="Heading2"/>
        <w:spacing w:lineRule="auto"/>
      </w:pPr>
      <w:r>
        <w:rPr>
          <w:color w:val="0d5c46"/>
          <w:b/>
          <w:sz w:val="21"/>
        </w:rPr>
        <w:t xml:space="preserve">1. Objetivo</w:t>
      </w:r>
    </w:p>
    <w:p>
      <w:pPr>
        <w:spacing w:lineRule="auto"/>
      </w:pPr>
      <w:r>
        <w:rPr/>
        <w:t xml:space="preserve">Establecer los pasos para trasladar, montar, conectar y probar electrobombas, sistemas de presión constante e hidroneumáticos en cuartos de bombas y cisternas, controlando los riesgos de sobreesfuerzo, atrapamiento y electrocución.</w:t>
      </w:r>
    </w:p>
    <w:p>
      <w:pPr>
        <w:pStyle w:val="Heading2"/>
        <w:spacing w:lineRule="auto"/>
      </w:pPr>
      <w:r>
        <w:rPr>
          <w:color w:val="0d5c46"/>
          <w:b/>
          <w:sz w:val="21"/>
        </w:rPr>
        <w:t xml:space="preserve">2. Alcance</w:t>
      </w:r>
    </w:p>
    <w:p>
      <w:pPr>
        <w:spacing w:lineRule="auto"/>
      </w:pPr>
      <w:r>
        <w:rPr/>
        <w:t xml:space="preserve">Aplica a todo el personal de Casa Bonita Oregón S.A.C. que realice esta tarea en las obras de edificación donde la empresa presta servicios.</w:t>
      </w:r>
    </w:p>
    <w:p>
      <w:pPr>
        <w:pStyle w:val="Heading2"/>
        <w:spacing w:lineRule="auto"/>
      </w:pPr>
      <w:r>
        <w:rPr>
          <w:color w:val="0d5c46"/>
          <w:b/>
          <w:sz w:val="21"/>
        </w:rPr>
        <w:t xml:space="preserve">3. Referencias legales y otras normas</w:t>
      </w:r>
    </w:p>
    <w:p>
      <w:pPr>
        <w:numPr>
          <w:ilvl w:val="0"/>
          <w:numId w:val="1"/>
        </w:numPr>
        <w:spacing w:lineRule="auto"/>
      </w:pPr>
      <w:r>
        <w:rPr/>
        <w:t xml:space="preserve">Ley N° 29783, Ley de Seguridad y Salud en el Trabajo, y D.S. N° 005-2012-TR.</w:t>
      </w:r>
    </w:p>
    <w:p>
      <w:pPr>
        <w:numPr>
          <w:ilvl w:val="0"/>
          <w:numId w:val="1"/>
        </w:numPr>
        <w:spacing w:lineRule="auto"/>
      </w:pPr>
      <w:r>
        <w:rPr/>
        <w:t xml:space="preserve">D.S. N° 011-2019-TR, Reglamento de SST para el Sector Construcción.</w:t>
      </w:r>
    </w:p>
    <w:p>
      <w:pPr>
        <w:numPr>
          <w:ilvl w:val="0"/>
          <w:numId w:val="1"/>
        </w:numPr>
        <w:spacing w:lineRule="auto"/>
      </w:pPr>
      <w:r>
        <w:rPr/>
        <w:t xml:space="preserve">Norma G.050 Seguridad durante la Construcción.</w:t>
      </w:r>
    </w:p>
    <w:p>
      <w:pPr>
        <w:numPr>
          <w:ilvl w:val="0"/>
          <w:numId w:val="1"/>
        </w:numPr>
        <w:spacing w:lineRule="auto"/>
      </w:pPr>
      <w:r>
        <w:rPr/>
        <w:t xml:space="preserve">Norma IS.010 Instalaciones Sanitarias para Edificaciones (RNE).</w:t>
      </w:r>
    </w:p>
    <w:p>
      <w:pPr>
        <w:numPr>
          <w:ilvl w:val="0"/>
          <w:numId w:val="1"/>
        </w:numPr>
        <w:spacing w:lineRule="auto"/>
      </w:pPr>
      <w:r>
        <w:rPr/>
        <w:t xml:space="preserve">Código Nacional de Electricidad – Utilización.</w:t>
      </w:r>
    </w:p>
    <w:p>
      <w:pPr>
        <w:numPr>
          <w:ilvl w:val="0"/>
          <w:numId w:val="1"/>
        </w:numPr>
        <w:spacing w:lineRule="auto"/>
      </w:pPr>
      <w:r>
        <w:rPr/>
        <w:t xml:space="preserve">Manual del fabricante del equipo.</w:t>
      </w:r>
    </w:p>
    <w:p>
      <w:pPr>
        <w:pStyle w:val="Heading2"/>
        <w:spacing w:lineRule="auto"/>
      </w:pPr>
      <w:r>
        <w:rPr>
          <w:color w:val="0d5c46"/>
          <w:b/>
          <w:sz w:val="21"/>
        </w:rPr>
        <w:t xml:space="preserve">4. Responsabilidades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</w:tblBorders>
        <w:tblCellSpacing w:w="0" w:type="dxa"/>
        <w:tblW w:type="dxa" w:w="108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400"/>
        <w:gridCol w:w="54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6"/>
              </w:rPr>
              <w:t xml:space="preserve">Cargo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6"/>
              </w:rPr>
              <w:t xml:space="preserve">Responsabilidad</w:t>
            </w:r>
          </w:p>
        </w:tc>
      </w:tr>
      <w:tblGrid>
        <w:gridCol w:w="5400"/>
        <w:gridCol w:w="54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Maestro de obra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Planifica la tarea, elabora el ATS con la cuadrilla, tramita el PETAR cuando corresponde y verifica que se cumpla este procedimiento.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Supervisor de SST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Difunde este PETS, verifica su cumplimiento en campo, inspecciona EPP y herramientas, y detiene el trabajo si hay condiciones inseguras.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Operarios, oficiales y ayudantes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Cumple este procedimiento, usa el EPP, participa en el ATS y reporta de inmediato cualquier peligro o incidente.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>
          <w:color w:val="0d5c46"/>
          <w:b/>
          <w:sz w:val="21"/>
        </w:rPr>
        <w:t xml:space="preserve">5. Personal</w:t>
      </w:r>
    </w:p>
    <w:p>
      <w:pPr>
        <w:numPr>
          <w:ilvl w:val="0"/>
          <w:numId w:val="2"/>
        </w:numPr>
        <w:spacing w:lineRule="auto"/>
      </w:pPr>
      <w:r>
        <w:rPr/>
        <w:t xml:space="preserve">Operario u oficial gasfitero (montaje hidráulico).</w:t>
      </w:r>
    </w:p>
    <w:p>
      <w:pPr>
        <w:numPr>
          <w:ilvl w:val="0"/>
          <w:numId w:val="2"/>
        </w:numPr>
        <w:spacing w:lineRule="auto"/>
      </w:pPr>
      <w:r>
        <w:rPr/>
        <w:t xml:space="preserve">Electricista calificado (conexión eléctrica).</w:t>
      </w:r>
    </w:p>
    <w:p>
      <w:pPr>
        <w:numPr>
          <w:ilvl w:val="0"/>
          <w:numId w:val="2"/>
        </w:numPr>
        <w:spacing w:lineRule="auto"/>
      </w:pPr>
      <w:r>
        <w:rPr/>
        <w:t xml:space="preserve">Ayudante.</w:t>
      </w:r>
    </w:p>
    <w:p>
      <w:pPr>
        <w:pStyle w:val="Heading2"/>
        <w:spacing w:lineRule="auto"/>
      </w:pPr>
      <w:r>
        <w:rPr>
          <w:color w:val="0d5c46"/>
          <w:b/>
          <w:sz w:val="21"/>
        </w:rPr>
        <w:t xml:space="preserve">6. Equipos de protección personal</w:t>
      </w:r>
    </w:p>
    <w:p>
      <w:pPr>
        <w:numPr>
          <w:ilvl w:val="0"/>
          <w:numId w:val="3"/>
        </w:numPr>
        <w:spacing w:lineRule="auto"/>
      </w:pPr>
      <w:r>
        <w:rPr/>
        <w:t xml:space="preserve">Casco de seguridad con barbiquejo</w:t>
      </w:r>
    </w:p>
    <w:p>
      <w:pPr>
        <w:numPr>
          <w:ilvl w:val="0"/>
          <w:numId w:val="3"/>
        </w:numPr>
        <w:spacing w:lineRule="auto"/>
      </w:pPr>
      <w:r>
        <w:rPr/>
        <w:t xml:space="preserve">Lentes de seguridad</w:t>
      </w:r>
    </w:p>
    <w:p>
      <w:pPr>
        <w:numPr>
          <w:ilvl w:val="0"/>
          <w:numId w:val="3"/>
        </w:numPr>
        <w:spacing w:lineRule="auto"/>
      </w:pPr>
      <w:r>
        <w:rPr/>
        <w:t xml:space="preserve">Zapatos de seguridad</w:t>
      </w:r>
    </w:p>
    <w:p>
      <w:pPr>
        <w:numPr>
          <w:ilvl w:val="0"/>
          <w:numId w:val="3"/>
        </w:numPr>
        <w:spacing w:lineRule="auto"/>
      </w:pPr>
      <w:r>
        <w:rPr/>
        <w:t xml:space="preserve">Guantes de cuero</w:t>
      </w:r>
    </w:p>
    <w:p>
      <w:pPr>
        <w:numPr>
          <w:ilvl w:val="0"/>
          <w:numId w:val="3"/>
        </w:numPr>
        <w:spacing w:lineRule="auto"/>
      </w:pPr>
      <w:r>
        <w:rPr/>
        <w:t xml:space="preserve">Ropa de trabajo con cintas reflectivas</w:t>
      </w:r>
    </w:p>
    <w:p>
      <w:pPr>
        <w:numPr>
          <w:ilvl w:val="0"/>
          <w:numId w:val="3"/>
        </w:numPr>
        <w:spacing w:lineRule="auto"/>
      </w:pPr>
      <w:r>
        <w:rPr/>
        <w:t xml:space="preserve">Guantes dieléctricos y zapatos dieléctricos para la conexión eléctrica</w:t>
      </w:r>
    </w:p>
    <w:p>
      <w:pPr>
        <w:pStyle w:val="Heading2"/>
        <w:spacing w:lineRule="auto"/>
      </w:pPr>
      <w:r>
        <w:rPr>
          <w:color w:val="0d5c46"/>
          <w:b/>
          <w:sz w:val="21"/>
        </w:rPr>
        <w:t xml:space="preserve">7. Equipos, herramientas y materiales</w:t>
      </w:r>
    </w:p>
    <w:p>
      <w:pPr>
        <w:numPr>
          <w:ilvl w:val="0"/>
          <w:numId w:val="4"/>
        </w:numPr>
        <w:spacing w:lineRule="auto"/>
      </w:pPr>
      <w:r>
        <w:rPr/>
        <w:t xml:space="preserve">Tecle o polea con soporte, patín o carretilla</w:t>
      </w:r>
    </w:p>
    <w:p>
      <w:pPr>
        <w:numPr>
          <w:ilvl w:val="0"/>
          <w:numId w:val="4"/>
        </w:numPr>
        <w:spacing w:lineRule="auto"/>
      </w:pPr>
      <w:r>
        <w:rPr/>
        <w:t xml:space="preserve">Llaves, nivel, pernos de anclaje</w:t>
      </w:r>
    </w:p>
    <w:p>
      <w:pPr>
        <w:numPr>
          <w:ilvl w:val="0"/>
          <w:numId w:val="4"/>
        </w:numPr>
        <w:spacing w:lineRule="auto"/>
      </w:pPr>
      <w:r>
        <w:rPr/>
        <w:t xml:space="preserve">Válvulas, uniones universales, manómetro</w:t>
      </w:r>
    </w:p>
    <w:p>
      <w:pPr>
        <w:numPr>
          <w:ilvl w:val="0"/>
          <w:numId w:val="4"/>
        </w:numPr>
        <w:spacing w:lineRule="auto"/>
      </w:pPr>
      <w:r>
        <w:rPr/>
        <w:t xml:space="preserve">Kit de bloqueo y etiquetado</w:t>
      </w:r>
    </w:p>
    <w:p>
      <w:pPr>
        <w:numPr>
          <w:ilvl w:val="0"/>
          <w:numId w:val="4"/>
        </w:numPr>
        <w:spacing w:lineRule="auto"/>
      </w:pPr>
      <w:r>
        <w:rPr/>
        <w:t xml:space="preserve">Detector de tensión</w:t>
      </w:r>
    </w:p>
    <w:p>
      <w:pPr>
        <w:pStyle w:val="Heading2"/>
        <w:spacing w:lineRule="auto"/>
      </w:pPr>
      <w:r>
        <w:rPr>
          <w:color w:val="0d5c46"/>
          <w:b/>
          <w:sz w:val="21"/>
        </w:rPr>
        <w:t xml:space="preserve">8. Procedimiento</w:t>
      </w:r>
    </w:p>
    <w:p>
      <w:pPr>
        <w:pStyle w:val="Heading3"/>
        <w:spacing w:lineRule="auto"/>
      </w:pPr>
      <w:r>
        <w:rPr>
          <w:color w:val="0a3328"/>
          <w:b/>
          <w:sz w:val="19"/>
        </w:rPr>
        <w:t xml:space="preserve">Antes del trabajo</w:t>
      </w:r>
    </w:p>
    <w:p>
      <w:pPr>
        <w:numPr>
          <w:ilvl w:val="0"/>
          <w:numId w:val="5"/>
        </w:numPr>
        <w:spacing w:lineRule="auto"/>
      </w:pPr>
      <w:r>
        <w:rPr/>
        <w:t xml:space="preserve">Participar en la charla de 5 minutos y elaborar el ATS (CBO-SST-F-01) en el frente de trabajo, identificando los peligros del día.</w:t>
      </w:r>
    </w:p>
    <w:p>
      <w:pPr>
        <w:numPr>
          <w:ilvl w:val="0"/>
          <w:numId w:val="5"/>
        </w:numPr>
        <w:spacing w:lineRule="auto"/>
      </w:pPr>
      <w:r>
        <w:rPr/>
        <w:t xml:space="preserve">Inspeccionar el EPP y las herramientas; retirar de uso lo que esté dañado o no tenga la cinta del color del mes.</w:t>
      </w:r>
    </w:p>
    <w:p>
      <w:pPr>
        <w:numPr>
          <w:ilvl w:val="0"/>
          <w:numId w:val="5"/>
        </w:numPr>
        <w:spacing w:lineRule="auto"/>
      </w:pPr>
      <w:r>
        <w:rPr/>
        <w:t xml:space="preserve">Verificar el peso del equipo en su placa o manual; si supera 25 kg, trasladar con patín o entre varias personas (PETS-04).</w:t>
      </w:r>
    </w:p>
    <w:p>
      <w:pPr>
        <w:numPr>
          <w:ilvl w:val="0"/>
          <w:numId w:val="5"/>
        </w:numPr>
        <w:spacing w:lineRule="auto"/>
      </w:pPr>
      <w:r>
        <w:rPr/>
        <w:t xml:space="preserve">Si el cuarto de bombas está dentro de la cisterna o es un espacio confinado, aplicar el PETS-10.</w:t>
      </w:r>
    </w:p>
    <w:p>
      <w:pPr>
        <w:pStyle w:val="Heading3"/>
        <w:spacing w:lineRule="auto"/>
      </w:pPr>
      <w:r>
        <w:rPr>
          <w:color w:val="0a3328"/>
          <w:b/>
          <w:sz w:val="19"/>
        </w:rPr>
        <w:t xml:space="preserve">Montaje</w:t>
      </w:r>
    </w:p>
    <w:p>
      <w:pPr>
        <w:numPr>
          <w:ilvl w:val="0"/>
          <w:numId w:val="6"/>
        </w:numPr>
        <w:spacing w:lineRule="auto"/>
      </w:pPr>
      <w:r>
        <w:rPr/>
        <w:t xml:space="preserve">Bajar el equipo con tecle o polea, guiándolo con soga, sin colocar manos ni pies debajo de la carga.</w:t>
      </w:r>
    </w:p>
    <w:p>
      <w:pPr>
        <w:numPr>
          <w:ilvl w:val="0"/>
          <w:numId w:val="6"/>
        </w:numPr>
        <w:spacing w:lineRule="auto"/>
      </w:pPr>
      <w:r>
        <w:rPr/>
        <w:t xml:space="preserve">Colocar el equipo sobre su base, nivelarlo y anclarlo con pernos.</w:t>
      </w:r>
    </w:p>
    <w:p>
      <w:pPr>
        <w:numPr>
          <w:ilvl w:val="0"/>
          <w:numId w:val="6"/>
        </w:numPr>
        <w:spacing w:lineRule="auto"/>
      </w:pPr>
      <w:r>
        <w:rPr/>
        <w:t xml:space="preserve">Instalar las tuberías de succión e impulsión con sus válvulas, sin forzar las bridas del equipo.</w:t>
      </w:r>
    </w:p>
    <w:p>
      <w:pPr>
        <w:pStyle w:val="Heading3"/>
        <w:spacing w:lineRule="auto"/>
      </w:pPr>
      <w:r>
        <w:rPr>
          <w:color w:val="0a3328"/>
          <w:b/>
          <w:sz w:val="19"/>
        </w:rPr>
        <w:t xml:space="preserve">Conexión eléctrica (solo electricista)</w:t>
      </w:r>
    </w:p>
    <w:p>
      <w:pPr>
        <w:numPr>
          <w:ilvl w:val="0"/>
          <w:numId w:val="7"/>
        </w:numPr>
        <w:spacing w:lineRule="auto"/>
      </w:pPr>
      <w:r>
        <w:rPr/>
        <w:t xml:space="preserve">Desenergizar, bloquear y etiquetar el tablero de alimentación (PETS-14) y tramitar el PETAR eléctrico.</w:t>
      </w:r>
    </w:p>
    <w:p>
      <w:pPr>
        <w:numPr>
          <w:ilvl w:val="0"/>
          <w:numId w:val="7"/>
        </w:numPr>
        <w:spacing w:lineRule="auto"/>
      </w:pPr>
      <w:r>
        <w:rPr/>
        <w:t xml:space="preserve">Verificar la ausencia de tensión.</w:t>
      </w:r>
    </w:p>
    <w:p>
      <w:pPr>
        <w:numPr>
          <w:ilvl w:val="0"/>
          <w:numId w:val="7"/>
        </w:numPr>
        <w:spacing w:lineRule="auto"/>
      </w:pPr>
      <w:r>
        <w:rPr/>
        <w:t xml:space="preserve">Conectar el motor según el diagrama del fabricante, con su protección termomagnética, guardamotor y puesta a tierra.</w:t>
      </w:r>
    </w:p>
    <w:p>
      <w:pPr>
        <w:numPr>
          <w:ilvl w:val="0"/>
          <w:numId w:val="7"/>
        </w:numPr>
        <w:spacing w:lineRule="auto"/>
      </w:pPr>
      <w:r>
        <w:rPr/>
        <w:t xml:space="preserve">Retirar el bloqueo según el PETS-14.</w:t>
      </w:r>
    </w:p>
    <w:p>
      <w:pPr>
        <w:pStyle w:val="Heading3"/>
        <w:spacing w:lineRule="auto"/>
      </w:pPr>
      <w:r>
        <w:rPr>
          <w:color w:val="0a3328"/>
          <w:b/>
          <w:sz w:val="19"/>
        </w:rPr>
        <w:t xml:space="preserve">Prueba de funcionamiento</w:t>
      </w:r>
    </w:p>
    <w:p>
      <w:pPr>
        <w:numPr>
          <w:ilvl w:val="0"/>
          <w:numId w:val="8"/>
        </w:numPr>
        <w:spacing w:lineRule="auto"/>
      </w:pPr>
      <w:r>
        <w:rPr/>
        <w:t xml:space="preserve">Verificar que la cisterna tenga agua suficiente y que las válvulas estén abiertas (no hacer funcionar la bomba en seco).</w:t>
      </w:r>
    </w:p>
    <w:p>
      <w:pPr>
        <w:numPr>
          <w:ilvl w:val="0"/>
          <w:numId w:val="8"/>
        </w:numPr>
        <w:spacing w:lineRule="auto"/>
      </w:pPr>
      <w:r>
        <w:rPr/>
        <w:t xml:space="preserve">Verificar que el acople motor-bomba tenga su guarda.</w:t>
      </w:r>
    </w:p>
    <w:p>
      <w:pPr>
        <w:numPr>
          <w:ilvl w:val="0"/>
          <w:numId w:val="8"/>
        </w:numPr>
        <w:spacing w:lineRule="auto"/>
      </w:pPr>
      <w:r>
        <w:rPr/>
        <w:t xml:space="preserve">Arrancar el equipo, comprobar el sentido de giro, la presión y que no haya fugas.</w:t>
      </w:r>
    </w:p>
    <w:p>
      <w:pPr>
        <w:numPr>
          <w:ilvl w:val="0"/>
          <w:numId w:val="8"/>
        </w:numPr>
        <w:spacing w:lineRule="auto"/>
      </w:pPr>
      <w:r>
        <w:rPr/>
        <w:t xml:space="preserve">No manipular el equipo en funcionamiento.</w:t>
      </w:r>
    </w:p>
    <w:p>
      <w:pPr>
        <w:pStyle w:val="Heading3"/>
        <w:spacing w:lineRule="auto"/>
      </w:pPr>
      <w:r>
        <w:rPr>
          <w:color w:val="0a3328"/>
          <w:b/>
          <w:sz w:val="19"/>
        </w:rPr>
        <w:t xml:space="preserve">Al terminar</w:t>
      </w:r>
    </w:p>
    <w:p>
      <w:pPr>
        <w:numPr>
          <w:ilvl w:val="0"/>
          <w:numId w:val="9"/>
        </w:numPr>
        <w:spacing w:lineRule="auto"/>
      </w:pPr>
      <w:r>
        <w:rPr/>
        <w:t xml:space="preserve">Ordenar y limpiar el área; retirar desperdicios y dejar las herramientas en su lugar.</w:t>
      </w:r>
    </w:p>
    <w:p>
      <w:pPr>
        <w:numPr>
          <w:ilvl w:val="0"/>
          <w:numId w:val="9"/>
        </w:numPr>
        <w:spacing w:lineRule="auto"/>
      </w:pPr>
      <w:r>
        <w:rPr/>
        <w:t xml:space="preserve">Reportar al maestro de obra cualquier incidente, condición insegura o desviación ocurrida durante la tarea.</w:t>
      </w:r>
    </w:p>
    <w:p>
      <w:pPr>
        <w:pStyle w:val="Heading2"/>
        <w:spacing w:lineRule="auto"/>
      </w:pPr>
      <w:r>
        <w:rPr>
          <w:color w:val="0d5c46"/>
          <w:b/>
          <w:sz w:val="21"/>
        </w:rPr>
        <w:t xml:space="preserve">9. Restricciones</w:t>
      </w:r>
    </w:p>
    <w:p>
      <w:pPr>
        <w:numPr>
          <w:ilvl w:val="0"/>
          <w:numId w:val="10"/>
        </w:numPr>
        <w:spacing w:lineRule="auto"/>
      </w:pPr>
      <w:r>
        <w:rPr/>
        <w:t xml:space="preserve">El personal no electricista no realiza conexiones eléctricas.</w:t>
      </w:r>
    </w:p>
    <w:p>
      <w:pPr>
        <w:numPr>
          <w:ilvl w:val="0"/>
          <w:numId w:val="10"/>
        </w:numPr>
        <w:spacing w:lineRule="auto"/>
      </w:pPr>
      <w:r>
        <w:rPr/>
        <w:t xml:space="preserve">No pararse debajo de cargas suspendidas.</w:t>
      </w:r>
    </w:p>
    <w:p>
      <w:pPr>
        <w:numPr>
          <w:ilvl w:val="0"/>
          <w:numId w:val="10"/>
        </w:numPr>
        <w:spacing w:lineRule="auto"/>
      </w:pPr>
      <w:r>
        <w:rPr/>
        <w:t xml:space="preserve">No operar bombas sin guarda en el acople.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</w:tblBorders>
        <w:tblCellSpacing w:w="0" w:type="dxa"/>
        <w:tblW w:type="dxa" w:w="108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f4ede0"/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f4ede0"/>
          </w:tcPr>
          <w:p>
            <w:pPr>
              <w:jc w:val="center"/>
              <w:spacing w:lineRule="auto"/>
            </w:pPr>
            <w:r>
              <w:rPr>
                <w:color w:val="0a3328"/>
                <w:b/>
                <w:sz w:val="15"/>
              </w:rPr>
              <w:t xml:space="preserve">Elaborado por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f4ede0"/>
          </w:tcPr>
          <w:p>
            <w:pPr>
              <w:jc w:val="center"/>
              <w:spacing w:lineRule="auto"/>
            </w:pPr>
            <w:r>
              <w:rPr>
                <w:color w:val="0a3328"/>
                <w:b/>
                <w:sz w:val="15"/>
              </w:rPr>
              <w:t xml:space="preserve">Revisado por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f4ede0"/>
          </w:tcPr>
          <w:p>
            <w:pPr>
              <w:jc w:val="center"/>
              <w:spacing w:lineRule="auto"/>
            </w:pPr>
            <w:r>
              <w:rPr>
                <w:color w:val="0a3328"/>
                <w:b/>
                <w:sz w:val="15"/>
              </w:rPr>
              <w:t xml:space="preserve">Aprobado por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3f6b5b"/>
                <w:b/>
                <w:sz w:val="15"/>
              </w:rPr>
              <w:t xml:space="preserve">Cargo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Supervisor de SST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Responsable técnico / Maestro de obra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Gerente General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3f6b5b"/>
                <w:b/>
                <w:sz w:val="15"/>
              </w:rPr>
              <w:t xml:space="preserve">Nombre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Jesús Donato Villar Bendezú · DNI 72906209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3f6b5b"/>
                <w:b/>
                <w:sz w:val="15"/>
              </w:rPr>
              <w:t xml:space="preserve">Firma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5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5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5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3f6b5b"/>
                <w:b/>
                <w:sz w:val="15"/>
              </w:rPr>
              <w:t xml:space="preserve">Fecha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>
          <w:color w:val="0d5c46"/>
          <w:b/>
          <w:sz w:val="21"/>
        </w:rPr>
        <w:t xml:space="preserve">Registro de difusión del PETS</w:t>
      </w:r>
    </w:p>
    <w:p>
      <w:pPr>
        <w:spacing w:lineRule="auto"/>
      </w:pPr>
      <w:r>
        <w:rPr/>
        <w:t xml:space="preserve">Los trabajadores abajo firmantes declaran haber recibido la difusión de este procedimiento, haberlo entendido y comprometerse a cumplirlo.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</w:tblBorders>
        <w:tblCellSpacing w:w="0" w:type="dxa"/>
        <w:tblW w:type="dxa" w:w="108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800"/>
        <w:gridCol w:w="1800"/>
        <w:gridCol w:w="1800"/>
        <w:gridCol w:w="1800"/>
        <w:gridCol w:w="1800"/>
        <w:gridCol w:w="18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16"/>
              </w:rPr>
              <w:t xml:space="preserve">N°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6"/>
              </w:rPr>
              <w:t xml:space="preserve">Apellidos y nombres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6"/>
              </w:rPr>
              <w:t xml:space="preserve">DNI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6"/>
              </w:rPr>
              <w:t xml:space="preserve">Cargo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6"/>
              </w:rPr>
              <w:t xml:space="preserve">Fecha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6"/>
              </w:rPr>
              <w:t xml:space="preserve">Firma</w:t>
            </w:r>
          </w:p>
        </w:tc>
      </w:tr>
      <w:tblGrid>
        <w:gridCol w:w="1800"/>
        <w:gridCol w:w="1800"/>
        <w:gridCol w:w="1800"/>
        <w:gridCol w:w="1800"/>
        <w:gridCol w:w="1800"/>
        <w:gridCol w:w="18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13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14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15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16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17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18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</w:tbl>
    <w:p>
      <w:pPr>
        <w:spacing w:lineRule="auto"/>
      </w:pPr>
      <w:r>
        <w:rPr/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jc xmlns:ns1="http://schemas.openxmlformats.org/wordprocessingml/2006/main" ns1:val="center"/>
      <spacing xmlns:ns2="http://schemas.openxmlformats.org/wordprocessingml/2006/main" ns2:lineRule="auto"/>
    </pPr>
    <r>
      <rPr>
        <color xmlns:ns3="http://schemas.openxmlformats.org/wordprocessingml/2006/main" ns3:val="3F6B5B"/>
        <sz xmlns:ns4="http://schemas.openxmlformats.org/wordprocessingml/2006/main" ns4:val="14"/>
      </rPr>
      <t xml:space="preserve">Casa Bonita Oregón S.A.C. · RUC 20614484153 · CBO-SST-PETS-09</t>
    </r>
    <fldSimple xmlns:ns5="http://schemas.openxmlformats.org/wordprocessingml/2006/main" ns5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rial" w:eastAsiaTheme="minorHAnsi" w:hAnsiTheme="minorHAnsi" w:cstheme="minorBidi"/>
        <w:sz w:val="18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image" Target="media/image-KXQXn2Ly4QoH7-7B1rZUr.png" TargetMode="Internal"/>
  <Relationship Id="rId7" Type="http://schemas.openxmlformats.org/officeDocument/2006/relationships/image" Target="media/image-Cfdloo4aViw7K19vooJlY.png" TargetMode="Internal"/>
  <Relationship Id="rId8" Type="http://schemas.openxmlformats.org/officeDocument/2006/relationships/footer" Target="footer1.xml" TargetMode="Internal"/>
  <Relationship Id="rId9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Arial"/>
        <a:cs typeface=""/>
      </a:majorFont>
      <a:minorFont>
        <a:latin typeface="Arial"/>
        <a:ea typeface="Arial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CBO-SST-PETS-09 PETS Instalación de Electrobombas y Equipos de Bombeo</dc:title>
  <dc:subject/>
  <dc:creator>Casa Bonita Oregón S.A.C.</dc:creator>
  <cp:keywords>html-to-docx</cp:keywords>
  <dc:description/>
  <cp:lastModifiedBy>html-to-docx</cp:lastModifiedBy>
  <cp:revision>1</cp:revision>
  <dcterms:created xsi:type="dcterms:W3CDTF">2026-10-19T01:14:28.742Z</dcterms:created>
  <dcterms:modified xsi:type="dcterms:W3CDTF">2026-10-19T01:14:28.742Z</dcterms:modified>
</cp:coreProperties>
</file>