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720" w:right="720" w:bottom="720" w:left="720" w:header="360" w:footer="360" w:gutter="undefined"/>
      <w:footerReference r:id="rId8" w:type="default"/>
    </w:sectPr>
    <w:p>
      <w:pPr>
        <w:spacing w:lineRule="auto"/>
      </w:pPr>
      <w:r>
        <w:rPr/>
        <w:t xml:space="preserve"/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0"/>
        <w:gridCol w:w="3600"/>
        <w:gridCol w:w="360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drawing>
                <wp:inline distB="0" distL="0" distR="0" distT="0">
                  <wp:extent cx="3429000" cy="2730954"/>
                  <wp:effectExtent b="0" l="0" r="0" t="0"/>
                  <wp:docPr id="2" name="image-PEKze3ayJ27m7sAjt41uh.png"/>
                  <a:graphic>
                    <a:graphicData uri="http://schemas.openxmlformats.org/drawingml/2006/picture">
                      <pic:pic>
                        <pic:nvPicPr>
                          <pic:cNvPr id="2" name="image-PEKze3ayJ27m7sAjt41uh.png" descr=""/>
                          <pic:cNvPicPr/>
                        </pic:nvPicPr>
                        <pic:blipFill>
                          <a:blip r:embed="rId7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27309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9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0D5C46"/>
                <w:sz w:val="19"/>
                <w:b/>
              </w:rPr>
              <w:t xml:space="preserve">Casa Bonita Oregón</w:t>
            </w:r>
          </w:p>
        </w:tc>
        <w:tc>
          <w:tcPr>
            <w:gridSpan w:val="2"/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20"/>
              </w:rPr>
              <w:t xml:space="preserve">PLAN DE SEGURIDAD Y SALUD EN EL TRABAJO</w:t>
            </w:r>
          </w:p>
        </w:tc>
      </w:tr>
      <w:tr>
        <w:trPr>
          <w:cantSplit/>
        </w:trPr>
        <w:tc>
          <w:tcPr>
            <w:gridSpan w:val="3"/>
            <w:shd w:val="clear" w:fill="ffffff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7"/>
              </w:rPr>
              <w:t xml:space="preserve">Sistema de Gestión de SST</w:t>
            </w:r>
          </w:p>
        </w:tc>
      </w:tr>
      <w:tr>
        <w:trPr>
          <w:cantSplit/>
        </w:trPr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Código: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CBO-SST-PLN-01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Versión: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01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Revisión: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00</w:t>
            </w:r>
          </w:p>
        </w:tc>
      </w:tr>
      <w:tr>
        <w:trPr>
          <w:cantSplit/>
        </w:trPr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Fecha de creación: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18/10/2026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Elaborado: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SST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Aprobado: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GG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lineRule="auto"/>
            </w:pPr>
            <w:r>
              <w:rPr>
                <w:color w:val="5E8676"/>
                <w:sz w:val="16"/>
              </w:rPr>
              <w:t xml:space="preserve">OBRA / CLIENTE: 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Obra / proyecto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Cliente / contratista principal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Ubicación de la obra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Especialidad contratada</w:t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☐ Sanitarias    </w:t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   </w:t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☐ Eléctricas    </w:t>
            </w:r>
          </w:p>
        </w:tc>
      </w:tr>
      <w:tr>
        <w:trPr>
          <w:cantSplit/>
        </w:trPr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Plazo de ejecución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1. Objetivo</w:t>
      </w:r>
    </w:p>
    <w:p>
      <w:pPr>
        <w:spacing w:lineRule="auto"/>
      </w:pPr>
      <w:r>
        <w:rPr/>
        <w:t xml:space="preserve">Establecer las medidas de seguridad y salud en el trabajo que Casa Bonita Oregón S.A.C. aplicará durante la ejecución de las instalaciones sanitarias y/o eléctricas de la obra, con el fin de prevenir accidentes de trabajo, incidentes peligrosos y enfermedades ocupacionales, en concordancia con el Plan de SST de la obra del contratista principal.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2. Alcance</w:t>
      </w:r>
    </w:p>
    <w:p>
      <w:pPr>
        <w:spacing w:lineRule="auto"/>
      </w:pPr>
      <w:r>
        <w:rPr/>
        <w:t xml:space="preserve">Aplica a todo el personal de Casa Bonita Oregón S.A.C. (gerencia, supervisor de SST, maestros de obra, operarios, oficiales y ayudantes) y a todas las actividades de la empresa dentro de la obra: tendido de redes de agua (PPR) y desagüe (PVC), montantes, equipos de bombeo, cisternas y tanques, entubado, cableado, tableros, aparatos eléctricos, luminarias y pozos a tierra.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3. Base legal</w:t>
      </w:r>
    </w:p>
    <w:p>
      <w:pPr>
        <w:numPr>
          <w:ilvl w:val="0"/>
          <w:numId w:val="1"/>
        </w:numPr>
        <w:spacing w:lineRule="auto"/>
      </w:pPr>
      <w:r>
        <w:rPr/>
        <w:t xml:space="preserve">Ley N° 29783, Ley de Seguridad y Salud en el Trabajo, y su modificatoria Ley N° 30222.</w:t>
      </w:r>
    </w:p>
    <w:p>
      <w:pPr>
        <w:numPr>
          <w:ilvl w:val="0"/>
          <w:numId w:val="1"/>
        </w:numPr>
        <w:spacing w:lineRule="auto"/>
      </w:pPr>
      <w:r>
        <w:rPr/>
        <w:t xml:space="preserve">D.S. N° 005-2012-TR, Reglamento de la Ley de Seguridad y Salud en el Trabajo.</w:t>
      </w:r>
    </w:p>
    <w:p>
      <w:pPr>
        <w:numPr>
          <w:ilvl w:val="0"/>
          <w:numId w:val="1"/>
        </w:numPr>
        <w:spacing w:lineRule="auto"/>
      </w:pPr>
      <w:r>
        <w:rPr/>
        <w:t xml:space="preserve">D.S. N° 011-2019-TR, Reglamento de Seguridad y Salud en el Trabajo para el Sector Construcción.</w:t>
      </w:r>
    </w:p>
    <w:p>
      <w:pPr>
        <w:numPr>
          <w:ilvl w:val="0"/>
          <w:numId w:val="1"/>
        </w:numPr>
        <w:spacing w:lineRule="auto"/>
      </w:pPr>
      <w:r>
        <w:rPr/>
        <w:t xml:space="preserve">Norma G.050 Seguridad durante la Construcción, del Reglamento Nacional de Edificaciones.</w:t>
      </w:r>
    </w:p>
    <w:p>
      <w:pPr>
        <w:numPr>
          <w:ilvl w:val="0"/>
          <w:numId w:val="1"/>
        </w:numPr>
        <w:spacing w:lineRule="auto"/>
      </w:pPr>
      <w:r>
        <w:rPr/>
        <w:t xml:space="preserve">R.M. N° 050-2013-TR, Formatos referenciales del Sistema de Gestión de SST.</w:t>
      </w:r>
    </w:p>
    <w:p>
      <w:pPr>
        <w:numPr>
          <w:ilvl w:val="0"/>
          <w:numId w:val="1"/>
        </w:numPr>
        <w:spacing w:lineRule="auto"/>
      </w:pPr>
      <w:r>
        <w:rPr/>
        <w:t xml:space="preserve">R.M. N° 111-2013-MEM/DM, Reglamento de Seguridad y Salud en el Trabajo con Electricidad.</w:t>
      </w:r>
    </w:p>
    <w:p>
      <w:pPr>
        <w:numPr>
          <w:ilvl w:val="0"/>
          <w:numId w:val="1"/>
        </w:numPr>
        <w:spacing w:lineRule="auto"/>
      </w:pPr>
      <w:r>
        <w:rPr/>
        <w:t xml:space="preserve">Código Nacional de Electricidad – Utilización; Normas IS.010 y EM.010 del RNE.</w:t>
      </w:r>
    </w:p>
    <w:p>
      <w:pPr>
        <w:numPr>
          <w:ilvl w:val="0"/>
          <w:numId w:val="1"/>
        </w:numPr>
        <w:spacing w:lineRule="auto"/>
      </w:pPr>
      <w:r>
        <w:rPr/>
        <w:t xml:space="preserve">Ley N° 26790 y D.S. N° 003-98-SA, Seguro Complementario de Trabajo de Riesgo (SCTR).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4. Política de SST</w:t>
      </w:r>
    </w:p>
    <w:p>
      <w:pPr>
        <w:spacing w:lineRule="auto"/>
      </w:pPr>
      <w:r>
        <w:rPr/>
        <w:t xml:space="preserve">La Política de SST (CBO-SST-POL-01), firmada por la Gerencia General, se difunde a todo el personal en la inducción y se mantiene disponible en obra.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5. Organización y responsabilidades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Cargo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Responsabilidades en SST</w:t>
            </w:r>
          </w:p>
        </w:tc>
      </w:t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Gerente General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Liderar el sistema de SST; aprobar política, plan y programas; proveer recursos (EPP, capacitación, exámenes médicos, SCTR); designar al personal competente.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Supervisor de SST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Elaborar y actualizar IPERC, PETS y registros; realizar inducción, charlas e inspecciones; verificar ATS y PETAR; investigar incidentes; coordinar con el área de SST del contratista principal.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Maestro de obra / responsable de cuadrilla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Planificar el trabajo diario; elaborar el ATS con su cuadrilla; tramitar los PETAR; asegurar el uso de EPP y herramientas en buen estado; detener trabajos inseguros.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Operarios, oficiales y ayudantes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Cumplir los PETS y las indicaciones de seguridad; usar correctamente el EPP; participar en ATS y charlas; reportar peligros, incidentes y accidentes de inmediato.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La organización se detalla en el Organigrama de SST (CBO-SST-ORG-01).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6. Identificación de peligros, evaluación y control de riesgos</w:t>
      </w:r>
    </w:p>
    <w:p>
      <w:pPr>
        <w:numPr>
          <w:ilvl w:val="0"/>
          <w:numId w:val="2"/>
        </w:numPr>
        <w:spacing w:lineRule="auto"/>
      </w:pPr>
      <w:r>
        <w:rPr/>
        <w:t xml:space="preserve">Se aplica la </w:t>
      </w:r>
      <w:r>
        <w:rPr>
          <w:b/>
        </w:rPr>
        <w:t xml:space="preserve">Matriz IPERC</w:t>
      </w:r>
      <w:r>
        <w:rPr/>
        <w:t xml:space="preserve"> de instalaciones sanitarias (CBO-SST-IPERC-01) y de instalaciones eléctricas (CBO-SST-IPERC-02), con la metodología de la R.M. N° 050-2013-TR.</w:t>
      </w:r>
    </w:p>
    <w:p>
      <w:pPr>
        <w:numPr>
          <w:ilvl w:val="0"/>
          <w:numId w:val="2"/>
        </w:numPr>
        <w:spacing w:lineRule="auto"/>
      </w:pPr>
      <w:r>
        <w:rPr/>
        <w:t xml:space="preserve">Antes de cada tarea, la cuadrilla elabora el </w:t>
      </w:r>
      <w:r>
        <w:rPr>
          <w:b/>
        </w:rPr>
        <w:t xml:space="preserve">ATS</w:t>
      </w:r>
      <w:r>
        <w:rPr/>
        <w:t xml:space="preserve"> (CBO-SST-F-01) en el frente de trabajo.</w:t>
      </w:r>
    </w:p>
    <w:p>
      <w:pPr>
        <w:numPr>
          <w:ilvl w:val="0"/>
          <w:numId w:val="2"/>
        </w:numPr>
        <w:spacing w:lineRule="auto"/>
      </w:pPr>
      <w:r>
        <w:rPr/>
        <w:t xml:space="preserve">Los trabajos de alto riesgo requieren </w:t>
      </w:r>
      <w:r>
        <w:rPr>
          <w:b/>
        </w:rPr>
        <w:t xml:space="preserve">PETAR</w:t>
      </w:r>
      <w:r>
        <w:rPr/>
        <w:t xml:space="preserve">: trabajo en altura (F-02), trabajo en caliente (F-03), espacio confinado (F-04) y trabajo eléctrico (F-05).</w:t>
      </w:r>
    </w:p>
    <w:p>
      <w:pPr>
        <w:numPr>
          <w:ilvl w:val="0"/>
          <w:numId w:val="2"/>
        </w:numPr>
        <w:spacing w:lineRule="auto"/>
      </w:pPr>
      <w:r>
        <w:rPr/>
        <w:t xml:space="preserve">La IPERC se actualiza cuando cambian las condiciones de trabajo, ocurre un incidente o se incorpora una nueva actividad.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7. Procedimientos escritos de trabajo seguro (PETS)</w:t>
      </w:r>
    </w:p>
    <w:p>
      <w:pPr>
        <w:spacing w:lineRule="auto"/>
      </w:pPr>
      <w:r>
        <w:rPr/>
        <w:t xml:space="preserve">Las actividades se ejecutan según los PETS CBO-SST-PETS-01 al 18, que son difundidos al personal antes de iniciar cada actividad y se mantienen en el frente de trabajo.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8. Equipos de protección personal</w:t>
      </w:r>
    </w:p>
    <w:p>
      <w:pPr>
        <w:spacing w:lineRule="auto"/>
      </w:pPr>
      <w:r>
        <w:rPr/>
        <w:t xml:space="preserve">La empresa entrega gratuitamente el EPP según la Matriz de EPP por puesto (CBO-SST-MEP-01) y lo registra en el Registro de equipos de seguridad o emergencia (CBO-SST-REG-06). El EPP se inspecciona antes de cada uso y se repone cuando está dañado o vencido.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9. Capacitación y sensibilización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Inducción</w:t>
      </w:r>
      <w:r>
        <w:rPr/>
        <w:t xml:space="preserve"> a todo trabajador nuevo antes de ingresar a obra.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Charla de 5 minutos</w:t>
      </w:r>
      <w:r>
        <w:rPr/>
        <w:t xml:space="preserve"> diaria antes del inicio de labores (CBO-SST-F-06).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Capacitaciones específicas</w:t>
      </w:r>
      <w:r>
        <w:rPr/>
        <w:t xml:space="preserve"> según el Programa anual de capacitaciones (CBO-SST-PRG-02), como mínimo cuatro al año.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10. Inspecciones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0"/>
        <w:gridCol w:w="3600"/>
        <w:gridCol w:w="36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Inspección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Frecuencia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Formato</w:t>
            </w:r>
          </w:p>
        </w:tc>
      </w:tr>
      <w:tblGrid>
        <w:gridCol w:w="3600"/>
        <w:gridCol w:w="3600"/>
        <w:gridCol w:w="36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Herramientas eléctricas portátiles y extensiones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Diaria (antes del uso) y mensual con cinta de color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CBO-SST-F-07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Escaleras y andamios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Diaria antes del uso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CBO-SST-F-08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Arnés y línea de vida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Antes de cada uso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CBO-SST-F-09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Extintor y botiquín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Mensual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CBO-SST-F-10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Inspección general de SST del frente de trabajo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Semanal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CBO-SST-REG-04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11. Salud ocupacional</w:t>
      </w:r>
    </w:p>
    <w:p>
      <w:pPr>
        <w:numPr>
          <w:ilvl w:val="0"/>
          <w:numId w:val="4"/>
        </w:numPr>
        <w:spacing w:lineRule="auto"/>
      </w:pPr>
      <w:r>
        <w:rPr/>
        <w:t xml:space="preserve">Exámenes médicos ocupacionales preocupacional, periódico y de retiro, según la R.M. N° 312-2011-MINSA; examen de aptitud para trabajo en altura cuando corresponda.</w:t>
      </w:r>
    </w:p>
    <w:p>
      <w:pPr>
        <w:numPr>
          <w:ilvl w:val="0"/>
          <w:numId w:val="4"/>
        </w:numPr>
        <w:spacing w:lineRule="auto"/>
      </w:pPr>
      <w:r>
        <w:rPr/>
        <w:t xml:space="preserve">Todo trabajador cuenta con </w:t>
      </w:r>
      <w:r>
        <w:rPr>
          <w:b/>
        </w:rPr>
        <w:t xml:space="preserve">SCTR de salud y pensión</w:t>
      </w:r>
      <w:r>
        <w:rPr/>
        <w:t xml:space="preserve"> vigente antes de ingresar a obra.</w:t>
      </w:r>
    </w:p>
    <w:p>
      <w:pPr>
        <w:numPr>
          <w:ilvl w:val="0"/>
          <w:numId w:val="4"/>
        </w:numPr>
        <w:spacing w:lineRule="auto"/>
      </w:pPr>
      <w:r>
        <w:rPr/>
        <w:t xml:space="preserve">Registro de exámenes médicos ocupacionales (CBO-SST-REG-02).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12. Preparación y respuesta ante emergencias</w:t>
      </w:r>
    </w:p>
    <w:p>
      <w:pPr>
        <w:spacing w:lineRule="auto"/>
      </w:pPr>
      <w:r>
        <w:rPr/>
        <w:t xml:space="preserve">Se aplica el Plan de respuesta ante emergencias (CBO-SST-PLN-02), integrado al plan de emergencias de la obra. El personal participa en los simulacros que organice el contratista principal.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13. Investigación de accidentes e incidentes</w:t>
      </w:r>
    </w:p>
    <w:p>
      <w:pPr>
        <w:spacing w:lineRule="auto"/>
      </w:pPr>
      <w:r>
        <w:rPr/>
        <w:t xml:space="preserve">Todo accidente o incidente se reporta de inmediato al maestro de obra, al Supervisor de SST y al área de SST del contratista principal; se investiga y se registra en el Registro de accidentes de trabajo, incidentes peligrosos e incidentes (CBO-SST-REG-01). Los accidentes mortales y los incidentes peligrosos se notifican al Ministerio de Trabajo dentro de las 24 horas.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14. Registros del sistema</w:t>
      </w:r>
    </w:p>
    <w:p>
      <w:pPr>
        <w:spacing w:lineRule="auto"/>
      </w:pPr>
      <w:r>
        <w:rPr/>
        <w:t xml:space="preserve">Se mantienen los registros obligatorios de la R.M. N° 050-2013-TR (CBO-SST-REG-01 al 08), junto con los ATS, PETAR, charlas y check-lists de la obra.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15. Mejora continua</w:t>
      </w:r>
    </w:p>
    <w:p>
      <w:pPr>
        <w:spacing w:lineRule="auto"/>
      </w:pPr>
      <w:r>
        <w:rPr/>
        <w:t xml:space="preserve">Al cierre de cada obra y como mínimo una vez al año, la Gerencia General y el Supervisor de SST revisan los resultados (estadísticas, inspecciones, incidentes y auditorías) y actualizan este plan.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f4ede0"/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f4ede0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5"/>
              </w:rPr>
              <w:t xml:space="preserve">Elaborado por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f4ede0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5"/>
              </w:rPr>
              <w:t xml:space="preserve">Revisado por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f4ede0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5"/>
              </w:rPr>
              <w:t xml:space="preserve">Aprobado por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3f6b5b"/>
                <w:b/>
                <w:sz w:val="15"/>
              </w:rPr>
              <w:t xml:space="preserve">Cargo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Supervisor de SST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Responsable técnico / Maestro de obra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Gerente General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3f6b5b"/>
                <w:b/>
                <w:sz w:val="15"/>
              </w:rPr>
              <w:t xml:space="preserve">Nombre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Jesús Donato Villar Bendezú · DNI 72906209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3f6b5b"/>
                <w:b/>
                <w:sz w:val="15"/>
              </w:rPr>
              <w:t xml:space="preserve">Firma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3f6b5b"/>
                <w:b/>
                <w:sz w:val="15"/>
              </w:rPr>
              <w:t xml:space="preserve">Fecha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jc xmlns:ns1="http://schemas.openxmlformats.org/wordprocessingml/2006/main" ns1:val="center"/>
      <spacing xmlns:ns2="http://schemas.openxmlformats.org/wordprocessingml/2006/main" ns2:lineRule="auto"/>
    </pPr>
    <r>
      <rPr>
        <color xmlns:ns3="http://schemas.openxmlformats.org/wordprocessingml/2006/main" ns3:val="3F6B5B"/>
        <sz xmlns:ns4="http://schemas.openxmlformats.org/wordprocessingml/2006/main" ns4:val="14"/>
      </rPr>
      <t xml:space="preserve">Casa Bonita Oregón S.A.C. · RUC 20614484153 · CBO-SST-PLN-01</t>
    </r>
    <fldSimple xmlns:ns5="http://schemas.openxmlformats.org/wordprocessingml/2006/main" ns5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eastAsiaTheme="minorHAnsi" w:hAnsiTheme="minorHAnsi" w:cstheme="minorBidi"/>
        <w:sz w:val="18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image" Target="media/image-DvVedxS9pueVI1XcXGOe9.png" TargetMode="Internal"/>
  <Relationship Id="rId7" Type="http://schemas.openxmlformats.org/officeDocument/2006/relationships/image" Target="media/image-PEKze3ayJ27m7sAjt41uh.png" TargetMode="Internal"/>
  <Relationship Id="rId8" Type="http://schemas.openxmlformats.org/officeDocument/2006/relationships/footer" Target="footer1.xml" TargetMode="Internal"/>
  <Relationship Id="rId9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Arial"/>
        <a:cs typeface=""/>
      </a:majorFont>
      <a:minorFont>
        <a:latin typeface="Arial"/>
        <a:ea typeface="Arial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CBO-SST-PLN-01 Plan de Seguridad y Salud en el Trabajo</dc:title>
  <dc:subject/>
  <dc:creator>Casa Bonita Oregón S.A.C.</dc:creator>
  <cp:keywords>html-to-docx</cp:keywords>
  <dc:description/>
  <cp:lastModifiedBy>html-to-docx</cp:lastModifiedBy>
  <cp:revision>1</cp:revision>
  <dcterms:created xsi:type="dcterms:W3CDTF">2026-10-19T01:14:28.742Z</dcterms:created>
  <dcterms:modified xsi:type="dcterms:W3CDTF">2026-10-19T01:14:28.742Z</dcterms:modified>
</cp:coreProperties>
</file>