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7LVw4guFsS2h-UrnsxI71.png"/>
                  <a:graphic>
                    <a:graphicData uri="http://schemas.openxmlformats.org/drawingml/2006/picture">
                      <pic:pic>
                        <pic:nvPicPr>
                          <pic:cNvPr id="2" name="image-7LVw4guFsS2h-UrnsxI71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PLAN DE RESPUESTA ANTE EMERGENCIAS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CBO-SST-PLN-02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las acciones que el personal de Casa Bonita Oregón S.A.C. debe seguir antes, durante y después de una emergencia en obra, para proteger la vida de las personas y reducir los daños, en coordinación con el plan de emergencias del contratista principal.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Organización ante emergencias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Función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Nombre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Jefe de emergencia: dirige la respuesta y comunica al contratista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Brigada de primeros auxilios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Brigada contra incendios: uso de extintores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Brigada de evacuación: conduce al personal a la zona segura y cuenta al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 designado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Directorio de emergencia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Entidad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Teléfono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Bomberos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116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Policía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105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SAMU (ambulancia)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106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Centro de salud / clínica más cercana a la obra (nombre y dirección)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Aseguradora del SCTR – central de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Empresa eléctrica de la zona –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Área de SST del contratista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Gerente General – 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922 732 329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 – Casa Bonita Oregón S.A.C.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Recursos para emergencias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Extintor PQS</w:t>
      </w:r>
      <w:r>
        <w:rPr/>
        <w:t xml:space="preserve"> de 6 kg (tipo ABC) en cada frente de trabajo en caliente o eléctrico, con inspección mensual vigente.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Botiquín de primeros auxilios</w:t>
      </w:r>
      <w:r>
        <w:rPr/>
        <w:t xml:space="preserve">: gasas y apósitos estériles, vendas elásticas, esparadrapo, algodón, guantes descartables, suero fisiológico, alcohol, agua oxigenada, crema o gel para quemaduras, tijera, pinza, termómetro, linterna.</w:t>
      </w:r>
    </w:p>
    <w:p>
      <w:pPr>
        <w:numPr>
          <w:ilvl w:val="0"/>
          <w:numId w:val="1"/>
        </w:numPr>
        <w:spacing w:lineRule="auto"/>
      </w:pPr>
      <w:r>
        <w:rPr/>
        <w:t xml:space="preserve">Camilla rígida y collarín cervical (los de la obra, coordinados con el contratista principal).</w:t>
      </w:r>
    </w:p>
    <w:p>
      <w:pPr>
        <w:numPr>
          <w:ilvl w:val="0"/>
          <w:numId w:val="1"/>
        </w:numPr>
        <w:spacing w:lineRule="auto"/>
      </w:pPr>
      <w:r>
        <w:rPr/>
        <w:t xml:space="preserve">Celular con saldo y el directorio de emergencia impreso en el frente de trabajo.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Procedimiento general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Detener</w:t>
      </w:r>
      <w:r>
        <w:rPr/>
        <w:t xml:space="preserve"> el trabajo y alertar en voz alta a los compañeros.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Asegurar la zona</w:t>
      </w:r>
      <w:r>
        <w:rPr/>
        <w:t xml:space="preserve">: cortar la energía eléctrica, cerrar válvulas de agua o gas, apagar equipos.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Comunicar</w:t>
      </w:r>
      <w:r>
        <w:rPr/>
        <w:t xml:space="preserve"> al maestro de obra, al Supervisor de SST y al área de SST del contratista principal.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Atender</w:t>
      </w:r>
      <w:r>
        <w:rPr/>
        <w:t xml:space="preserve"> a los heridos solo si es seguro hacerlo; llamar al 106 o al 116 según el caso.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Evacuar</w:t>
      </w:r>
      <w:r>
        <w:rPr/>
        <w:t xml:space="preserve"> por la ruta señalizada hacia la zona segura y pasar lista al personal.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Reportar</w:t>
      </w:r>
      <w:r>
        <w:rPr/>
        <w:t xml:space="preserve"> el evento por escrito e investigarlo (CBO-SST-REG-01).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Procedimientos específicos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6.1 Incendio</w:t>
      </w:r>
    </w:p>
    <w:p>
      <w:pPr>
        <w:numPr>
          <w:ilvl w:val="0"/>
          <w:numId w:val="3"/>
        </w:numPr>
        <w:spacing w:lineRule="auto"/>
      </w:pPr>
      <w:r>
        <w:rPr/>
        <w:t xml:space="preserve">Dar la alarma y cortar la energía del tablero.</w:t>
      </w:r>
    </w:p>
    <w:p>
      <w:pPr>
        <w:numPr>
          <w:ilvl w:val="0"/>
          <w:numId w:val="3"/>
        </w:numPr>
        <w:spacing w:lineRule="auto"/>
      </w:pPr>
      <w:r>
        <w:rPr/>
        <w:t xml:space="preserve">Si el fuego es pequeño y se tiene entrenamiento, usar el extintor: quitar el seguro, apuntar a la base del fuego y descargar en forma de abanico, con el viento a la espalda.</w:t>
      </w:r>
    </w:p>
    <w:p>
      <w:pPr>
        <w:numPr>
          <w:ilvl w:val="0"/>
          <w:numId w:val="3"/>
        </w:numPr>
        <w:spacing w:lineRule="auto"/>
      </w:pPr>
      <w:r>
        <w:rPr/>
        <w:t xml:space="preserve">Si el fuego no se controla en segundos, evacuar y llamar al 116.</w:t>
      </w:r>
    </w:p>
    <w:p>
      <w:pPr>
        <w:numPr>
          <w:ilvl w:val="0"/>
          <w:numId w:val="3"/>
        </w:numPr>
        <w:spacing w:lineRule="auto"/>
      </w:pPr>
      <w:r>
        <w:rPr/>
        <w:t xml:space="preserve">No usar agua sobre fuego eléctrico; no regresar por objetos personales.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6.2 Sismo</w:t>
      </w:r>
    </w:p>
    <w:p>
      <w:pPr>
        <w:numPr>
          <w:ilvl w:val="0"/>
          <w:numId w:val="4"/>
        </w:numPr>
        <w:spacing w:lineRule="auto"/>
      </w:pPr>
      <w:r>
        <w:rPr/>
        <w:t xml:space="preserve">Detener el trabajo, soltar herramientas y alejarse de bordes de losa, ventanas, vanos, andamios y materiales apilados.</w:t>
      </w:r>
    </w:p>
    <w:p>
      <w:pPr>
        <w:numPr>
          <w:ilvl w:val="0"/>
          <w:numId w:val="4"/>
        </w:numPr>
        <w:spacing w:lineRule="auto"/>
      </w:pPr>
      <w:r>
        <w:rPr/>
        <w:t xml:space="preserve">Si está en altura, asegurarse a un punto de anclaje y bajar solo cuando el movimiento termine.</w:t>
      </w:r>
    </w:p>
    <w:p>
      <w:pPr>
        <w:numPr>
          <w:ilvl w:val="0"/>
          <w:numId w:val="4"/>
        </w:numPr>
        <w:spacing w:lineRule="auto"/>
      </w:pPr>
      <w:r>
        <w:rPr/>
        <w:t xml:space="preserve">Evacuar a la zona segura por la ruta señalizada, sin correr ni usar ascensores.</w:t>
      </w:r>
    </w:p>
    <w:p>
      <w:pPr>
        <w:numPr>
          <w:ilvl w:val="0"/>
          <w:numId w:val="4"/>
        </w:numPr>
        <w:spacing w:lineRule="auto"/>
      </w:pPr>
      <w:r>
        <w:rPr/>
        <w:t xml:space="preserve">Pasar lista y no reingresar hasta que el contratista principal lo autorice.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6.3 Contacto eléctrico (electrocución)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 tocar</w:t>
      </w:r>
      <w:r>
        <w:rPr/>
        <w:t xml:space="preserve"> a la víctima mientras esté en contacto con la corriente.</w:t>
      </w:r>
    </w:p>
    <w:p>
      <w:pPr>
        <w:numPr>
          <w:ilvl w:val="0"/>
          <w:numId w:val="5"/>
        </w:numPr>
        <w:spacing w:lineRule="auto"/>
      </w:pPr>
      <w:r>
        <w:rPr/>
        <w:t xml:space="preserve">Cortar la energía en el tablero o separar a la víctima con un elemento seco y aislante (madera, PVC).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si respira; si no respira, iniciar RCP y llamar al 106.</w:t>
      </w:r>
    </w:p>
    <w:p>
      <w:pPr>
        <w:numPr>
          <w:ilvl w:val="0"/>
          <w:numId w:val="5"/>
        </w:numPr>
        <w:spacing w:lineRule="auto"/>
      </w:pPr>
      <w:r>
        <w:rPr/>
        <w:t xml:space="preserve">Cubrir quemaduras con apósitos estériles y trasladar siempre a un centro médico, aunque la persona parezca estar bien.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6.4 Caída de altura</w:t>
      </w:r>
    </w:p>
    <w:p>
      <w:pPr>
        <w:numPr>
          <w:ilvl w:val="0"/>
          <w:numId w:val="6"/>
        </w:numPr>
        <w:spacing w:lineRule="auto"/>
      </w:pPr>
      <w:r>
        <w:rPr/>
        <w:t xml:space="preserve">No mover a la víctima si se sospecha lesión de columna; inmovilizar cuello.</w:t>
      </w:r>
    </w:p>
    <w:p>
      <w:pPr>
        <w:numPr>
          <w:ilvl w:val="0"/>
          <w:numId w:val="6"/>
        </w:numPr>
        <w:spacing w:lineRule="auto"/>
      </w:pPr>
      <w:r>
        <w:rPr/>
        <w:t xml:space="preserve">Si quedó suspendida en el arnés, rescatarla en el menor tiempo posible (máximo 15 minutos) para evitar el trauma por suspensión.</w:t>
      </w:r>
    </w:p>
    <w:p>
      <w:pPr>
        <w:numPr>
          <w:ilvl w:val="0"/>
          <w:numId w:val="6"/>
        </w:numPr>
        <w:spacing w:lineRule="auto"/>
      </w:pPr>
      <w:r>
        <w:rPr/>
        <w:t xml:space="preserve">Controlar hemorragias con presión directa y llamar al 106.</w:t>
      </w:r>
    </w:p>
    <w:p>
      <w:pPr>
        <w:numPr>
          <w:ilvl w:val="0"/>
          <w:numId w:val="6"/>
        </w:numPr>
        <w:spacing w:lineRule="auto"/>
      </w:pPr>
      <w:r>
        <w:rPr/>
        <w:t xml:space="preserve">Trasladar en camilla rígida con apoyo de personal entrenado.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6.5 Quemaduras (termofusión, soldadura, cortocircuito)</w:t>
      </w:r>
    </w:p>
    <w:p>
      <w:pPr>
        <w:numPr>
          <w:ilvl w:val="0"/>
          <w:numId w:val="7"/>
        </w:numPr>
        <w:spacing w:lineRule="auto"/>
      </w:pPr>
      <w:r>
        <w:rPr/>
        <w:t xml:space="preserve">Enfriar la zona con agua limpia a temperatura ambiente durante 10 a 20 minutos.</w:t>
      </w:r>
    </w:p>
    <w:p>
      <w:pPr>
        <w:numPr>
          <w:ilvl w:val="0"/>
          <w:numId w:val="7"/>
        </w:numPr>
        <w:spacing w:lineRule="auto"/>
      </w:pPr>
      <w:r>
        <w:rPr/>
        <w:t xml:space="preserve">No reventar ampollas ni aplicar pasta dental, aceite u otros remedios caseros.</w:t>
      </w:r>
    </w:p>
    <w:p>
      <w:pPr>
        <w:numPr>
          <w:ilvl w:val="0"/>
          <w:numId w:val="7"/>
        </w:numPr>
        <w:spacing w:lineRule="auto"/>
      </w:pPr>
      <w:r>
        <w:rPr/>
        <w:t xml:space="preserve">Cubrir con gasa estéril y trasladar al centro médico si la quemadura es extensa, profunda o en cara, manos o genitales.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6.6 Cortes y hemorragias</w:t>
      </w:r>
    </w:p>
    <w:p>
      <w:pPr>
        <w:numPr>
          <w:ilvl w:val="0"/>
          <w:numId w:val="8"/>
        </w:numPr>
        <w:spacing w:lineRule="auto"/>
      </w:pPr>
      <w:r>
        <w:rPr/>
        <w:t xml:space="preserve">Usar guantes descartables.</w:t>
      </w:r>
    </w:p>
    <w:p>
      <w:pPr>
        <w:numPr>
          <w:ilvl w:val="0"/>
          <w:numId w:val="8"/>
        </w:numPr>
        <w:spacing w:lineRule="auto"/>
      </w:pPr>
      <w:r>
        <w:rPr/>
        <w:t xml:space="preserve">Presionar la herida con gasa limpia y elevar la extremidad.</w:t>
      </w:r>
    </w:p>
    <w:p>
      <w:pPr>
        <w:numPr>
          <w:ilvl w:val="0"/>
          <w:numId w:val="8"/>
        </w:numPr>
        <w:spacing w:lineRule="auto"/>
      </w:pPr>
      <w:r>
        <w:rPr/>
        <w:t xml:space="preserve">Si la hemorragia no cede, mantener la presión y llamar al 106.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6.7 Intoxicación por solventes (pegamento y limpiador de PVC)</w:t>
      </w:r>
    </w:p>
    <w:p>
      <w:pPr>
        <w:numPr>
          <w:ilvl w:val="0"/>
          <w:numId w:val="9"/>
        </w:numPr>
        <w:spacing w:lineRule="auto"/>
      </w:pPr>
      <w:r>
        <w:rPr/>
        <w:t xml:space="preserve">Retirar a la persona a un lugar ventilado.</w:t>
      </w:r>
    </w:p>
    <w:p>
      <w:pPr>
        <w:numPr>
          <w:ilvl w:val="0"/>
          <w:numId w:val="9"/>
        </w:numPr>
        <w:spacing w:lineRule="auto"/>
      </w:pPr>
      <w:r>
        <w:rPr/>
        <w:t xml:space="preserve">En contacto con ojos, lavar con abundante agua durante 15 minutos.</w:t>
      </w:r>
    </w:p>
    <w:p>
      <w:pPr>
        <w:numPr>
          <w:ilvl w:val="0"/>
          <w:numId w:val="9"/>
        </w:numPr>
        <w:spacing w:lineRule="auto"/>
      </w:pPr>
      <w:r>
        <w:rPr/>
        <w:t xml:space="preserve">Llevar la hoja de seguridad (MSDS) del producto al centro médico.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6.8 Emergencia en cisterna o tanque (espacio confinado)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Nunca ingresar a rescatar sin equipo y entrenamiento</w:t>
      </w:r>
      <w:r>
        <w:rPr/>
        <w:t xml:space="preserve">: la mayoría de muertes en espacios confinados son de rescatistas.</w:t>
      </w:r>
    </w:p>
    <w:p>
      <w:pPr>
        <w:numPr>
          <w:ilvl w:val="0"/>
          <w:numId w:val="10"/>
        </w:numPr>
        <w:spacing w:lineRule="auto"/>
      </w:pPr>
      <w:r>
        <w:rPr/>
        <w:t xml:space="preserve">El vigía da la alarma y, si existe, utiliza la línea de rescate desde afuera.</w:t>
      </w:r>
    </w:p>
    <w:p>
      <w:pPr>
        <w:numPr>
          <w:ilvl w:val="0"/>
          <w:numId w:val="10"/>
        </w:numPr>
        <w:spacing w:lineRule="auto"/>
      </w:pPr>
      <w:r>
        <w:rPr/>
        <w:t xml:space="preserve">Ventilar el espacio y llamar al 116.</w:t>
      </w:r>
    </w:p>
    <w:p>
      <w:pPr>
        <w:numPr>
          <w:ilvl w:val="0"/>
          <w:numId w:val="10"/>
        </w:numPr>
        <w:spacing w:lineRule="auto"/>
      </w:pPr>
      <w:r>
        <w:rPr/>
        <w:t xml:space="preserve">El ingreso de rescate solo lo hace personal entrenado con equipo de protección respiratoria.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6.9 Derrumbe en zanja o excavación de pozo a tierra</w:t>
      </w:r>
    </w:p>
    <w:p>
      <w:pPr>
        <w:numPr>
          <w:ilvl w:val="0"/>
          <w:numId w:val="11"/>
        </w:numPr>
        <w:spacing w:lineRule="auto"/>
      </w:pPr>
      <w:r>
        <w:rPr/>
        <w:t xml:space="preserve">Evacuar la zanja y alejar al personal del borde.</w:t>
      </w:r>
    </w:p>
    <w:p>
      <w:pPr>
        <w:numPr>
          <w:ilvl w:val="0"/>
          <w:numId w:val="11"/>
        </w:numPr>
        <w:spacing w:lineRule="auto"/>
      </w:pPr>
      <w:r>
        <w:rPr/>
        <w:t xml:space="preserve">No intentar desenterrar con herramientas a la víctima sin asegurar las paredes; llamar al 116.</w:t>
      </w:r>
    </w:p>
    <w:p>
      <w:pPr>
        <w:numPr>
          <w:ilvl w:val="0"/>
          <w:numId w:val="11"/>
        </w:numPr>
        <w:spacing w:lineRule="auto"/>
      </w:pPr>
      <w:r>
        <w:rPr/>
        <w:t xml:space="preserve">Retirar la tierra con las manos alrededor de la cabeza y el pecho para permitir que respire.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Después de la emergencia</w:t>
      </w:r>
    </w:p>
    <w:p>
      <w:pPr>
        <w:numPr>
          <w:ilvl w:val="0"/>
          <w:numId w:val="12"/>
        </w:numPr>
        <w:spacing w:lineRule="auto"/>
      </w:pPr>
      <w:r>
        <w:rPr/>
        <w:t xml:space="preserve">Informar por escrito al contratista principal y a la Gerencia General.</w:t>
      </w:r>
    </w:p>
    <w:p>
      <w:pPr>
        <w:numPr>
          <w:ilvl w:val="0"/>
          <w:numId w:val="12"/>
        </w:numPr>
        <w:spacing w:lineRule="auto"/>
      </w:pPr>
      <w:r>
        <w:rPr/>
        <w:t xml:space="preserve">Investigar las causas y registrar en CBO-SST-REG-01.</w:t>
      </w:r>
    </w:p>
    <w:p>
      <w:pPr>
        <w:numPr>
          <w:ilvl w:val="0"/>
          <w:numId w:val="12"/>
        </w:numPr>
        <w:spacing w:lineRule="auto"/>
      </w:pPr>
      <w:r>
        <w:rPr/>
        <w:t xml:space="preserve">Notificar al Ministerio de Trabajo dentro de las 24 horas los accidentes mortales e incidentes peligrosos.</w:t>
      </w:r>
    </w:p>
    <w:p>
      <w:pPr>
        <w:numPr>
          <w:ilvl w:val="0"/>
          <w:numId w:val="12"/>
        </w:numPr>
        <w:spacing w:lineRule="auto"/>
      </w:pPr>
      <w:r>
        <w:rPr/>
        <w:t xml:space="preserve">Reponer los extintores y materiales del botiquín utilizados.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Simulacros</w:t>
      </w:r>
    </w:p>
    <w:p>
      <w:pPr>
        <w:spacing w:lineRule="auto"/>
      </w:pPr>
      <w:r>
        <w:rPr/>
        <w:t xml:space="preserve">El personal participa en los simulacros programados por el contratista principal; cuando la empresa los organice, se registran en CBO-SST-REG-07.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CBO-SST-PLN-02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UYBlWqI21Y21PL1Y3wr3C.png" TargetMode="Internal"/>
  <Relationship Id="rId7" Type="http://schemas.openxmlformats.org/officeDocument/2006/relationships/image" Target="media/image-7LVw4guFsS2h-UrnsxI71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CBO-SST-PLN-02 Plan de Respuesta ante Emergencias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