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FoYztRo3eLnitF3Y5vJxo.png"/>
                  <a:graphic>
                    <a:graphicData uri="http://schemas.openxmlformats.org/drawingml/2006/picture">
                      <pic:pic>
                        <pic:nvPicPr>
                          <pic:cNvPr id="2" name="image-FoYztRo3eLnitF3Y5vJxo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REGISTRO DEL MONITOREO DE AGENTES OCUPACIONALES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Registro obligatorio · R.M. N° 050-2013-TR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CBO-SST-REG-03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Razón social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Domicilio (dirección, distrito, provincia)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Av. Prolongación Huiracocha Mz. PP9 Lt. 11A, San Antonio – Huarochirí, Lima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Actividad económica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sanitarias y eléctricas en edificaciones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trabajadores en el centro de labores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centro de labores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Tipo de agente:</w:t>
      </w:r>
      <w:r>
        <w:rPr/>
        <w:t xml:space="preserve">☐ Físico (ruido, vibración, radiación UV)    </w:t>
      </w:r>
      <w:r>
        <w:rPr/>
        <w:t xml:space="preserve">☐ Químico (polvo, sílice, vapores de solventes)    </w:t>
      </w:r>
      <w:r>
        <w:rPr/>
        <w:t xml:space="preserve">☐ Biológico    </w:t>
      </w:r>
      <w:r>
        <w:rPr/>
        <w:t xml:space="preserve">☐ Disergonómico    </w:t>
      </w:r>
      <w:r>
        <w:rPr/>
        <w:t xml:space="preserve">☐ Psicosocial   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Agente monitoreado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Área / puesto monitoreado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N° de trabajadores expuestos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Método / equipo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Resultado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Límite permisible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Conclusiones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Medidas de control recomendadas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Empresa que monitoreó</w:t>
            </w:r>
          </w:p>
        </w:tc>
      </w:tr>
      <w:tblGrid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Adjuntar el informe del monitoreo. En obra, los monitoreos pueden ser realizados por el contratista principal o por una empresa especializada; registrar aquí los resultados que involucren al personal de la empresa.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Responsable del registro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Apellidos y nombres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Cargo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CBO-SST-REG-03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Hcumb-SbRwGgIdzdCOR7x.png" TargetMode="Internal"/>
  <Relationship Id="rId7" Type="http://schemas.openxmlformats.org/officeDocument/2006/relationships/image" Target="media/image-FoYztRo3eLnitF3Y5vJxo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CBO-SST-REG-03 Registro del Monitoreo de Agentes Ocupacionales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