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6Xh-YglX7lmcIYgvLryCz.png"/>
                  <a:graphic>
                    <a:graphicData uri="http://schemas.openxmlformats.org/drawingml/2006/picture">
                      <pic:pic>
                        <pic:nvPicPr>
                          <pic:cNvPr id="2" name="image-6Xh-YglX7lmcIYgvLryCz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EQUIPOS DE SEGURIDAD O EMERGENCIA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Tipo de equipo:</w:t>
      </w:r>
      <w:r>
        <w:rPr/>
        <w:t xml:space="preserve">☐ Equipo de protección personal (EPP)    </w:t>
      </w:r>
      <w:r>
        <w:rPr/>
        <w:t xml:space="preserve">☐ Equipo de emergencia (extintor, botiquín, camilla)    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Equipo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 de 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Motivo (nuevo / reposición / pérdida)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 de renovación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 del trabajador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El EPP se entrega gratuitamente según la Matriz de EPP por puesto (CBO-SST-MEP-01). El trabajador se compromete a usarlo, cuidarlo y solicitar su cambio cuando esté dañado.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Responsable del registro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CBO-SST-REG-06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PLZGBf9tEsarvEQGDZYkl.png" TargetMode="Internal"/>
  <Relationship Id="rId7" Type="http://schemas.openxmlformats.org/officeDocument/2006/relationships/image" Target="media/image-6Xh-YglX7lmcIYgvLryCz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CBO-SST-REG-06 Registro de Equipos de Seguridad o Emergencia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