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E9782" w14:textId="4D0E9088" w:rsidR="00E90102" w:rsidRPr="00544189" w:rsidRDefault="008129CC" w:rsidP="00E90102">
      <w:pPr>
        <w:pStyle w:val="Ttulo"/>
      </w:pPr>
      <w:r>
        <w:t>Calibración de</w:t>
      </w:r>
      <w:r w:rsidR="00F20AE3">
        <w:t xml:space="preserve"> </w:t>
      </w:r>
      <w:r>
        <w:t>l</w:t>
      </w:r>
      <w:r w:rsidR="00F20AE3">
        <w:t>a ET en el modelo TETIS</w:t>
      </w:r>
      <w:r>
        <w:t xml:space="preserve"> con datos satelitales</w:t>
      </w:r>
    </w:p>
    <w:p w14:paraId="7877E86B" w14:textId="77777777" w:rsidR="005A4EC8" w:rsidRPr="00F5342E" w:rsidRDefault="00E96985" w:rsidP="005A4EC8">
      <w:pPr>
        <w:pStyle w:val="ndice"/>
        <w:ind w:firstLine="0"/>
      </w:pPr>
      <w:r w:rsidRPr="00F5342E">
        <w:t>Índice</w:t>
      </w:r>
    </w:p>
    <w:p w14:paraId="36C93C4C" w14:textId="5FEB52F8" w:rsidR="00BF4450" w:rsidRDefault="00F110AF">
      <w:pPr>
        <w:pStyle w:val="TDC1"/>
        <w:rPr>
          <w:rFonts w:asciiTheme="minorHAnsi" w:eastAsiaTheme="minorEastAsia" w:hAnsiTheme="minorHAnsi"/>
          <w:szCs w:val="22"/>
          <w:lang w:val="en-GB" w:eastAsia="en-GB"/>
        </w:rPr>
      </w:pPr>
      <w:r>
        <w:fldChar w:fldCharType="begin"/>
      </w:r>
      <w:r>
        <w:instrText xml:space="preserve"> TOC \o "2-2" \n \p " " \h \z \t "Título 1;1" </w:instrText>
      </w:r>
      <w:r>
        <w:fldChar w:fldCharType="separate"/>
      </w:r>
      <w:hyperlink w:anchor="_Toc101721379" w:history="1">
        <w:r w:rsidR="00BF4450" w:rsidRPr="00EA6746">
          <w:rPr>
            <w:rStyle w:val="Hipervnculo"/>
          </w:rPr>
          <w:t>1.</w:t>
        </w:r>
        <w:r w:rsidR="00BF4450">
          <w:rPr>
            <w:rFonts w:asciiTheme="minorHAnsi" w:eastAsiaTheme="minorEastAsia" w:hAnsiTheme="minorHAnsi"/>
            <w:szCs w:val="22"/>
            <w:lang w:val="en-GB" w:eastAsia="en-GB"/>
          </w:rPr>
          <w:tab/>
        </w:r>
        <w:r w:rsidR="00BF4450" w:rsidRPr="00EA6746">
          <w:rPr>
            <w:rStyle w:val="Hipervnculo"/>
          </w:rPr>
          <w:t>Introducción</w:t>
        </w:r>
      </w:hyperlink>
    </w:p>
    <w:p w14:paraId="611AF930" w14:textId="26178D96" w:rsidR="00BF4450" w:rsidRDefault="00BF4450">
      <w:pPr>
        <w:pStyle w:val="TDC1"/>
        <w:rPr>
          <w:rFonts w:asciiTheme="minorHAnsi" w:eastAsiaTheme="minorEastAsia" w:hAnsiTheme="minorHAnsi"/>
          <w:szCs w:val="22"/>
          <w:lang w:val="en-GB" w:eastAsia="en-GB"/>
        </w:rPr>
      </w:pPr>
      <w:hyperlink w:anchor="_Toc101721380" w:history="1">
        <w:r w:rsidRPr="00EA6746">
          <w:rPr>
            <w:rStyle w:val="Hipervnculo"/>
          </w:rPr>
          <w:t>2.</w:t>
        </w:r>
        <w:r>
          <w:rPr>
            <w:rFonts w:asciiTheme="minorHAnsi" w:eastAsiaTheme="minorEastAsia" w:hAnsiTheme="minorHAnsi"/>
            <w:szCs w:val="22"/>
            <w:lang w:val="en-GB" w:eastAsia="en-GB"/>
          </w:rPr>
          <w:tab/>
        </w:r>
        <w:r w:rsidRPr="00EA6746">
          <w:rPr>
            <w:rStyle w:val="Hipervnculo"/>
          </w:rPr>
          <w:t>Zona de estudio</w:t>
        </w:r>
      </w:hyperlink>
    </w:p>
    <w:p w14:paraId="62D68E83" w14:textId="33263140" w:rsidR="00BF4450" w:rsidRDefault="00BF4450">
      <w:pPr>
        <w:pStyle w:val="TDC1"/>
        <w:rPr>
          <w:rFonts w:asciiTheme="minorHAnsi" w:eastAsiaTheme="minorEastAsia" w:hAnsiTheme="minorHAnsi"/>
          <w:szCs w:val="22"/>
          <w:lang w:val="en-GB" w:eastAsia="en-GB"/>
        </w:rPr>
      </w:pPr>
      <w:hyperlink w:anchor="_Toc101721381" w:history="1">
        <w:r w:rsidRPr="00EA6746">
          <w:rPr>
            <w:rStyle w:val="Hipervnculo"/>
          </w:rPr>
          <w:t>3.</w:t>
        </w:r>
        <w:r>
          <w:rPr>
            <w:rFonts w:asciiTheme="minorHAnsi" w:eastAsiaTheme="minorEastAsia" w:hAnsiTheme="minorHAnsi"/>
            <w:szCs w:val="22"/>
            <w:lang w:val="en-GB" w:eastAsia="en-GB"/>
          </w:rPr>
          <w:tab/>
        </w:r>
        <w:r w:rsidRPr="00EA6746">
          <w:rPr>
            <w:rStyle w:val="Hipervnculo"/>
          </w:rPr>
          <w:t>Datos</w:t>
        </w:r>
      </w:hyperlink>
    </w:p>
    <w:p w14:paraId="5C261CE4" w14:textId="316BC6ED"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82" w:history="1">
        <w:r w:rsidRPr="00EA6746">
          <w:rPr>
            <w:rStyle w:val="Hipervnculo"/>
            <w:noProof/>
          </w:rPr>
          <w:t>3.1</w:t>
        </w:r>
        <w:r>
          <w:rPr>
            <w:rFonts w:asciiTheme="minorHAnsi" w:eastAsiaTheme="minorEastAsia" w:hAnsiTheme="minorHAnsi"/>
            <w:noProof/>
            <w:sz w:val="22"/>
            <w:lang w:val="en-GB" w:eastAsia="en-GB"/>
          </w:rPr>
          <w:tab/>
        </w:r>
        <w:r w:rsidRPr="00EA6746">
          <w:rPr>
            <w:rStyle w:val="Hipervnculo"/>
            <w:noProof/>
          </w:rPr>
          <w:t>Evapotranspiración</w:t>
        </w:r>
      </w:hyperlink>
    </w:p>
    <w:p w14:paraId="3D2F46D9" w14:textId="3EF8EEEB"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83" w:history="1">
        <w:r w:rsidRPr="00EA6746">
          <w:rPr>
            <w:rStyle w:val="Hipervnculo"/>
            <w:noProof/>
          </w:rPr>
          <w:t>3.2</w:t>
        </w:r>
        <w:r>
          <w:rPr>
            <w:rFonts w:asciiTheme="minorHAnsi" w:eastAsiaTheme="minorEastAsia" w:hAnsiTheme="minorHAnsi"/>
            <w:noProof/>
            <w:sz w:val="22"/>
            <w:lang w:val="en-GB" w:eastAsia="en-GB"/>
          </w:rPr>
          <w:tab/>
        </w:r>
        <w:r w:rsidRPr="00EA6746">
          <w:rPr>
            <w:rStyle w:val="Hipervnculo"/>
            <w:noProof/>
          </w:rPr>
          <w:t>Cobertura del suelo</w:t>
        </w:r>
      </w:hyperlink>
    </w:p>
    <w:p w14:paraId="59BDBB83" w14:textId="65F29A0D"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84" w:history="1">
        <w:r w:rsidRPr="00EA6746">
          <w:rPr>
            <w:rStyle w:val="Hipervnculo"/>
            <w:noProof/>
          </w:rPr>
          <w:t>3.3</w:t>
        </w:r>
        <w:r>
          <w:rPr>
            <w:rFonts w:asciiTheme="minorHAnsi" w:eastAsiaTheme="minorEastAsia" w:hAnsiTheme="minorHAnsi"/>
            <w:noProof/>
            <w:sz w:val="22"/>
            <w:lang w:val="en-GB" w:eastAsia="en-GB"/>
          </w:rPr>
          <w:tab/>
        </w:r>
        <w:r w:rsidRPr="00EA6746">
          <w:rPr>
            <w:rStyle w:val="Hipervnculo"/>
            <w:noProof/>
          </w:rPr>
          <w:t>LAI</w:t>
        </w:r>
      </w:hyperlink>
    </w:p>
    <w:p w14:paraId="5ECF71C5" w14:textId="31085431"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85" w:history="1">
        <w:r w:rsidRPr="00EA6746">
          <w:rPr>
            <w:rStyle w:val="Hipervnculo"/>
            <w:noProof/>
          </w:rPr>
          <w:t>3.4</w:t>
        </w:r>
        <w:r>
          <w:rPr>
            <w:rFonts w:asciiTheme="minorHAnsi" w:eastAsiaTheme="minorEastAsia" w:hAnsiTheme="minorHAnsi"/>
            <w:noProof/>
            <w:sz w:val="22"/>
            <w:lang w:val="en-GB" w:eastAsia="en-GB"/>
          </w:rPr>
          <w:tab/>
        </w:r>
        <w:r w:rsidRPr="00EA6746">
          <w:rPr>
            <w:rStyle w:val="Hipervnculo"/>
            <w:noProof/>
          </w:rPr>
          <w:t>Clima</w:t>
        </w:r>
      </w:hyperlink>
    </w:p>
    <w:p w14:paraId="574C82F5" w14:textId="3DD719B9" w:rsidR="00BF4450" w:rsidRDefault="00BF4450">
      <w:pPr>
        <w:pStyle w:val="TDC1"/>
        <w:rPr>
          <w:rFonts w:asciiTheme="minorHAnsi" w:eastAsiaTheme="minorEastAsia" w:hAnsiTheme="minorHAnsi"/>
          <w:szCs w:val="22"/>
          <w:lang w:val="en-GB" w:eastAsia="en-GB"/>
        </w:rPr>
      </w:pPr>
      <w:hyperlink w:anchor="_Toc101721386" w:history="1">
        <w:r w:rsidRPr="00EA6746">
          <w:rPr>
            <w:rStyle w:val="Hipervnculo"/>
          </w:rPr>
          <w:t>4.</w:t>
        </w:r>
        <w:r>
          <w:rPr>
            <w:rFonts w:asciiTheme="minorHAnsi" w:eastAsiaTheme="minorEastAsia" w:hAnsiTheme="minorHAnsi"/>
            <w:szCs w:val="22"/>
            <w:lang w:val="en-GB" w:eastAsia="en-GB"/>
          </w:rPr>
          <w:tab/>
        </w:r>
        <w:r w:rsidRPr="00EA6746">
          <w:rPr>
            <w:rStyle w:val="Hipervnculo"/>
          </w:rPr>
          <w:t>Métodos</w:t>
        </w:r>
      </w:hyperlink>
    </w:p>
    <w:p w14:paraId="2D48DC87" w14:textId="7F7A3719"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87" w:history="1">
        <w:r w:rsidRPr="00EA6746">
          <w:rPr>
            <w:rStyle w:val="Hipervnculo"/>
            <w:noProof/>
          </w:rPr>
          <w:t>4.1</w:t>
        </w:r>
        <w:r>
          <w:rPr>
            <w:rFonts w:asciiTheme="minorHAnsi" w:eastAsiaTheme="minorEastAsia" w:hAnsiTheme="minorHAnsi"/>
            <w:noProof/>
            <w:sz w:val="22"/>
            <w:lang w:val="en-GB" w:eastAsia="en-GB"/>
          </w:rPr>
          <w:tab/>
        </w:r>
        <w:r w:rsidRPr="00EA6746">
          <w:rPr>
            <w:rStyle w:val="Hipervnculo"/>
            <w:noProof/>
          </w:rPr>
          <w:t>Evapotranspiración en TETIS</w:t>
        </w:r>
      </w:hyperlink>
    </w:p>
    <w:p w14:paraId="5F40F39E" w14:textId="480E96EE"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88" w:history="1">
        <w:r w:rsidRPr="00EA6746">
          <w:rPr>
            <w:rStyle w:val="Hipervnculo"/>
            <w:noProof/>
          </w:rPr>
          <w:t>4.2</w:t>
        </w:r>
        <w:r>
          <w:rPr>
            <w:rFonts w:asciiTheme="minorHAnsi" w:eastAsiaTheme="minorEastAsia" w:hAnsiTheme="minorHAnsi"/>
            <w:noProof/>
            <w:sz w:val="22"/>
            <w:lang w:val="en-GB" w:eastAsia="en-GB"/>
          </w:rPr>
          <w:tab/>
        </w:r>
        <w:r w:rsidRPr="00EA6746">
          <w:rPr>
            <w:rStyle w:val="Hipervnculo"/>
            <w:noProof/>
          </w:rPr>
          <w:t>Ajustar la evapotranspiración de TETIS</w:t>
        </w:r>
      </w:hyperlink>
    </w:p>
    <w:p w14:paraId="59CEE6AA" w14:textId="738A5E3C"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89" w:history="1">
        <w:r w:rsidRPr="00EA6746">
          <w:rPr>
            <w:rStyle w:val="Hipervnculo"/>
            <w:bCs/>
            <w:noProof/>
          </w:rPr>
          <w:t>4.3</w:t>
        </w:r>
        <w:r>
          <w:rPr>
            <w:rFonts w:asciiTheme="minorHAnsi" w:eastAsiaTheme="minorEastAsia" w:hAnsiTheme="minorHAnsi"/>
            <w:noProof/>
            <w:sz w:val="22"/>
            <w:lang w:val="en-GB" w:eastAsia="en-GB"/>
          </w:rPr>
          <w:tab/>
        </w:r>
        <w:r w:rsidRPr="00EA6746">
          <w:rPr>
            <w:rStyle w:val="Hipervnculo"/>
            <w:noProof/>
          </w:rPr>
          <w:t xml:space="preserve">Calibrar los parámetros </w:t>
        </w:r>
        <m:oMath>
          <m:r>
            <m:rPr>
              <m:sty m:val="bi"/>
            </m:rPr>
            <w:rPr>
              <w:rStyle w:val="Hipervnculo"/>
              <w:rFonts w:ascii="Cambria Math" w:hAnsi="Cambria Math"/>
              <w:noProof/>
            </w:rPr>
            <m:t>FC</m:t>
          </m:r>
          <m:r>
            <m:rPr>
              <m:sty m:val="bi"/>
            </m:rPr>
            <w:rPr>
              <w:rStyle w:val="Hipervnculo"/>
              <w:rFonts w:ascii="Cambria Math" w:hAnsi="Cambria Math"/>
              <w:noProof/>
            </w:rPr>
            <m:t>1</m:t>
          </m:r>
        </m:oMath>
        <w:r w:rsidRPr="00EA6746">
          <w:rPr>
            <w:rStyle w:val="Hipervnculo"/>
            <w:bCs/>
            <w:noProof/>
          </w:rPr>
          <w:t xml:space="preserve">, </w:t>
        </w:r>
        <m:oMath>
          <m:r>
            <m:rPr>
              <m:sty m:val="bi"/>
            </m:rPr>
            <w:rPr>
              <w:rStyle w:val="Hipervnculo"/>
              <w:rFonts w:ascii="Cambria Math" w:hAnsi="Cambria Math"/>
              <w:noProof/>
            </w:rPr>
            <m:t>FC</m:t>
          </m:r>
          <m:r>
            <m:rPr>
              <m:sty m:val="bi"/>
            </m:rPr>
            <w:rPr>
              <w:rStyle w:val="Hipervnculo"/>
              <w:rFonts w:ascii="Cambria Math" w:hAnsi="Cambria Math"/>
              <w:noProof/>
            </w:rPr>
            <m:t>2</m:t>
          </m:r>
        </m:oMath>
        <w:r w:rsidRPr="00EA6746">
          <w:rPr>
            <w:rStyle w:val="Hipervnculo"/>
            <w:bCs/>
            <w:noProof/>
          </w:rPr>
          <w:t xml:space="preserve"> y </w:t>
        </w:r>
        <m:oMath>
          <m:r>
            <m:rPr>
              <m:sty m:val="bi"/>
            </m:rPr>
            <w:rPr>
              <w:rStyle w:val="Hipervnculo"/>
              <w:rFonts w:ascii="Cambria Math" w:hAnsi="Cambria Math"/>
              <w:noProof/>
            </w:rPr>
            <m:t>p</m:t>
          </m:r>
          <m:r>
            <m:rPr>
              <m:sty m:val="bi"/>
            </m:rPr>
            <w:rPr>
              <w:rStyle w:val="Hipervnculo"/>
              <w:rFonts w:ascii="Cambria Math" w:hAnsi="Cambria Math"/>
              <w:noProof/>
            </w:rPr>
            <m:t>1</m:t>
          </m:r>
        </m:oMath>
      </w:hyperlink>
    </w:p>
    <w:p w14:paraId="7173E1AB" w14:textId="342D03C0" w:rsidR="00BF4450" w:rsidRDefault="00BF4450">
      <w:pPr>
        <w:pStyle w:val="TDC1"/>
        <w:rPr>
          <w:rFonts w:asciiTheme="minorHAnsi" w:eastAsiaTheme="minorEastAsia" w:hAnsiTheme="minorHAnsi"/>
          <w:szCs w:val="22"/>
          <w:lang w:val="en-GB" w:eastAsia="en-GB"/>
        </w:rPr>
      </w:pPr>
      <w:hyperlink w:anchor="_Toc101721390" w:history="1">
        <w:r w:rsidRPr="00EA6746">
          <w:rPr>
            <w:rStyle w:val="Hipervnculo"/>
          </w:rPr>
          <w:t>5.</w:t>
        </w:r>
        <w:r>
          <w:rPr>
            <w:rFonts w:asciiTheme="minorHAnsi" w:eastAsiaTheme="minorEastAsia" w:hAnsiTheme="minorHAnsi"/>
            <w:szCs w:val="22"/>
            <w:lang w:val="en-GB" w:eastAsia="en-GB"/>
          </w:rPr>
          <w:tab/>
        </w:r>
        <w:r w:rsidRPr="00EA6746">
          <w:rPr>
            <w:rStyle w:val="Hipervnculo"/>
          </w:rPr>
          <w:t>Resultados</w:t>
        </w:r>
      </w:hyperlink>
    </w:p>
    <w:p w14:paraId="05A55C21" w14:textId="16F1AA74"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91" w:history="1">
        <w:r w:rsidRPr="00EA6746">
          <w:rPr>
            <w:rStyle w:val="Hipervnculo"/>
            <w:noProof/>
          </w:rPr>
          <w:t>5.1</w:t>
        </w:r>
        <w:r>
          <w:rPr>
            <w:rFonts w:asciiTheme="minorHAnsi" w:eastAsiaTheme="minorEastAsia" w:hAnsiTheme="minorHAnsi"/>
            <w:noProof/>
            <w:sz w:val="22"/>
            <w:lang w:val="en-GB" w:eastAsia="en-GB"/>
          </w:rPr>
          <w:tab/>
        </w:r>
        <w:r w:rsidRPr="00EA6746">
          <w:rPr>
            <w:rStyle w:val="Hipervnculo"/>
            <w:noProof/>
          </w:rPr>
          <w:t>Cobertura del suelo</w:t>
        </w:r>
      </w:hyperlink>
    </w:p>
    <w:p w14:paraId="33CC0CF8" w14:textId="30177E15"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92" w:history="1">
        <w:r w:rsidRPr="00EA6746">
          <w:rPr>
            <w:rStyle w:val="Hipervnculo"/>
            <w:noProof/>
          </w:rPr>
          <w:t>5.2</w:t>
        </w:r>
        <w:r>
          <w:rPr>
            <w:rFonts w:asciiTheme="minorHAnsi" w:eastAsiaTheme="minorEastAsia" w:hAnsiTheme="minorHAnsi"/>
            <w:noProof/>
            <w:sz w:val="22"/>
            <w:lang w:val="en-GB" w:eastAsia="en-GB"/>
          </w:rPr>
          <w:tab/>
        </w:r>
        <w:r w:rsidRPr="00EA6746">
          <w:rPr>
            <w:rStyle w:val="Hipervnculo"/>
            <w:noProof/>
          </w:rPr>
          <w:t>Factores de cultivo</w:t>
        </w:r>
      </w:hyperlink>
    </w:p>
    <w:p w14:paraId="361A5BAA" w14:textId="68552B66"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93" w:history="1">
        <w:r w:rsidRPr="00EA6746">
          <w:rPr>
            <w:rStyle w:val="Hipervnculo"/>
            <w:noProof/>
          </w:rPr>
          <w:t>5.3</w:t>
        </w:r>
        <w:r>
          <w:rPr>
            <w:rFonts w:asciiTheme="minorHAnsi" w:eastAsiaTheme="minorEastAsia" w:hAnsiTheme="minorHAnsi"/>
            <w:noProof/>
            <w:sz w:val="22"/>
            <w:lang w:val="en-GB" w:eastAsia="en-GB"/>
          </w:rPr>
          <w:tab/>
        </w:r>
        <w:r w:rsidRPr="00EA6746">
          <w:rPr>
            <w:rStyle w:val="Hipervnculo"/>
            <w:noProof/>
          </w:rPr>
          <w:t>Interceptación máxima</w:t>
        </w:r>
      </w:hyperlink>
    </w:p>
    <w:p w14:paraId="2C3B4CDF" w14:textId="04D1802F" w:rsidR="00BF4450" w:rsidRDefault="00BF4450">
      <w:pPr>
        <w:pStyle w:val="TDC2"/>
        <w:tabs>
          <w:tab w:val="left" w:pos="880"/>
          <w:tab w:val="right" w:leader="dot" w:pos="9203"/>
        </w:tabs>
        <w:rPr>
          <w:rFonts w:asciiTheme="minorHAnsi" w:eastAsiaTheme="minorEastAsia" w:hAnsiTheme="minorHAnsi"/>
          <w:noProof/>
          <w:sz w:val="22"/>
          <w:lang w:val="en-GB" w:eastAsia="en-GB"/>
        </w:rPr>
      </w:pPr>
      <w:hyperlink w:anchor="_Toc101721394" w:history="1">
        <w:r w:rsidRPr="00EA6746">
          <w:rPr>
            <w:rStyle w:val="Hipervnculo"/>
            <w:noProof/>
          </w:rPr>
          <w:t>5.4</w:t>
        </w:r>
        <w:r>
          <w:rPr>
            <w:rFonts w:asciiTheme="minorHAnsi" w:eastAsiaTheme="minorEastAsia" w:hAnsiTheme="minorHAnsi"/>
            <w:noProof/>
            <w:sz w:val="22"/>
            <w:lang w:val="en-GB" w:eastAsia="en-GB"/>
          </w:rPr>
          <w:tab/>
        </w:r>
        <w:r w:rsidRPr="00EA6746">
          <w:rPr>
            <w:rStyle w:val="Hipervnculo"/>
            <w:noProof/>
          </w:rPr>
          <w:t>Calibración de los hiperparámetros de TETIS</w:t>
        </w:r>
      </w:hyperlink>
    </w:p>
    <w:p w14:paraId="759F408C" w14:textId="7A00BEC1" w:rsidR="001D7ABA" w:rsidRDefault="00F110AF" w:rsidP="001D7ABA">
      <w:pPr>
        <w:rPr>
          <w:noProof/>
        </w:rPr>
      </w:pPr>
      <w:r>
        <w:rPr>
          <w:noProof/>
        </w:rPr>
        <w:fldChar w:fldCharType="end"/>
      </w:r>
    </w:p>
    <w:p w14:paraId="01B6C153" w14:textId="66D78892" w:rsidR="00C97FEB" w:rsidRDefault="00C97FEB" w:rsidP="00C97FEB">
      <w:pPr>
        <w:pStyle w:val="Ttulo1"/>
        <w:rPr>
          <w:rFonts w:eastAsiaTheme="minorHAnsi"/>
          <w:noProof/>
        </w:rPr>
      </w:pPr>
      <w:bookmarkStart w:id="0" w:name="_Toc101721379"/>
      <w:r>
        <w:rPr>
          <w:rFonts w:eastAsiaTheme="minorHAnsi"/>
          <w:noProof/>
        </w:rPr>
        <w:t>Introducción</w:t>
      </w:r>
      <w:bookmarkEnd w:id="0"/>
    </w:p>
    <w:p w14:paraId="727D66C6" w14:textId="494B422A" w:rsidR="00F20AE3" w:rsidRDefault="00F20AE3" w:rsidP="008129CC">
      <w:r>
        <w:t xml:space="preserve">Se pretende calibrar </w:t>
      </w:r>
      <w:r w:rsidR="00114F24">
        <w:t>la</w:t>
      </w:r>
      <w:r>
        <w:t xml:space="preserve"> modelización de la evapotranspiración (ET) del modelo TETIS a partir de los datos observados por el satélite MODIS. Originalmente quería calibrar el modelo espacialmente, pero finalmente únicamente </w:t>
      </w:r>
      <w:r w:rsidR="00114F24">
        <w:t>calibro</w:t>
      </w:r>
      <w:r>
        <w:t xml:space="preserve"> la serie temporal de la media areal de la ET en la cuenca. El principal inconveniente para la calibración espacial es la rigidez del modelo TETIS a la hora de modificar los </w:t>
      </w:r>
      <w:r w:rsidR="00114F24">
        <w:t>factores</w:t>
      </w:r>
      <w:r>
        <w:t xml:space="preserve"> de cultivo de cada una de las clases de cobertura del suelo. Esto se une a que la clasificación de </w:t>
      </w:r>
      <w:r w:rsidR="00114F24">
        <w:t xml:space="preserve">la </w:t>
      </w:r>
      <w:r>
        <w:t>cobertura de</w:t>
      </w:r>
      <w:r w:rsidR="00114F24">
        <w:t>l</w:t>
      </w:r>
      <w:r>
        <w:t xml:space="preserve"> suelo de TETIS y MODIS no son iguales.</w:t>
      </w:r>
    </w:p>
    <w:p w14:paraId="6FBDFE74" w14:textId="77777777" w:rsidR="001D7ABA" w:rsidRDefault="001D7ABA" w:rsidP="008129CC"/>
    <w:p w14:paraId="4C5034DB" w14:textId="65747213" w:rsidR="006755DA" w:rsidRDefault="006755DA" w:rsidP="006755DA">
      <w:pPr>
        <w:pStyle w:val="Ttulo1"/>
      </w:pPr>
      <w:bookmarkStart w:id="1" w:name="_Toc101721380"/>
      <w:r>
        <w:t>Zona de estudio</w:t>
      </w:r>
      <w:bookmarkEnd w:id="1"/>
    </w:p>
    <w:p w14:paraId="3F493F22" w14:textId="11D6A794" w:rsidR="006755DA" w:rsidRDefault="006755DA" w:rsidP="006755DA">
      <w:r>
        <w:t xml:space="preserve">La cuenca de estudio es la cabecera del río Deva hasta la estación de aforo de Ojedo. Aunque para </w:t>
      </w:r>
      <w:r w:rsidR="00F20AE3">
        <w:t>la calibración de la ET</w:t>
      </w:r>
      <w:r>
        <w:t xml:space="preserve"> no es necesario que la zona de estudio sea una cuenca hidrográfica, ni que tenga una estación de aforo, he escogido esta cuenca pensando en poder calibrar más adelante el caudal.</w:t>
      </w:r>
    </w:p>
    <w:p w14:paraId="7DA474DB" w14:textId="797C3032" w:rsidR="001D7ABA" w:rsidRDefault="006755DA" w:rsidP="006755DA">
      <w:r>
        <w:lastRenderedPageBreak/>
        <w:t xml:space="preserve">Podría ser interesante ampliar la zona de estudio hasta la estación de aforo de Puentelles, justo antes de la confluencia con el río Cares. No </w:t>
      </w:r>
      <w:r w:rsidR="008352DA">
        <w:t xml:space="preserve">lo he hecho por ahora por reducir el tiempo de </w:t>
      </w:r>
      <w:commentRangeStart w:id="2"/>
      <w:r w:rsidR="008352DA">
        <w:t>cálculo</w:t>
      </w:r>
      <w:commentRangeEnd w:id="2"/>
      <w:r w:rsidR="00A11010">
        <w:rPr>
          <w:rStyle w:val="Refdecomentario"/>
        </w:rPr>
        <w:commentReference w:id="2"/>
      </w:r>
      <w:r w:rsidR="008352DA">
        <w:t>.</w:t>
      </w:r>
    </w:p>
    <w:p w14:paraId="2C51D963" w14:textId="77777777" w:rsidR="001D7ABA" w:rsidRPr="006755DA" w:rsidRDefault="001D7ABA" w:rsidP="006755DA"/>
    <w:p w14:paraId="5864BE95" w14:textId="4B76810D" w:rsidR="008129CC" w:rsidRDefault="008129CC" w:rsidP="008129CC">
      <w:pPr>
        <w:pStyle w:val="Ttulo1"/>
      </w:pPr>
      <w:bookmarkStart w:id="3" w:name="_Toc101721381"/>
      <w:r>
        <w:t>Datos</w:t>
      </w:r>
      <w:bookmarkEnd w:id="3"/>
    </w:p>
    <w:p w14:paraId="1CE7D870" w14:textId="1001DA71" w:rsidR="008352DA" w:rsidRDefault="00F20AE3" w:rsidP="008352DA">
      <w:pPr>
        <w:pStyle w:val="Ttulo2"/>
      </w:pPr>
      <w:bookmarkStart w:id="4" w:name="_Toc101721382"/>
      <w:r>
        <w:t>Evapotranspiración</w:t>
      </w:r>
      <w:bookmarkEnd w:id="4"/>
    </w:p>
    <w:p w14:paraId="4AB518F2" w14:textId="309A0021" w:rsidR="00407E36" w:rsidRDefault="008352DA" w:rsidP="00407E36">
      <w:r>
        <w:t xml:space="preserve">He utilizado como </w:t>
      </w:r>
      <w:r w:rsidR="00F20AE3">
        <w:t xml:space="preserve">datos observados de ET los productos de MODIS: MOD16A2 para el satélite Terra y MYD16A2 para el satélite Aqua. </w:t>
      </w:r>
      <w:r>
        <w:t>Esta constelación de satélites ofrece datos desde 2002 con una resolución espacial de 465 m y, originalmente, resolución temporal diaria. Puesto que en los mapas diarios hay numerosos huecos causados por nubes, imágenes nocturnas, etc., los productos MODIS anteriores no tienen resolución diaria, sino de 8 días</w:t>
      </w:r>
      <w:r w:rsidR="00F20AE3">
        <w:t xml:space="preserve">, siendo los datos </w:t>
      </w:r>
      <w:r w:rsidR="00114F24">
        <w:t xml:space="preserve">proporcionados </w:t>
      </w:r>
      <w:r w:rsidR="00F20AE3">
        <w:t>la ET acumulada en esos 8 días</w:t>
      </w:r>
      <w:r>
        <w:t xml:space="preserve">. </w:t>
      </w:r>
    </w:p>
    <w:p w14:paraId="046A45DF" w14:textId="03FE1D62" w:rsidR="00A96C1D" w:rsidRDefault="00172870" w:rsidP="008352DA">
      <w:r>
        <w:t xml:space="preserve">He comparado los datos de los dos satélites (Terra y Aqua) de cara a unificarlos y tener una sola base de datos de observación. </w:t>
      </w:r>
      <w:r w:rsidR="00407E36">
        <w:t>Ambas series de mapas tienen numerosos huecos. Para unificar los mapas tomo el único dato existente en caso de que haya un único</w:t>
      </w:r>
      <w:r w:rsidR="00114F24">
        <w:t xml:space="preserve"> satélite con</w:t>
      </w:r>
      <w:r w:rsidR="00407E36">
        <w:t xml:space="preserve"> dato disponible para una celda y día, o la media en caso de que ambos satélites tengan dato.</w:t>
      </w:r>
    </w:p>
    <w:p w14:paraId="7A441452" w14:textId="3512844D" w:rsidR="00407E36" w:rsidRDefault="00407E36" w:rsidP="00407E36">
      <w:pPr>
        <w:pStyle w:val="Ttulo2"/>
      </w:pPr>
      <w:bookmarkStart w:id="5" w:name="_Toc101721383"/>
      <w:r>
        <w:t>Cobertura del suelo</w:t>
      </w:r>
      <w:bookmarkEnd w:id="5"/>
    </w:p>
    <w:p w14:paraId="64AC18C0" w14:textId="4DEB647D" w:rsidR="00407E36" w:rsidRDefault="00407E36" w:rsidP="00407E36">
      <w:r>
        <w:t xml:space="preserve">El cálculo de la ET del producto MODIS requiere una clasificación de los usos del suelo. En base a la clase de uso del suelo y al LAI, se calcula la ET. </w:t>
      </w:r>
      <w:r w:rsidR="00114F24">
        <w:t>Dada esa relación entre la clasificación de usos del suelo de MODIS y sus productos de ET</w:t>
      </w:r>
      <w:r>
        <w:t xml:space="preserve">, </w:t>
      </w:r>
      <w:r w:rsidR="00114F24">
        <w:t>analicé</w:t>
      </w:r>
      <w:r>
        <w:t xml:space="preserve"> los mapas de usos del suelo de MODIS.</w:t>
      </w:r>
    </w:p>
    <w:p w14:paraId="0482F2DE" w14:textId="2CA07900" w:rsidR="00407E36" w:rsidRDefault="00407E36" w:rsidP="00407E36">
      <w:r>
        <w:t xml:space="preserve">El producto MODIS de cobertura del suelo es el MCD12Q1, siendo en este caso un producto único, no uno para cada satélite. Este producto </w:t>
      </w:r>
      <w:r w:rsidR="00114F24">
        <w:t>consiste en una serie anual de</w:t>
      </w:r>
      <w:r>
        <w:t xml:space="preserve"> mapas de clases de cobertura del suelo con la resolución espacial de 465 m, habitual en los productos MODIS. Se incluyen 5 tipos de clasificación de la cobertura del suelo; de ellos he utilizado el tipo </w:t>
      </w:r>
      <w:r w:rsidR="00407676">
        <w:t xml:space="preserve">5, </w:t>
      </w:r>
      <w:r w:rsidR="00114F24">
        <w:t xml:space="preserve">la clasificación </w:t>
      </w:r>
      <w:r w:rsidR="00407676">
        <w:t>por tipos funcionales de vegetación. La tabla 1 muestra las clases que discretiza el tipo 5 y el porcentaje de la cuenca alta del Deva que ocupan (mapa del año 2003).</w:t>
      </w:r>
    </w:p>
    <w:p w14:paraId="1E200906" w14:textId="26D173F9" w:rsidR="00407676" w:rsidRDefault="00407676" w:rsidP="00407676">
      <w:pPr>
        <w:pStyle w:val="Descripcin"/>
      </w:pPr>
      <w:r>
        <w:t xml:space="preserve">Tabla </w:t>
      </w:r>
      <w:r w:rsidR="0082690A">
        <w:fldChar w:fldCharType="begin"/>
      </w:r>
      <w:r w:rsidR="0082690A">
        <w:instrText xml:space="preserve"> SEQ Tabla \* ARABIC </w:instrText>
      </w:r>
      <w:r w:rsidR="0082690A">
        <w:fldChar w:fldCharType="separate"/>
      </w:r>
      <w:r w:rsidR="00F623B8">
        <w:rPr>
          <w:noProof/>
        </w:rPr>
        <w:t>1</w:t>
      </w:r>
      <w:r w:rsidR="0082690A">
        <w:rPr>
          <w:noProof/>
        </w:rPr>
        <w:fldChar w:fldCharType="end"/>
      </w:r>
      <w:r>
        <w:t>. Clases de cobertura del suelo según el tipo funcional de vegetación (clasificación tipo 5) del producto MCD12Q1 de MODIS.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0"/>
        <w:gridCol w:w="3309"/>
        <w:gridCol w:w="3309"/>
      </w:tblGrid>
      <w:tr w:rsidR="00407676" w14:paraId="3F7F70D0" w14:textId="01764C1B" w:rsidTr="006277DB">
        <w:trPr>
          <w:jc w:val="center"/>
        </w:trPr>
        <w:tc>
          <w:tcPr>
            <w:tcW w:w="1060" w:type="dxa"/>
            <w:tcBorders>
              <w:bottom w:val="single" w:sz="4" w:space="0" w:color="auto"/>
            </w:tcBorders>
          </w:tcPr>
          <w:p w14:paraId="4B54F4B2" w14:textId="77777777" w:rsidR="00407676" w:rsidRPr="00A96C1D" w:rsidRDefault="00407676" w:rsidP="006277DB">
            <w:pPr>
              <w:pStyle w:val="Tablas"/>
              <w:jc w:val="right"/>
              <w:rPr>
                <w:b/>
                <w:bCs/>
              </w:rPr>
            </w:pPr>
            <w:r w:rsidRPr="00A96C1D">
              <w:rPr>
                <w:b/>
                <w:bCs/>
              </w:rPr>
              <w:t>Código</w:t>
            </w:r>
          </w:p>
        </w:tc>
        <w:tc>
          <w:tcPr>
            <w:tcW w:w="3309" w:type="dxa"/>
            <w:tcBorders>
              <w:bottom w:val="single" w:sz="4" w:space="0" w:color="auto"/>
            </w:tcBorders>
          </w:tcPr>
          <w:p w14:paraId="153C25B6" w14:textId="77777777" w:rsidR="00407676" w:rsidRPr="00A96C1D" w:rsidRDefault="00407676" w:rsidP="006277DB">
            <w:pPr>
              <w:pStyle w:val="Tablas"/>
              <w:rPr>
                <w:b/>
                <w:bCs/>
              </w:rPr>
            </w:pPr>
            <w:r w:rsidRPr="00A96C1D">
              <w:rPr>
                <w:b/>
                <w:bCs/>
              </w:rPr>
              <w:t>Clase</w:t>
            </w:r>
          </w:p>
        </w:tc>
        <w:tc>
          <w:tcPr>
            <w:tcW w:w="3309" w:type="dxa"/>
            <w:tcBorders>
              <w:bottom w:val="single" w:sz="4" w:space="0" w:color="auto"/>
            </w:tcBorders>
          </w:tcPr>
          <w:p w14:paraId="325250CC" w14:textId="35D411DF" w:rsidR="00407676" w:rsidRPr="00A96C1D" w:rsidRDefault="00407676" w:rsidP="006277DB">
            <w:pPr>
              <w:pStyle w:val="Tablas"/>
              <w:rPr>
                <w:b/>
                <w:bCs/>
              </w:rPr>
            </w:pPr>
            <w:r>
              <w:rPr>
                <w:b/>
                <w:bCs/>
              </w:rPr>
              <w:t>% Área</w:t>
            </w:r>
          </w:p>
        </w:tc>
      </w:tr>
      <w:tr w:rsidR="00407676" w14:paraId="2BF71166" w14:textId="1AF2634D" w:rsidTr="006277DB">
        <w:trPr>
          <w:jc w:val="center"/>
        </w:trPr>
        <w:tc>
          <w:tcPr>
            <w:tcW w:w="1060" w:type="dxa"/>
            <w:tcBorders>
              <w:top w:val="single" w:sz="4" w:space="0" w:color="auto"/>
            </w:tcBorders>
          </w:tcPr>
          <w:p w14:paraId="1717B029" w14:textId="77777777" w:rsidR="00407676" w:rsidRDefault="00407676" w:rsidP="006277DB">
            <w:pPr>
              <w:pStyle w:val="Tablas"/>
              <w:jc w:val="right"/>
            </w:pPr>
            <w:r>
              <w:t>0</w:t>
            </w:r>
          </w:p>
        </w:tc>
        <w:tc>
          <w:tcPr>
            <w:tcW w:w="3309" w:type="dxa"/>
            <w:tcBorders>
              <w:top w:val="single" w:sz="4" w:space="0" w:color="auto"/>
            </w:tcBorders>
          </w:tcPr>
          <w:p w14:paraId="02CDCB26" w14:textId="1FCE7314" w:rsidR="00407676" w:rsidRDefault="00407676" w:rsidP="006277DB">
            <w:pPr>
              <w:pStyle w:val="Tablas"/>
            </w:pPr>
            <w:r>
              <w:t>Agua</w:t>
            </w:r>
          </w:p>
        </w:tc>
        <w:tc>
          <w:tcPr>
            <w:tcW w:w="3309" w:type="dxa"/>
            <w:tcBorders>
              <w:top w:val="single" w:sz="4" w:space="0" w:color="auto"/>
            </w:tcBorders>
          </w:tcPr>
          <w:p w14:paraId="5FD840FF" w14:textId="206F68DE" w:rsidR="00407676" w:rsidRDefault="00407676" w:rsidP="006277DB">
            <w:pPr>
              <w:pStyle w:val="Tablas"/>
            </w:pPr>
            <w:r>
              <w:t>0.0</w:t>
            </w:r>
          </w:p>
        </w:tc>
      </w:tr>
      <w:tr w:rsidR="00407676" w14:paraId="5204B635" w14:textId="06426BCA" w:rsidTr="006277DB">
        <w:trPr>
          <w:jc w:val="center"/>
        </w:trPr>
        <w:tc>
          <w:tcPr>
            <w:tcW w:w="1060" w:type="dxa"/>
          </w:tcPr>
          <w:p w14:paraId="4063506C" w14:textId="77777777" w:rsidR="00407676" w:rsidRDefault="00407676" w:rsidP="006277DB">
            <w:pPr>
              <w:pStyle w:val="Tablas"/>
              <w:jc w:val="right"/>
            </w:pPr>
            <w:r>
              <w:t>1</w:t>
            </w:r>
          </w:p>
        </w:tc>
        <w:tc>
          <w:tcPr>
            <w:tcW w:w="3309" w:type="dxa"/>
          </w:tcPr>
          <w:p w14:paraId="3D110BF6" w14:textId="30955471" w:rsidR="00407676" w:rsidRDefault="00407676" w:rsidP="006277DB">
            <w:pPr>
              <w:pStyle w:val="Tablas"/>
            </w:pPr>
            <w:r>
              <w:t>Árboles perennes de hoja acicular</w:t>
            </w:r>
          </w:p>
        </w:tc>
        <w:tc>
          <w:tcPr>
            <w:tcW w:w="3309" w:type="dxa"/>
          </w:tcPr>
          <w:p w14:paraId="3D2DEAD1" w14:textId="26784E1A" w:rsidR="00407676" w:rsidRDefault="00407676" w:rsidP="006277DB">
            <w:pPr>
              <w:pStyle w:val="Tablas"/>
            </w:pPr>
            <w:r>
              <w:t>5.3</w:t>
            </w:r>
          </w:p>
        </w:tc>
      </w:tr>
      <w:tr w:rsidR="00407676" w14:paraId="484D32A3" w14:textId="259623E0" w:rsidTr="006277DB">
        <w:trPr>
          <w:jc w:val="center"/>
        </w:trPr>
        <w:tc>
          <w:tcPr>
            <w:tcW w:w="1060" w:type="dxa"/>
          </w:tcPr>
          <w:p w14:paraId="19CEE0EE" w14:textId="0BD50879" w:rsidR="00407676" w:rsidRDefault="00407676" w:rsidP="006277DB">
            <w:pPr>
              <w:pStyle w:val="Tablas"/>
              <w:jc w:val="right"/>
            </w:pPr>
            <w:r>
              <w:t>2</w:t>
            </w:r>
          </w:p>
        </w:tc>
        <w:tc>
          <w:tcPr>
            <w:tcW w:w="3309" w:type="dxa"/>
          </w:tcPr>
          <w:p w14:paraId="3097BD7D" w14:textId="4D0A3A37" w:rsidR="00407676" w:rsidRDefault="00407676" w:rsidP="006277DB">
            <w:pPr>
              <w:pStyle w:val="Tablas"/>
            </w:pPr>
            <w:r>
              <w:t>Árboles perennes de hoja ancha</w:t>
            </w:r>
          </w:p>
        </w:tc>
        <w:tc>
          <w:tcPr>
            <w:tcW w:w="3309" w:type="dxa"/>
          </w:tcPr>
          <w:p w14:paraId="0BEB1AF3" w14:textId="3EF6E3AD" w:rsidR="00407676" w:rsidRDefault="00407676" w:rsidP="006277DB">
            <w:pPr>
              <w:pStyle w:val="Tablas"/>
            </w:pPr>
            <w:r>
              <w:t>6.0</w:t>
            </w:r>
          </w:p>
        </w:tc>
      </w:tr>
      <w:tr w:rsidR="00407676" w14:paraId="67DCE36B" w14:textId="55759632" w:rsidTr="006277DB">
        <w:trPr>
          <w:jc w:val="center"/>
        </w:trPr>
        <w:tc>
          <w:tcPr>
            <w:tcW w:w="1060" w:type="dxa"/>
          </w:tcPr>
          <w:p w14:paraId="549C62F7" w14:textId="1555F7C1" w:rsidR="00407676" w:rsidRDefault="00407676" w:rsidP="006277DB">
            <w:pPr>
              <w:pStyle w:val="Tablas"/>
              <w:jc w:val="right"/>
            </w:pPr>
            <w:r>
              <w:t>3</w:t>
            </w:r>
          </w:p>
        </w:tc>
        <w:tc>
          <w:tcPr>
            <w:tcW w:w="3309" w:type="dxa"/>
          </w:tcPr>
          <w:p w14:paraId="0E8D9013" w14:textId="03F1421F" w:rsidR="00407676" w:rsidRDefault="00407676" w:rsidP="006277DB">
            <w:pPr>
              <w:pStyle w:val="Tablas"/>
            </w:pPr>
            <w:r>
              <w:t>Árboles caducos de hoja acicular</w:t>
            </w:r>
          </w:p>
        </w:tc>
        <w:tc>
          <w:tcPr>
            <w:tcW w:w="3309" w:type="dxa"/>
          </w:tcPr>
          <w:p w14:paraId="1B0FE5AA" w14:textId="379DB0E5" w:rsidR="00407676" w:rsidRDefault="00407676" w:rsidP="006277DB">
            <w:pPr>
              <w:pStyle w:val="Tablas"/>
            </w:pPr>
            <w:r>
              <w:t>0.0</w:t>
            </w:r>
          </w:p>
        </w:tc>
      </w:tr>
      <w:tr w:rsidR="00407676" w14:paraId="4FA1C48E" w14:textId="4BEA7B01" w:rsidTr="006277DB">
        <w:trPr>
          <w:jc w:val="center"/>
        </w:trPr>
        <w:tc>
          <w:tcPr>
            <w:tcW w:w="1060" w:type="dxa"/>
          </w:tcPr>
          <w:p w14:paraId="200D7AC1" w14:textId="2800E12B" w:rsidR="00407676" w:rsidRDefault="00407676" w:rsidP="006277DB">
            <w:pPr>
              <w:pStyle w:val="Tablas"/>
              <w:jc w:val="right"/>
            </w:pPr>
            <w:r>
              <w:t>4</w:t>
            </w:r>
          </w:p>
        </w:tc>
        <w:tc>
          <w:tcPr>
            <w:tcW w:w="3309" w:type="dxa"/>
          </w:tcPr>
          <w:p w14:paraId="402B13C2" w14:textId="12463F75" w:rsidR="00407676" w:rsidRDefault="00407676" w:rsidP="006277DB">
            <w:pPr>
              <w:pStyle w:val="Tablas"/>
            </w:pPr>
            <w:r>
              <w:t>Árboles caducos de hoja ancha</w:t>
            </w:r>
          </w:p>
        </w:tc>
        <w:tc>
          <w:tcPr>
            <w:tcW w:w="3309" w:type="dxa"/>
          </w:tcPr>
          <w:p w14:paraId="7D7DC3CE" w14:textId="72915A31" w:rsidR="00407676" w:rsidRDefault="00407676" w:rsidP="006277DB">
            <w:pPr>
              <w:pStyle w:val="Tablas"/>
            </w:pPr>
            <w:r>
              <w:t>67.8</w:t>
            </w:r>
          </w:p>
        </w:tc>
      </w:tr>
      <w:tr w:rsidR="00407676" w14:paraId="3F76EC3D" w14:textId="5CCDABFF" w:rsidTr="006277DB">
        <w:trPr>
          <w:jc w:val="center"/>
        </w:trPr>
        <w:tc>
          <w:tcPr>
            <w:tcW w:w="1060" w:type="dxa"/>
          </w:tcPr>
          <w:p w14:paraId="0BFE5594" w14:textId="37701DD2" w:rsidR="00407676" w:rsidRDefault="00407676" w:rsidP="006277DB">
            <w:pPr>
              <w:pStyle w:val="Tablas"/>
              <w:jc w:val="right"/>
            </w:pPr>
            <w:r>
              <w:t>5</w:t>
            </w:r>
          </w:p>
        </w:tc>
        <w:tc>
          <w:tcPr>
            <w:tcW w:w="3309" w:type="dxa"/>
          </w:tcPr>
          <w:p w14:paraId="3725C803" w14:textId="1A848EBC" w:rsidR="00407676" w:rsidRDefault="00407676" w:rsidP="006277DB">
            <w:pPr>
              <w:pStyle w:val="Tablas"/>
            </w:pPr>
            <w:r>
              <w:t>Matorral</w:t>
            </w:r>
          </w:p>
        </w:tc>
        <w:tc>
          <w:tcPr>
            <w:tcW w:w="3309" w:type="dxa"/>
          </w:tcPr>
          <w:p w14:paraId="594C40B5" w14:textId="2D3DE25C" w:rsidR="00407676" w:rsidRDefault="00407676" w:rsidP="006277DB">
            <w:pPr>
              <w:pStyle w:val="Tablas"/>
            </w:pPr>
            <w:r>
              <w:t>0.4</w:t>
            </w:r>
          </w:p>
        </w:tc>
      </w:tr>
      <w:tr w:rsidR="00407676" w14:paraId="0C6F9CBB" w14:textId="5D5B4F3F" w:rsidTr="006277DB">
        <w:trPr>
          <w:jc w:val="center"/>
        </w:trPr>
        <w:tc>
          <w:tcPr>
            <w:tcW w:w="1060" w:type="dxa"/>
          </w:tcPr>
          <w:p w14:paraId="5051AF22" w14:textId="7F31825D" w:rsidR="00407676" w:rsidRDefault="00407676" w:rsidP="006277DB">
            <w:pPr>
              <w:pStyle w:val="Tablas"/>
              <w:jc w:val="right"/>
            </w:pPr>
            <w:r>
              <w:t>6</w:t>
            </w:r>
          </w:p>
        </w:tc>
        <w:tc>
          <w:tcPr>
            <w:tcW w:w="3309" w:type="dxa"/>
          </w:tcPr>
          <w:p w14:paraId="68B8966C" w14:textId="121E8342" w:rsidR="00407676" w:rsidRDefault="00407676" w:rsidP="006277DB">
            <w:pPr>
              <w:pStyle w:val="Tablas"/>
            </w:pPr>
            <w:r>
              <w:t>Pasto</w:t>
            </w:r>
          </w:p>
        </w:tc>
        <w:tc>
          <w:tcPr>
            <w:tcW w:w="3309" w:type="dxa"/>
          </w:tcPr>
          <w:p w14:paraId="12FC0885" w14:textId="2BDB81D1" w:rsidR="00407676" w:rsidRDefault="00407676" w:rsidP="006277DB">
            <w:pPr>
              <w:pStyle w:val="Tablas"/>
            </w:pPr>
            <w:r>
              <w:t>17.1</w:t>
            </w:r>
          </w:p>
        </w:tc>
      </w:tr>
      <w:tr w:rsidR="00407676" w14:paraId="27B14193" w14:textId="69DF879E" w:rsidTr="006277DB">
        <w:trPr>
          <w:jc w:val="center"/>
        </w:trPr>
        <w:tc>
          <w:tcPr>
            <w:tcW w:w="1060" w:type="dxa"/>
          </w:tcPr>
          <w:p w14:paraId="30DC7033" w14:textId="5929C4DE" w:rsidR="00407676" w:rsidRDefault="00407676" w:rsidP="006277DB">
            <w:pPr>
              <w:pStyle w:val="Tablas"/>
              <w:jc w:val="right"/>
            </w:pPr>
            <w:r>
              <w:t>7</w:t>
            </w:r>
          </w:p>
        </w:tc>
        <w:tc>
          <w:tcPr>
            <w:tcW w:w="3309" w:type="dxa"/>
          </w:tcPr>
          <w:p w14:paraId="13C92C32" w14:textId="5B4ECF1D" w:rsidR="00407676" w:rsidRDefault="00407676" w:rsidP="006277DB">
            <w:pPr>
              <w:pStyle w:val="Tablas"/>
            </w:pPr>
            <w:r>
              <w:t>Cultivos de cereal</w:t>
            </w:r>
          </w:p>
        </w:tc>
        <w:tc>
          <w:tcPr>
            <w:tcW w:w="3309" w:type="dxa"/>
          </w:tcPr>
          <w:p w14:paraId="3F62A62B" w14:textId="3798193C" w:rsidR="00407676" w:rsidRDefault="00407676" w:rsidP="006277DB">
            <w:pPr>
              <w:pStyle w:val="Tablas"/>
            </w:pPr>
            <w:r>
              <w:t>0.0</w:t>
            </w:r>
          </w:p>
        </w:tc>
      </w:tr>
      <w:tr w:rsidR="00407676" w14:paraId="43C295BD" w14:textId="468D9D6E" w:rsidTr="006277DB">
        <w:trPr>
          <w:jc w:val="center"/>
        </w:trPr>
        <w:tc>
          <w:tcPr>
            <w:tcW w:w="1060" w:type="dxa"/>
          </w:tcPr>
          <w:p w14:paraId="562D5BD9" w14:textId="684066A8" w:rsidR="00407676" w:rsidRDefault="00407676" w:rsidP="006277DB">
            <w:pPr>
              <w:pStyle w:val="Tablas"/>
              <w:jc w:val="right"/>
            </w:pPr>
            <w:r>
              <w:t>8</w:t>
            </w:r>
          </w:p>
        </w:tc>
        <w:tc>
          <w:tcPr>
            <w:tcW w:w="3309" w:type="dxa"/>
          </w:tcPr>
          <w:p w14:paraId="25297D8F" w14:textId="7164D0CA" w:rsidR="00407676" w:rsidRDefault="00407676" w:rsidP="006277DB">
            <w:pPr>
              <w:pStyle w:val="Tablas"/>
            </w:pPr>
            <w:r>
              <w:t>Cultivos de hoja ancha</w:t>
            </w:r>
          </w:p>
        </w:tc>
        <w:tc>
          <w:tcPr>
            <w:tcW w:w="3309" w:type="dxa"/>
          </w:tcPr>
          <w:p w14:paraId="41DD6EAF" w14:textId="610CD6AE" w:rsidR="00407676" w:rsidRDefault="00407676" w:rsidP="006277DB">
            <w:pPr>
              <w:pStyle w:val="Tablas"/>
            </w:pPr>
            <w:r>
              <w:t>0.0</w:t>
            </w:r>
          </w:p>
        </w:tc>
      </w:tr>
      <w:tr w:rsidR="00407676" w14:paraId="4AF96659" w14:textId="66EC14BA" w:rsidTr="006277DB">
        <w:trPr>
          <w:jc w:val="center"/>
        </w:trPr>
        <w:tc>
          <w:tcPr>
            <w:tcW w:w="1060" w:type="dxa"/>
          </w:tcPr>
          <w:p w14:paraId="1AF755BE" w14:textId="1EBD49CC" w:rsidR="00407676" w:rsidRDefault="00407676" w:rsidP="006277DB">
            <w:pPr>
              <w:pStyle w:val="Tablas"/>
              <w:jc w:val="right"/>
            </w:pPr>
            <w:r>
              <w:t>9</w:t>
            </w:r>
          </w:p>
        </w:tc>
        <w:tc>
          <w:tcPr>
            <w:tcW w:w="3309" w:type="dxa"/>
          </w:tcPr>
          <w:p w14:paraId="1DA12AF3" w14:textId="26069217" w:rsidR="00407676" w:rsidRDefault="00407676" w:rsidP="006277DB">
            <w:pPr>
              <w:pStyle w:val="Tablas"/>
            </w:pPr>
            <w:r>
              <w:t>Urbano y construido</w:t>
            </w:r>
          </w:p>
        </w:tc>
        <w:tc>
          <w:tcPr>
            <w:tcW w:w="3309" w:type="dxa"/>
          </w:tcPr>
          <w:p w14:paraId="09E405A8" w14:textId="4494C0C7" w:rsidR="00407676" w:rsidRDefault="00407676" w:rsidP="006277DB">
            <w:pPr>
              <w:pStyle w:val="Tablas"/>
            </w:pPr>
            <w:r>
              <w:t>0.0</w:t>
            </w:r>
          </w:p>
        </w:tc>
      </w:tr>
      <w:tr w:rsidR="00407676" w14:paraId="3A297437" w14:textId="0BB9A898" w:rsidTr="006277DB">
        <w:trPr>
          <w:jc w:val="center"/>
        </w:trPr>
        <w:tc>
          <w:tcPr>
            <w:tcW w:w="1060" w:type="dxa"/>
          </w:tcPr>
          <w:p w14:paraId="5CD83567" w14:textId="023EFA13" w:rsidR="00407676" w:rsidRDefault="00407676" w:rsidP="006277DB">
            <w:pPr>
              <w:pStyle w:val="Tablas"/>
              <w:jc w:val="right"/>
            </w:pPr>
            <w:r>
              <w:t>10</w:t>
            </w:r>
          </w:p>
        </w:tc>
        <w:tc>
          <w:tcPr>
            <w:tcW w:w="3309" w:type="dxa"/>
          </w:tcPr>
          <w:p w14:paraId="6D859EC9" w14:textId="003BBA0C" w:rsidR="00407676" w:rsidRDefault="00407676" w:rsidP="006277DB">
            <w:pPr>
              <w:pStyle w:val="Tablas"/>
            </w:pPr>
            <w:r>
              <w:t>Nieve y hielo</w:t>
            </w:r>
          </w:p>
        </w:tc>
        <w:tc>
          <w:tcPr>
            <w:tcW w:w="3309" w:type="dxa"/>
          </w:tcPr>
          <w:p w14:paraId="6C858949" w14:textId="6646584B" w:rsidR="00407676" w:rsidRDefault="00407676" w:rsidP="006277DB">
            <w:pPr>
              <w:pStyle w:val="Tablas"/>
            </w:pPr>
            <w:r>
              <w:t>0.2</w:t>
            </w:r>
          </w:p>
        </w:tc>
      </w:tr>
      <w:tr w:rsidR="00407676" w14:paraId="1A3E4A25" w14:textId="59F0ACF4" w:rsidTr="006277DB">
        <w:trPr>
          <w:jc w:val="center"/>
        </w:trPr>
        <w:tc>
          <w:tcPr>
            <w:tcW w:w="1060" w:type="dxa"/>
          </w:tcPr>
          <w:p w14:paraId="39145B18" w14:textId="216D5BF3" w:rsidR="00407676" w:rsidRDefault="00407676" w:rsidP="006277DB">
            <w:pPr>
              <w:pStyle w:val="Tablas"/>
              <w:jc w:val="right"/>
            </w:pPr>
            <w:r>
              <w:lastRenderedPageBreak/>
              <w:t>11</w:t>
            </w:r>
          </w:p>
        </w:tc>
        <w:tc>
          <w:tcPr>
            <w:tcW w:w="3309" w:type="dxa"/>
          </w:tcPr>
          <w:p w14:paraId="5CF7672E" w14:textId="68B5C170" w:rsidR="00407676" w:rsidRDefault="00407676" w:rsidP="006277DB">
            <w:pPr>
              <w:pStyle w:val="Tablas"/>
            </w:pPr>
            <w:r>
              <w:t>Suelo desnudo o vegetación escasa</w:t>
            </w:r>
          </w:p>
        </w:tc>
        <w:tc>
          <w:tcPr>
            <w:tcW w:w="3309" w:type="dxa"/>
          </w:tcPr>
          <w:p w14:paraId="0127FB2A" w14:textId="3E34A139" w:rsidR="00407676" w:rsidRDefault="00407676" w:rsidP="006277DB">
            <w:pPr>
              <w:pStyle w:val="Tablas"/>
            </w:pPr>
            <w:r>
              <w:t>0.82</w:t>
            </w:r>
          </w:p>
        </w:tc>
      </w:tr>
      <w:tr w:rsidR="00407676" w14:paraId="5FBD7B8E" w14:textId="75DB2AA9" w:rsidTr="006277DB">
        <w:trPr>
          <w:jc w:val="center"/>
        </w:trPr>
        <w:tc>
          <w:tcPr>
            <w:tcW w:w="1060" w:type="dxa"/>
          </w:tcPr>
          <w:p w14:paraId="62AF3FA3" w14:textId="5FEAC838" w:rsidR="00407676" w:rsidRDefault="00407676" w:rsidP="006277DB">
            <w:pPr>
              <w:pStyle w:val="Tablas"/>
              <w:jc w:val="right"/>
            </w:pPr>
            <w:r>
              <w:t>254</w:t>
            </w:r>
          </w:p>
        </w:tc>
        <w:tc>
          <w:tcPr>
            <w:tcW w:w="3309" w:type="dxa"/>
          </w:tcPr>
          <w:p w14:paraId="78293404" w14:textId="001DA585" w:rsidR="00407676" w:rsidRDefault="00407676" w:rsidP="006277DB">
            <w:pPr>
              <w:pStyle w:val="Tablas"/>
            </w:pPr>
            <w:r>
              <w:t>Sin clasificar</w:t>
            </w:r>
          </w:p>
        </w:tc>
        <w:tc>
          <w:tcPr>
            <w:tcW w:w="3309" w:type="dxa"/>
          </w:tcPr>
          <w:p w14:paraId="74007C45" w14:textId="77777777" w:rsidR="00407676" w:rsidRDefault="00407676" w:rsidP="006277DB">
            <w:pPr>
              <w:pStyle w:val="Tablas"/>
            </w:pPr>
          </w:p>
        </w:tc>
      </w:tr>
      <w:tr w:rsidR="00407676" w14:paraId="42719419" w14:textId="51AC5794" w:rsidTr="006277DB">
        <w:trPr>
          <w:jc w:val="center"/>
        </w:trPr>
        <w:tc>
          <w:tcPr>
            <w:tcW w:w="1060" w:type="dxa"/>
          </w:tcPr>
          <w:p w14:paraId="0339EB67" w14:textId="5EEB5B3F" w:rsidR="00407676" w:rsidRDefault="00407676" w:rsidP="006277DB">
            <w:pPr>
              <w:pStyle w:val="Tablas"/>
              <w:jc w:val="right"/>
            </w:pPr>
            <w:r>
              <w:t>255</w:t>
            </w:r>
          </w:p>
        </w:tc>
        <w:tc>
          <w:tcPr>
            <w:tcW w:w="3309" w:type="dxa"/>
          </w:tcPr>
          <w:p w14:paraId="600888B6" w14:textId="6A44ADC0" w:rsidR="00407676" w:rsidRDefault="00407676" w:rsidP="006277DB">
            <w:pPr>
              <w:pStyle w:val="Tablas"/>
            </w:pPr>
            <w:r>
              <w:t>Valor de relleno</w:t>
            </w:r>
          </w:p>
        </w:tc>
        <w:tc>
          <w:tcPr>
            <w:tcW w:w="3309" w:type="dxa"/>
          </w:tcPr>
          <w:p w14:paraId="5BA8B3FD" w14:textId="77777777" w:rsidR="00407676" w:rsidRDefault="00407676" w:rsidP="006277DB">
            <w:pPr>
              <w:pStyle w:val="Tablas"/>
            </w:pPr>
          </w:p>
        </w:tc>
      </w:tr>
    </w:tbl>
    <w:p w14:paraId="361AB5B0" w14:textId="77777777" w:rsidR="00407676" w:rsidRDefault="00407676" w:rsidP="00407676"/>
    <w:p w14:paraId="744DF756" w14:textId="39B8EFFD" w:rsidR="00F20AE3" w:rsidRDefault="00F20AE3" w:rsidP="00F20AE3">
      <w:pPr>
        <w:pStyle w:val="Ttulo2"/>
      </w:pPr>
      <w:bookmarkStart w:id="6" w:name="_Toc101721384"/>
      <w:r>
        <w:t>LAI</w:t>
      </w:r>
      <w:bookmarkEnd w:id="6"/>
    </w:p>
    <w:p w14:paraId="06DB8897" w14:textId="31238AC9" w:rsidR="00407676" w:rsidRDefault="000F59E5" w:rsidP="00407676">
      <w:r>
        <w:t xml:space="preserve">Como </w:t>
      </w:r>
      <w:r w:rsidR="00114F24">
        <w:t>mencioné</w:t>
      </w:r>
      <w:r>
        <w:t xml:space="preserve"> antes, el LAI es necesario para el cálculo de la ET. Además, es un buen indicador del ciclo vegetativo anual, necesario en la calibración de TETIS a través de los valores mensuales de los factores de cultivo.</w:t>
      </w:r>
    </w:p>
    <w:p w14:paraId="66B3177F" w14:textId="4FDD1603" w:rsidR="00F20AE3" w:rsidRPr="00F20AE3" w:rsidRDefault="000F59E5" w:rsidP="00F20AE3">
      <w:r>
        <w:t xml:space="preserve">El producto MCD15A2H </w:t>
      </w:r>
      <w:r w:rsidR="00114F24">
        <w:t xml:space="preserve">de MODIS </w:t>
      </w:r>
      <w:r>
        <w:t>ofrece los mapas de LAI con resolución espacial de 465 m y temporal de 8 días. Al igual que el producto de cobertura del suelo, es un producto único que combina los datos de los satélites Terra y Aqua.</w:t>
      </w:r>
    </w:p>
    <w:p w14:paraId="48A695F5" w14:textId="1278A85E" w:rsidR="008129CC" w:rsidRDefault="008129CC" w:rsidP="008129CC">
      <w:pPr>
        <w:pStyle w:val="Ttulo2"/>
      </w:pPr>
      <w:bookmarkStart w:id="7" w:name="_Toc101721385"/>
      <w:r>
        <w:t>Clima</w:t>
      </w:r>
      <w:bookmarkEnd w:id="7"/>
    </w:p>
    <w:p w14:paraId="39DFCA0F" w14:textId="7AAB1BB7" w:rsidR="008129CC" w:rsidRPr="008129CC" w:rsidRDefault="008129CC" w:rsidP="008129CC">
      <w:r>
        <w:t xml:space="preserve">El modelo </w:t>
      </w:r>
      <w:r w:rsidR="00322ACF">
        <w:t xml:space="preserve">TETIS requiere </w:t>
      </w:r>
      <w:r>
        <w:t xml:space="preserve">tres variables </w:t>
      </w:r>
      <w:r w:rsidR="00417F8D">
        <w:t xml:space="preserve">climáticas </w:t>
      </w:r>
      <w:r>
        <w:t xml:space="preserve">de entrada: la precipitación diaria, la temperatura media diaria y la </w:t>
      </w:r>
      <w:r w:rsidR="00322ACF">
        <w:t>evapo</w:t>
      </w:r>
      <w:r w:rsidR="00114F24">
        <w:t>transpiración</w:t>
      </w:r>
      <w:r w:rsidR="00322ACF">
        <w:t xml:space="preserve"> </w:t>
      </w:r>
      <w:r w:rsidR="00114F24">
        <w:t>de referencia</w:t>
      </w:r>
      <w:r w:rsidR="006755DA">
        <w:t>.</w:t>
      </w:r>
      <w:r w:rsidR="00322ACF">
        <w:t xml:space="preserve"> La precipitación es la única aportación de agua al modelo</w:t>
      </w:r>
      <w:r w:rsidR="00114F24">
        <w:t xml:space="preserve">, </w:t>
      </w:r>
      <w:r w:rsidR="00322ACF">
        <w:t xml:space="preserve">la temperatura media diaria es necesaria para el módulo de nieve (método grado-día), y la </w:t>
      </w:r>
      <w:r w:rsidR="00114F24">
        <w:t xml:space="preserve">evapotranspiración de referencia </w:t>
      </w:r>
      <w:r w:rsidR="00322ACF">
        <w:t>es necesaria para calcular la evapotranspiración real</w:t>
      </w:r>
      <w:r w:rsidR="0056143E">
        <w:t xml:space="preserve"> aplicando los factores mensuales de cultivo sobre el agua disponible.</w:t>
      </w:r>
    </w:p>
    <w:p w14:paraId="764DAB9C" w14:textId="01B6AC65" w:rsidR="00E90102" w:rsidRDefault="008129CC" w:rsidP="001B3B10">
      <w:pPr>
        <w:pStyle w:val="Ttulo3"/>
        <w:rPr>
          <w:rFonts w:eastAsiaTheme="minorHAnsi"/>
        </w:rPr>
      </w:pPr>
      <w:r>
        <w:rPr>
          <w:rFonts w:eastAsiaTheme="minorHAnsi"/>
        </w:rPr>
        <w:t>Precipitación y temperatura</w:t>
      </w:r>
    </w:p>
    <w:p w14:paraId="44BAF3F5" w14:textId="65DC496A" w:rsidR="006755DA" w:rsidRDefault="006755DA" w:rsidP="006755DA">
      <w:r>
        <w:t xml:space="preserve">He partido de los mapas diarios de precipitación y temperatura media que generé para IVERCAM. </w:t>
      </w:r>
      <w:r w:rsidR="00417F8D">
        <w:t>En su momento</w:t>
      </w:r>
      <w:r>
        <w:t xml:space="preserve"> utilicé los datos de las estaciones de la AEMet y analicé mediante validación cruzada el método de interpolación que mejor se ajustaba a cada variable. Para la precipitación el método con el mejor rendimiento fue </w:t>
      </w:r>
      <w:r w:rsidRPr="006755DA">
        <w:rPr>
          <w:i/>
          <w:iCs/>
        </w:rPr>
        <w:t>universal kriging</w:t>
      </w:r>
      <w:r>
        <w:t xml:space="preserve">, utilizando como deriva la altitud, mientras que para la temperatura fue la distancia inversa aplicada sobre los residuos de la regresión lineal entre temperatura y </w:t>
      </w:r>
      <w:commentRangeStart w:id="8"/>
      <w:r>
        <w:t>altitud</w:t>
      </w:r>
      <w:commentRangeEnd w:id="8"/>
      <w:r w:rsidR="00A11010">
        <w:rPr>
          <w:rStyle w:val="Refdecomentario"/>
        </w:rPr>
        <w:commentReference w:id="8"/>
      </w:r>
      <w:r>
        <w:t>.</w:t>
      </w:r>
    </w:p>
    <w:p w14:paraId="4EF94FCF" w14:textId="0A548FB4" w:rsidR="00114F24" w:rsidRPr="00114F24" w:rsidRDefault="00114F24" w:rsidP="006755DA">
      <w:pPr>
        <w:pStyle w:val="Ttulo3"/>
        <w:rPr>
          <w:rFonts w:eastAsiaTheme="minorHAnsi"/>
        </w:rPr>
      </w:pPr>
      <w:r>
        <w:rPr>
          <w:rFonts w:eastAsiaTheme="minorHAnsi"/>
        </w:rPr>
        <w:t>Evapotranspiración de referencia</w:t>
      </w:r>
    </w:p>
    <w:p w14:paraId="5C5723A1" w14:textId="48EE5398" w:rsidR="000F59E5" w:rsidRDefault="00114F24" w:rsidP="000F59E5">
      <w:r>
        <w:t xml:space="preserve">Los mapas diarios de evapotranspiración de referencia los calculé a partir de los de temperatura máxima y mínima mediante el método de </w:t>
      </w:r>
      <w:commentRangeStart w:id="9"/>
      <w:r>
        <w:t>Hargreaves</w:t>
      </w:r>
      <w:commentRangeEnd w:id="9"/>
      <w:r w:rsidR="001B1AC2">
        <w:rPr>
          <w:rStyle w:val="Refdecomentario"/>
        </w:rPr>
        <w:commentReference w:id="9"/>
      </w:r>
      <w:r>
        <w:t>.</w:t>
      </w:r>
    </w:p>
    <w:p w14:paraId="7A09C715" w14:textId="77777777" w:rsidR="001D7ABA" w:rsidRPr="000F59E5" w:rsidRDefault="001D7ABA" w:rsidP="000F59E5"/>
    <w:p w14:paraId="2C56D621" w14:textId="6463BF22" w:rsidR="003A59F8" w:rsidRDefault="008129CC" w:rsidP="003A59F8">
      <w:pPr>
        <w:pStyle w:val="Ttulo1"/>
      </w:pPr>
      <w:bookmarkStart w:id="10" w:name="_Toc101721386"/>
      <w:r>
        <w:t>Métodos</w:t>
      </w:r>
      <w:bookmarkEnd w:id="10"/>
    </w:p>
    <w:p w14:paraId="61A86F6A" w14:textId="6E48664F" w:rsidR="00114F24" w:rsidRDefault="00114F24" w:rsidP="00114F24">
      <w:pPr>
        <w:pStyle w:val="Ttulo2"/>
      </w:pPr>
      <w:bookmarkStart w:id="11" w:name="_Toc101721387"/>
      <w:r>
        <w:t>Evapotranspiración en TETIS</w:t>
      </w:r>
      <w:bookmarkEnd w:id="11"/>
    </w:p>
    <w:p w14:paraId="248BCC84" w14:textId="73768D71" w:rsidR="00114F24" w:rsidRDefault="00114F24" w:rsidP="00114F24">
      <w:r>
        <w:t>En la evapotranspiración intervienen dos tanques: la evaporación (</w:t>
      </w:r>
      <m:oMath>
        <m:sSub>
          <m:sSubPr>
            <m:ctrlPr>
              <w:rPr>
                <w:rFonts w:ascii="Cambria Math" w:hAnsi="Cambria Math"/>
                <w:i/>
              </w:rPr>
            </m:ctrlPr>
          </m:sSubPr>
          <m:e>
            <m:r>
              <w:rPr>
                <w:rFonts w:ascii="Cambria Math" w:hAnsi="Cambria Math"/>
              </w:rPr>
              <m:t>E</m:t>
            </m:r>
          </m:e>
          <m:sub>
            <m:r>
              <w:rPr>
                <w:rFonts w:ascii="Cambria Math" w:hAnsi="Cambria Math"/>
              </w:rPr>
              <m:t>6</m:t>
            </m:r>
          </m:sub>
        </m:sSub>
      </m:oMath>
      <w:r>
        <w:t>) desde el tanque T6-interceptación y la evapotranspiración (</w:t>
      </w:r>
      <m:oMath>
        <m:sSub>
          <m:sSubPr>
            <m:ctrlPr>
              <w:rPr>
                <w:rFonts w:ascii="Cambria Math" w:hAnsi="Cambria Math"/>
                <w:i/>
              </w:rPr>
            </m:ctrlPr>
          </m:sSubPr>
          <m:e>
            <m:r>
              <w:rPr>
                <w:rFonts w:ascii="Cambria Math" w:hAnsi="Cambria Math"/>
              </w:rPr>
              <m:t>ET</m:t>
            </m:r>
          </m:e>
          <m:sub>
            <m:r>
              <w:rPr>
                <w:rFonts w:ascii="Cambria Math" w:hAnsi="Cambria Math"/>
              </w:rPr>
              <m:t>1</m:t>
            </m:r>
          </m:sub>
        </m:sSub>
      </m:oMath>
      <w:r>
        <w:t>) desde el tanque T1-estático.</w:t>
      </w:r>
    </w:p>
    <w:p w14:paraId="68F78A2B" w14:textId="749F0EED" w:rsidR="00114F24" w:rsidRDefault="00294C20" w:rsidP="00114F24">
      <m:oMathPara>
        <m:oMath>
          <m:r>
            <w:rPr>
              <w:rFonts w:ascii="Cambria Math" w:hAnsi="Cambria Math"/>
            </w:rPr>
            <m:t>ET=</m:t>
          </m:r>
          <m:sSub>
            <m:sSubPr>
              <m:ctrlPr>
                <w:rPr>
                  <w:rFonts w:ascii="Cambria Math" w:hAnsi="Cambria Math"/>
                  <w:i/>
                </w:rPr>
              </m:ctrlPr>
            </m:sSubPr>
            <m:e>
              <m:r>
                <w:rPr>
                  <w:rFonts w:ascii="Cambria Math" w:hAnsi="Cambria Math"/>
                </w:rPr>
                <m:t>E</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1</m:t>
              </m:r>
            </m:sub>
          </m:sSub>
          <m:r>
            <w:rPr>
              <w:rFonts w:ascii="Cambria Math" w:hAnsi="Cambria Math"/>
            </w:rPr>
            <m:t>≤ETP</m:t>
          </m:r>
        </m:oMath>
      </m:oMathPara>
    </w:p>
    <w:p w14:paraId="7B7C716E" w14:textId="1B29760E" w:rsidR="00114F24" w:rsidRDefault="00114F24" w:rsidP="00294C20">
      <w:pPr>
        <w:pStyle w:val="Prrafodelista"/>
        <w:numPr>
          <w:ilvl w:val="0"/>
          <w:numId w:val="26"/>
        </w:numPr>
      </w:pPr>
      <w:r>
        <w:t>La evaporación desde el agua interceptada</w:t>
      </w:r>
      <w:r w:rsidR="00294C20">
        <w:t>:</w:t>
      </w:r>
    </w:p>
    <w:p w14:paraId="5F2A712B" w14:textId="031FB2EA" w:rsidR="00294C20" w:rsidRDefault="0082690A" w:rsidP="00294C20">
      <m:oMathPara>
        <m:oMath>
          <m:sSub>
            <m:sSubPr>
              <m:ctrlPr>
                <w:rPr>
                  <w:rFonts w:ascii="Cambria Math" w:hAnsi="Cambria Math"/>
                  <w:i/>
                </w:rPr>
              </m:ctrlPr>
            </m:sSubPr>
            <m:e>
              <m:r>
                <w:rPr>
                  <w:rFonts w:ascii="Cambria Math" w:hAnsi="Cambria Math"/>
                </w:rPr>
                <m:t>E</m:t>
              </m:r>
            </m:e>
            <m:sub>
              <m:r>
                <w:rPr>
                  <w:rFonts w:ascii="Cambria Math" w:hAnsi="Cambria Math"/>
                </w:rPr>
                <m:t>6</m:t>
              </m:r>
            </m:sub>
          </m:sSub>
          <m:r>
            <w:rPr>
              <w:rFonts w:ascii="Cambria Math" w:hAnsi="Cambria Math"/>
            </w:rPr>
            <m:t>=min</m:t>
          </m:r>
          <m:d>
            <m:dPr>
              <m:ctrlPr>
                <w:rPr>
                  <w:rFonts w:ascii="Cambria Math" w:hAnsi="Cambria Math"/>
                  <w:i/>
                </w:rPr>
              </m:ctrlPr>
            </m:dPr>
            <m:e>
              <m:r>
                <w:rPr>
                  <w:rFonts w:ascii="Cambria Math" w:hAnsi="Cambria Math"/>
                </w:rPr>
                <m:t>ETP∙</m:t>
              </m:r>
              <m:sSub>
                <m:sSubPr>
                  <m:ctrlPr>
                    <w:rPr>
                      <w:rFonts w:ascii="Cambria Math" w:hAnsi="Cambria Math"/>
                      <w:i/>
                    </w:rPr>
                  </m:ctrlPr>
                </m:sSubPr>
                <m:e>
                  <m:r>
                    <w:rPr>
                      <w:rFonts w:ascii="Cambria Math" w:hAnsi="Cambria Math"/>
                    </w:rPr>
                    <m:t>λ</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6</m:t>
                  </m:r>
                </m:sub>
              </m:sSub>
            </m:e>
          </m:d>
        </m:oMath>
      </m:oMathPara>
    </w:p>
    <w:p w14:paraId="74F488CD" w14:textId="009D45FD" w:rsidR="00114F24" w:rsidRDefault="00114F24" w:rsidP="00294C20">
      <w:pPr>
        <w:ind w:left="708"/>
      </w:pPr>
      <w:r>
        <w:t xml:space="preserve">Donde </w:t>
      </w:r>
      <m:oMath>
        <m:r>
          <w:rPr>
            <w:rFonts w:ascii="Cambria Math" w:hAnsi="Cambria Math"/>
          </w:rPr>
          <m:t>ETP</m:t>
        </m:r>
      </m:oMath>
      <w:r>
        <w:t xml:space="preserve"> es la evapotranspiración potencial definida en el archivo de entrada,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es el factor de cultivo mensual para cada tipo de cobertura del suelo</w:t>
      </w:r>
      <w:r w:rsidR="00294C20">
        <w:t>,</w:t>
      </w:r>
      <w:r w:rsidR="00294C20">
        <w:rPr>
          <w:rFonts w:eastAsiaTheme="minorEastAsia"/>
        </w:rPr>
        <w:t xml:space="preserve">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t xml:space="preserve"> es el factor corrector </w:t>
      </w:r>
      <w:r>
        <w:lastRenderedPageBreak/>
        <w:t>de la evapotranspiración (el parámetro calibrable)</w:t>
      </w:r>
      <w:r w:rsidR="00294C20">
        <w:t xml:space="preserve">, y </w:t>
      </w:r>
      <m:oMath>
        <m:sSub>
          <m:sSubPr>
            <m:ctrlPr>
              <w:rPr>
                <w:rFonts w:ascii="Cambria Math" w:hAnsi="Cambria Math"/>
                <w:i/>
              </w:rPr>
            </m:ctrlPr>
          </m:sSubPr>
          <m:e>
            <m:r>
              <w:rPr>
                <w:rFonts w:ascii="Cambria Math" w:hAnsi="Cambria Math"/>
              </w:rPr>
              <m:t>H</m:t>
            </m:r>
          </m:e>
          <m:sub>
            <m:r>
              <w:rPr>
                <w:rFonts w:ascii="Cambria Math" w:hAnsi="Cambria Math"/>
              </w:rPr>
              <m:t>6</m:t>
            </m:r>
          </m:sub>
        </m:sSub>
      </m:oMath>
      <w:r w:rsidR="00294C20">
        <w:rPr>
          <w:rFonts w:eastAsiaTheme="minorEastAsia"/>
        </w:rPr>
        <w:t xml:space="preserve"> el agua disponible como interceptación</w:t>
      </w:r>
      <w:r w:rsidR="00294C20">
        <w:t>.</w:t>
      </w:r>
    </w:p>
    <w:p w14:paraId="484A066D" w14:textId="048EA11A" w:rsidR="00114F24" w:rsidRDefault="00114F24" w:rsidP="00114F24">
      <w:pPr>
        <w:pStyle w:val="Prrafodelista"/>
        <w:numPr>
          <w:ilvl w:val="0"/>
          <w:numId w:val="26"/>
        </w:numPr>
      </w:pPr>
      <w:r>
        <w:t xml:space="preserve">La evapotranspiración desde el </w:t>
      </w:r>
      <w:r w:rsidR="00294C20">
        <w:t xml:space="preserve">agua almacenada en el </w:t>
      </w:r>
      <w:r>
        <w:t>tanque estático:</w:t>
      </w:r>
    </w:p>
    <w:p w14:paraId="5C083349" w14:textId="3CB7EFF4" w:rsidR="00294C20" w:rsidRDefault="0082690A" w:rsidP="00294C20">
      <w:pPr>
        <w:pStyle w:val="Prrafodelista"/>
      </w:pPr>
      <m:oMathPara>
        <m:oMath>
          <m:sSub>
            <m:sSubPr>
              <m:ctrlPr>
                <w:rPr>
                  <w:rFonts w:ascii="Cambria Math" w:hAnsi="Cambria Math"/>
                  <w:i/>
                </w:rPr>
              </m:ctrlPr>
            </m:sSubPr>
            <m:e>
              <m:r>
                <w:rPr>
                  <w:rFonts w:ascii="Cambria Math" w:hAnsi="Cambria Math"/>
                </w:rPr>
                <m:t>ET</m:t>
              </m:r>
            </m:e>
            <m:sub>
              <m:r>
                <w:rPr>
                  <w:rFonts w:ascii="Cambria Math" w:hAnsi="Cambria Math"/>
                </w:rPr>
                <m:t>1</m:t>
              </m:r>
            </m:sub>
          </m:sSub>
          <m:r>
            <w:rPr>
              <w:rFonts w:ascii="Cambria Math" w:hAnsi="Cambria Math"/>
            </w:rPr>
            <m:t>=min</m:t>
          </m:r>
          <m:d>
            <m:dPr>
              <m:begChr m:val="["/>
              <m:endChr m:val="]"/>
              <m:ctrlPr>
                <w:rPr>
                  <w:rFonts w:ascii="Cambria Math" w:hAnsi="Cambria Math"/>
                  <w:i/>
                </w:rPr>
              </m:ctrlPr>
            </m:dPr>
            <m:e>
              <m:d>
                <m:dPr>
                  <m:ctrlPr>
                    <w:rPr>
                      <w:rFonts w:ascii="Cambria Math" w:hAnsi="Cambria Math"/>
                      <w:i/>
                    </w:rPr>
                  </m:ctrlPr>
                </m:dPr>
                <m:e>
                  <m:r>
                    <w:rPr>
                      <w:rFonts w:ascii="Cambria Math" w:hAnsi="Cambria Math"/>
                    </w:rPr>
                    <m:t>ETP∙</m:t>
                  </m:r>
                  <m:sSub>
                    <m:sSubPr>
                      <m:ctrlPr>
                        <w:rPr>
                          <w:rFonts w:ascii="Cambria Math" w:hAnsi="Cambria Math"/>
                          <w:i/>
                        </w:rPr>
                      </m:ctrlPr>
                    </m:sSubPr>
                    <m:e>
                      <m:r>
                        <w:rPr>
                          <w:rFonts w:ascii="Cambria Math" w:hAnsi="Cambria Math"/>
                        </w:rPr>
                        <m:t>FC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6</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m:oMathPara>
    </w:p>
    <w:p w14:paraId="2DB6F26B" w14:textId="2AA0D8E4" w:rsidR="00114F24" w:rsidRDefault="00114F24" w:rsidP="00294C20">
      <w:pPr>
        <w:ind w:left="708"/>
      </w:pPr>
      <w:r>
        <w:t xml:space="preserve">Donde </w:t>
      </w:r>
      <m:oMath>
        <m:r>
          <w:rPr>
            <w:rFonts w:ascii="Cambria Math" w:hAnsi="Cambria Math"/>
          </w:rPr>
          <m:t>f</m:t>
        </m:r>
        <m:d>
          <m:dPr>
            <m:ctrlPr>
              <w:rPr>
                <w:rFonts w:ascii="Cambria Math" w:hAnsi="Cambria Math"/>
                <w:i/>
              </w:rPr>
            </m:ctrlPr>
          </m:dPr>
          <m:e>
            <m:r>
              <w:rPr>
                <w:rFonts w:ascii="Cambria Math" w:hAnsi="Cambria Math"/>
              </w:rPr>
              <m:t>θ</m:t>
            </m:r>
          </m:e>
        </m:d>
      </m:oMath>
      <w:r>
        <w:t xml:space="preserve"> es la función de humedad que representa el contenido de humedad en el suelo en función de tres umbrales (punto de marchitez, humedad óptima y saturación). Puesto que </w:t>
      </w:r>
      <m:oMath>
        <m:sSub>
          <m:sSubPr>
            <m:ctrlPr>
              <w:rPr>
                <w:rFonts w:ascii="Cambria Math" w:hAnsi="Cambria Math"/>
                <w:i/>
              </w:rPr>
            </m:ctrlPr>
          </m:sSubPr>
          <m:e>
            <m:r>
              <w:rPr>
                <w:rFonts w:ascii="Cambria Math" w:hAnsi="Cambria Math"/>
              </w:rPr>
              <m:t>ET</m:t>
            </m:r>
          </m:e>
          <m:sub>
            <m:r>
              <w:rPr>
                <w:rFonts w:ascii="Cambria Math" w:hAnsi="Cambria Math"/>
              </w:rPr>
              <m:t>1</m:t>
            </m:r>
          </m:sub>
        </m:sSub>
      </m:oMath>
      <w:r>
        <w:t xml:space="preserve"> depende de la cantidad de agua en el tanque estático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está ligada indirectamente al parámetro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que define la infiltración de la precipitación neta en este tanque:</w:t>
      </w:r>
    </w:p>
    <w:p w14:paraId="77AD5FF7" w14:textId="7F38ED9F" w:rsidR="00294C20" w:rsidRPr="006277DB" w:rsidRDefault="0082690A" w:rsidP="00294C20">
      <w:pPr>
        <w:ind w:left="708"/>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=min</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sSub>
                            <m:sSubPr>
                              <m:ctrlPr>
                                <w:rPr>
                                  <w:rFonts w:ascii="Cambria Math" w:hAnsi="Cambria Math"/>
                                  <w:i/>
                                </w:rPr>
                              </m:ctrlPr>
                            </m:sSubPr>
                            <m:e>
                              <m:r>
                                <w:rPr>
                                  <w:rFonts w:ascii="Cambria Math" w:hAnsi="Cambria Math"/>
                                </w:rPr>
                                <m:t>H</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1</m:t>
                              </m:r>
                            </m:sub>
                          </m:sSub>
                        </m:den>
                      </m:f>
                    </m:e>
                  </m:d>
                </m:e>
                <m:sup>
                  <m:sSub>
                    <m:sSubPr>
                      <m:ctrlPr>
                        <w:rPr>
                          <w:rFonts w:ascii="Cambria Math" w:hAnsi="Cambria Math"/>
                          <w:i/>
                        </w:rPr>
                      </m:ctrlPr>
                    </m:sSubPr>
                    <m:e>
                      <m:r>
                        <w:rPr>
                          <w:rFonts w:ascii="Cambria Math" w:hAnsi="Cambria Math"/>
                        </w:rPr>
                        <m:t>p</m:t>
                      </m:r>
                    </m:e>
                    <m:sub>
                      <m:r>
                        <w:rPr>
                          <w:rFonts w:ascii="Cambria Math" w:hAnsi="Cambria Math"/>
                        </w:rPr>
                        <m:t>1</m:t>
                      </m:r>
                    </m:sub>
                  </m:sSub>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m:oMathPara>
    </w:p>
    <w:p w14:paraId="4104995A" w14:textId="15F485C6" w:rsidR="00114F24" w:rsidRDefault="006277DB" w:rsidP="006277DB">
      <w:pPr>
        <w:ind w:left="708"/>
        <w:rPr>
          <w:rFonts w:eastAsiaTheme="minorEastAsia"/>
        </w:rPr>
      </w:pPr>
      <w:r>
        <w:t xml:space="preserve">Donde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rPr>
          <w:rFonts w:eastAsiaTheme="minorEastAsia"/>
        </w:rPr>
        <w:t xml:space="preserve"> 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eastAsiaTheme="minorEastAsia"/>
        </w:rPr>
        <w:t xml:space="preserve"> representan el agua que llega al suelo a través de la precipitación neta y la fusión, respectivamente, </w:t>
      </w:r>
      <m:oMath>
        <m:sSub>
          <m:sSubPr>
            <m:ctrlPr>
              <w:rPr>
                <w:rFonts w:ascii="Cambria Math" w:hAnsi="Cambria Math"/>
                <w:i/>
              </w:rPr>
            </m:ctrlPr>
          </m:sSubPr>
          <m:e>
            <m:r>
              <w:rPr>
                <w:rFonts w:ascii="Cambria Math" w:hAnsi="Cambria Math"/>
              </w:rPr>
              <m:t>H</m:t>
            </m:r>
          </m:e>
          <m:sub>
            <m:r>
              <w:rPr>
                <w:rFonts w:ascii="Cambria Math" w:hAnsi="Cambria Math"/>
              </w:rPr>
              <m:t>u</m:t>
            </m:r>
          </m:sub>
        </m:sSub>
      </m:oMath>
      <w:r>
        <w:rPr>
          <w:rFonts w:eastAsiaTheme="minorEastAsia"/>
        </w:rPr>
        <w:t xml:space="preserve"> es la capacidad de campo del suelo, que se </w:t>
      </w:r>
      <w:r w:rsidR="00B17A2B">
        <w:rPr>
          <w:rFonts w:eastAsiaTheme="minorEastAsia"/>
        </w:rPr>
        <w:t>ajusta</w:t>
      </w:r>
      <w:r>
        <w:rPr>
          <w:rFonts w:eastAsiaTheme="minorEastAsia"/>
        </w:rPr>
        <w:t xml:space="preserve"> a través del factor corrector  </w:t>
      </w:r>
      <m:oMath>
        <m:sSub>
          <m:sSubPr>
            <m:ctrlPr>
              <w:rPr>
                <w:rFonts w:ascii="Cambria Math" w:hAnsi="Cambria Math"/>
                <w:i/>
              </w:rPr>
            </m:ctrlPr>
          </m:sSubPr>
          <m:e>
            <m:r>
              <w:rPr>
                <w:rFonts w:ascii="Cambria Math" w:hAnsi="Cambria Math"/>
              </w:rPr>
              <m:t>FC</m:t>
            </m:r>
          </m:e>
          <m:sub>
            <m:r>
              <w:rPr>
                <w:rFonts w:ascii="Cambria Math" w:hAnsi="Cambria Math"/>
              </w:rPr>
              <m:t>1</m:t>
            </m:r>
          </m:sub>
        </m:sSub>
      </m:oMath>
      <w:r>
        <w:rPr>
          <w:rFonts w:eastAsiaTheme="minorEastAsia"/>
        </w:rPr>
        <w:t>.</w:t>
      </w:r>
    </w:p>
    <w:p w14:paraId="4ADD6666" w14:textId="60D75354" w:rsidR="00921BE0" w:rsidRDefault="00921BE0" w:rsidP="00921BE0">
      <w:pPr>
        <w:pStyle w:val="Ttulo2"/>
      </w:pPr>
      <w:bookmarkStart w:id="12" w:name="_Toc101721388"/>
      <w:r>
        <w:t>Ajustar la evapotranspiración de TETIS</w:t>
      </w:r>
      <w:bookmarkEnd w:id="12"/>
    </w:p>
    <w:p w14:paraId="175E4A6B" w14:textId="77777777" w:rsidR="0098684B" w:rsidRDefault="00114F24" w:rsidP="00F71B08">
      <w:r>
        <w:t xml:space="preserve">Según </w:t>
      </w:r>
      <w:r w:rsidR="0098684B">
        <w:t>la</w:t>
      </w:r>
      <w:r>
        <w:t xml:space="preserve"> formulación</w:t>
      </w:r>
      <w:r w:rsidR="0098684B">
        <w:t xml:space="preserve"> anterior</w:t>
      </w:r>
      <w:r>
        <w:t xml:space="preserve">, </w:t>
      </w:r>
      <w:r w:rsidR="00921BE0">
        <w:t xml:space="preserve">hay tres componentes del modelo TETIS que afectan a la simulación de la evaporación y evapotranspiración: la cantidad de agua almacenada en los tanques 6 (interceptación) y 1 (almacenamiento estático), y el potencial de evapotranspiración. </w:t>
      </w:r>
    </w:p>
    <w:p w14:paraId="074F5728" w14:textId="1404126D" w:rsidR="0098684B" w:rsidRPr="0098684B" w:rsidRDefault="00921BE0" w:rsidP="0098684B">
      <w:pPr>
        <w:pStyle w:val="Prrafodelista"/>
        <w:numPr>
          <w:ilvl w:val="0"/>
          <w:numId w:val="33"/>
        </w:numPr>
      </w:pPr>
      <w:r>
        <w:t>La interceptación máxima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Pr="0098684B">
        <w:rPr>
          <w:rFonts w:eastAsiaTheme="minorEastAsia"/>
        </w:rPr>
        <w:t xml:space="preserve">) es un parámetro que se define para cada cobertura del suelo. </w:t>
      </w:r>
      <w:r w:rsidR="0098684B">
        <w:rPr>
          <w:rFonts w:eastAsiaTheme="minorEastAsia"/>
        </w:rPr>
        <w:t>Según el manual de TETIS, este parámetro se multiplica por los factores de cultivo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rsidR="0098684B">
        <w:rPr>
          <w:rFonts w:eastAsiaTheme="minorEastAsia"/>
        </w:rPr>
        <w:t>) para modificar su valor mensualmente según la fenología de cada tipo de vegetación.</w:t>
      </w:r>
    </w:p>
    <w:p w14:paraId="2884A852" w14:textId="77777777" w:rsidR="0098684B" w:rsidRPr="0098684B" w:rsidRDefault="00921BE0" w:rsidP="0098684B">
      <w:pPr>
        <w:pStyle w:val="Prrafodelista"/>
        <w:numPr>
          <w:ilvl w:val="0"/>
          <w:numId w:val="33"/>
        </w:numPr>
      </w:pPr>
      <w:r w:rsidRPr="0098684B">
        <w:rPr>
          <w:rFonts w:eastAsiaTheme="minorEastAsia"/>
        </w:rPr>
        <w:t>El almacenamiento estático es más complejo</w:t>
      </w:r>
      <w:r w:rsidR="0098684B">
        <w:rPr>
          <w:rFonts w:eastAsiaTheme="minorEastAsia"/>
        </w:rPr>
        <w:t>. P</w:t>
      </w:r>
      <w:r w:rsidRPr="0098684B">
        <w:rPr>
          <w:rFonts w:eastAsiaTheme="minorEastAsia"/>
        </w:rPr>
        <w:t xml:space="preserve">or un </w:t>
      </w:r>
      <w:r w:rsidR="00F71B08" w:rsidRPr="0098684B">
        <w:rPr>
          <w:rFonts w:eastAsiaTheme="minorEastAsia"/>
        </w:rPr>
        <w:t>lado,</w:t>
      </w:r>
      <w:r w:rsidRPr="0098684B">
        <w:rPr>
          <w:rFonts w:eastAsiaTheme="minorEastAsia"/>
        </w:rPr>
        <w:t xml:space="preserve"> se puede ajustar el máximo de capacidad de este tanque a partir del </w:t>
      </w:r>
      <w:r w:rsidR="00F71B08" w:rsidRPr="0098684B">
        <w:rPr>
          <w:rFonts w:eastAsiaTheme="minorEastAsia"/>
        </w:rPr>
        <w:t xml:space="preserve">factor corrector </w:t>
      </w:r>
      <m:oMath>
        <m:sSub>
          <m:sSubPr>
            <m:ctrlPr>
              <w:rPr>
                <w:rFonts w:ascii="Cambria Math" w:hAnsi="Cambria Math"/>
                <w:i/>
              </w:rPr>
            </m:ctrlPr>
          </m:sSubPr>
          <m:e>
            <m:r>
              <w:rPr>
                <w:rFonts w:ascii="Cambria Math" w:hAnsi="Cambria Math"/>
              </w:rPr>
              <m:t>FC</m:t>
            </m:r>
          </m:e>
          <m:sub>
            <m:r>
              <w:rPr>
                <w:rFonts w:ascii="Cambria Math" w:hAnsi="Cambria Math"/>
              </w:rPr>
              <m:t>1</m:t>
            </m:r>
          </m:sub>
        </m:sSub>
      </m:oMath>
      <w:r w:rsidR="0098684B">
        <w:rPr>
          <w:rFonts w:eastAsiaTheme="minorEastAsia"/>
        </w:rPr>
        <w:t>. P</w:t>
      </w:r>
      <w:r w:rsidR="00F71B08" w:rsidRPr="0098684B">
        <w:rPr>
          <w:rFonts w:eastAsiaTheme="minorEastAsia"/>
        </w:rPr>
        <w:t xml:space="preserve">or otro lado, la cantidad de agua que se infiltra en el tanque se controla con el coeficiente exponencial de infiltración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71B08" w:rsidRPr="0098684B">
        <w:rPr>
          <w:rFonts w:eastAsiaTheme="minorEastAsia"/>
        </w:rPr>
        <w:t xml:space="preserve">. </w:t>
      </w:r>
    </w:p>
    <w:p w14:paraId="2D754313" w14:textId="2AE4F4AA" w:rsidR="00F71B08" w:rsidRDefault="00F71B08" w:rsidP="0098684B">
      <w:pPr>
        <w:pStyle w:val="Prrafodelista"/>
        <w:numPr>
          <w:ilvl w:val="0"/>
          <w:numId w:val="33"/>
        </w:numPr>
      </w:pPr>
      <w:r w:rsidRPr="0098684B">
        <w:rPr>
          <w:rFonts w:eastAsiaTheme="minorEastAsia"/>
        </w:rPr>
        <w:t xml:space="preserve">Por último, el potencial de evaporación se puede modificar con el factor corrector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rsidRPr="0098684B">
        <w:rPr>
          <w:rFonts w:eastAsiaTheme="minorEastAsia"/>
        </w:rPr>
        <w:t>, los factores de cultivo mensuales de cada clase de uso del suelo (</w:t>
      </w:r>
      <m:oMath>
        <m:sSub>
          <m:sSubPr>
            <m:ctrlPr>
              <w:rPr>
                <w:rFonts w:ascii="Cambria Math" w:hAnsi="Cambria Math"/>
                <w:i/>
              </w:rPr>
            </m:ctrlPr>
          </m:sSubPr>
          <m:e>
            <m:r>
              <w:rPr>
                <w:rFonts w:ascii="Cambria Math" w:hAnsi="Cambria Math"/>
              </w:rPr>
              <m:t>λ</m:t>
            </m:r>
          </m:e>
          <m:sub>
            <m:r>
              <w:rPr>
                <w:rFonts w:ascii="Cambria Math" w:hAnsi="Cambria Math"/>
              </w:rPr>
              <m:t>v</m:t>
            </m:r>
          </m:sub>
        </m:sSub>
        <m:d>
          <m:dPr>
            <m:ctrlPr>
              <w:rPr>
                <w:rFonts w:ascii="Cambria Math" w:hAnsi="Cambria Math"/>
                <w:i/>
              </w:rPr>
            </m:ctrlPr>
          </m:dPr>
          <m:e>
            <m:r>
              <w:rPr>
                <w:rFonts w:ascii="Cambria Math" w:hAnsi="Cambria Math"/>
              </w:rPr>
              <m:t>t</m:t>
            </m:r>
          </m:e>
        </m:d>
      </m:oMath>
      <w:r w:rsidRPr="0098684B">
        <w:rPr>
          <w:rFonts w:eastAsiaTheme="minorEastAsia"/>
        </w:rPr>
        <w:t>) y</w:t>
      </w:r>
      <w:r>
        <w:t xml:space="preserve">, en menor medida, modificando la </w:t>
      </w:r>
      <w:commentRangeStart w:id="13"/>
      <w:r>
        <w:t>humedad óptima</w:t>
      </w:r>
      <w:commentRangeEnd w:id="13"/>
      <w:r w:rsidR="00B17A2B">
        <w:rPr>
          <w:rStyle w:val="Refdecomentario"/>
        </w:rPr>
        <w:commentReference w:id="13"/>
      </w:r>
      <w:r w:rsidR="0098684B">
        <w:t>.</w:t>
      </w:r>
    </w:p>
    <w:p w14:paraId="72C5F26F" w14:textId="03FBE19D" w:rsidR="00114F24" w:rsidRPr="00F71B08" w:rsidRDefault="00F71B08" w:rsidP="00114F24">
      <w:pPr>
        <w:rPr>
          <w:rFonts w:eastAsiaTheme="minorEastAsia"/>
        </w:rPr>
      </w:pPr>
      <w:r>
        <w:t xml:space="preserve">En resumen, son 5 los </w:t>
      </w:r>
      <w:r w:rsidR="0098684B">
        <w:t>parámetros</w:t>
      </w:r>
      <w:r>
        <w:t xml:space="preserve"> que ajustan la evapotranspiración del modelo: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Pr>
          <w:rFonts w:eastAsiaTheme="minorEastAsia"/>
        </w:rPr>
        <w:t xml:space="preserve">, </w:t>
      </w:r>
      <m:oMath>
        <m:sSub>
          <m:sSubPr>
            <m:ctrlPr>
              <w:rPr>
                <w:rFonts w:ascii="Cambria Math" w:hAnsi="Cambria Math"/>
                <w:i/>
              </w:rPr>
            </m:ctrlPr>
          </m:sSubPr>
          <m:e>
            <m:r>
              <w:rPr>
                <w:rFonts w:ascii="Cambria Math" w:hAnsi="Cambria Math"/>
              </w:rPr>
              <m:t>FC</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rPr>
          <w:rFonts w:eastAsiaTheme="minorEastAsia"/>
        </w:rPr>
        <w:t xml:space="preserve"> y </w:t>
      </w:r>
      <m:oMath>
        <m:sSub>
          <m:sSubPr>
            <m:ctrlPr>
              <w:rPr>
                <w:rFonts w:ascii="Cambria Math" w:hAnsi="Cambria Math"/>
                <w:i/>
              </w:rPr>
            </m:ctrlPr>
          </m:sSubPr>
          <m:e>
            <m:r>
              <w:rPr>
                <w:rFonts w:ascii="Cambria Math" w:hAnsi="Cambria Math"/>
              </w:rPr>
              <m:t>λ</m:t>
            </m:r>
          </m:e>
          <m:sub>
            <m:r>
              <w:rPr>
                <w:rFonts w:ascii="Cambria Math" w:hAnsi="Cambria Math"/>
              </w:rPr>
              <m:t>v</m:t>
            </m:r>
          </m:sub>
        </m:sSub>
        <m:d>
          <m:dPr>
            <m:ctrlPr>
              <w:rPr>
                <w:rFonts w:ascii="Cambria Math" w:hAnsi="Cambria Math"/>
                <w:i/>
              </w:rPr>
            </m:ctrlPr>
          </m:dPr>
          <m:e>
            <m:r>
              <w:rPr>
                <w:rFonts w:ascii="Cambria Math" w:hAnsi="Cambria Math"/>
              </w:rPr>
              <m:t>t</m:t>
            </m:r>
          </m:e>
        </m:d>
      </m:oMath>
      <w:r>
        <w:rPr>
          <w:rFonts w:eastAsiaTheme="minorEastAsia"/>
        </w:rPr>
        <w:t xml:space="preserve">. Por tanto, </w:t>
      </w:r>
      <w:r w:rsidR="00114F24">
        <w:t xml:space="preserve">se puede alterar la evapotranspiración simulada de tres maneras: modificando los factores de cultivo, calibrando </w:t>
      </w:r>
      <m:oMath>
        <m:sSub>
          <m:sSubPr>
            <m:ctrlPr>
              <w:rPr>
                <w:rFonts w:ascii="Cambria Math" w:hAnsi="Cambria Math"/>
                <w:i/>
              </w:rPr>
            </m:ctrlPr>
          </m:sSubPr>
          <m:e>
            <m:r>
              <w:rPr>
                <w:rFonts w:ascii="Cambria Math" w:hAnsi="Cambria Math"/>
              </w:rPr>
              <m:t>FC</m:t>
            </m:r>
          </m:e>
          <m:sub>
            <m:r>
              <w:rPr>
                <w:rFonts w:ascii="Cambria Math" w:hAnsi="Cambria Math"/>
              </w:rPr>
              <m:t>1</m:t>
            </m:r>
          </m:sub>
        </m:sSub>
      </m:oMath>
      <w:r w:rsidR="006277DB">
        <w:rPr>
          <w:rFonts w:eastAsiaTheme="minorEastAsia"/>
        </w:rPr>
        <w:t xml:space="preserve">,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rPr>
          <w:rFonts w:eastAsiaTheme="minorEastAsia"/>
        </w:rPr>
        <w:t xml:space="preserve"> </w:t>
      </w:r>
      <w:r w:rsidR="00114F24">
        <w:t xml:space="preserve">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14F24">
        <w:t>, o</w:t>
      </w:r>
      <w:r w:rsidR="006277DB">
        <w:t>,</w:t>
      </w:r>
      <w:r w:rsidR="00114F24">
        <w:t xml:space="preserve"> en menor medida, </w:t>
      </w:r>
      <w:r>
        <w:t>modificando la interceptación máxima</w:t>
      </w:r>
      <w:r w:rsidR="00114F24">
        <w:t xml:space="preserve">. </w:t>
      </w:r>
    </w:p>
    <w:p w14:paraId="2649B211" w14:textId="77777777" w:rsidR="0098684B" w:rsidRDefault="00114F24" w:rsidP="00114F24">
      <w:r>
        <w:t xml:space="preserve">El método más obvio, y el </w:t>
      </w:r>
      <w:r w:rsidR="006277DB">
        <w:t xml:space="preserve">que he </w:t>
      </w:r>
      <w:r>
        <w:t>utilizado hasta ahora</w:t>
      </w:r>
      <w:r w:rsidR="0098684B">
        <w:t xml:space="preserve"> por ser el que permite TETIS</w:t>
      </w:r>
      <w:r>
        <w:t xml:space="preserve">, es calibrar el factor corrector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t>, lo cual tiene ciertas limitaciones</w:t>
      </w:r>
      <w:r w:rsidR="0098684B">
        <w:t>:</w:t>
      </w:r>
    </w:p>
    <w:p w14:paraId="39096EF4" w14:textId="77777777" w:rsidR="0098684B" w:rsidRDefault="00114F24" w:rsidP="0098684B">
      <w:pPr>
        <w:pStyle w:val="Prrafodelista"/>
        <w:numPr>
          <w:ilvl w:val="0"/>
          <w:numId w:val="34"/>
        </w:numPr>
      </w:pPr>
      <w:r>
        <w:t xml:space="preserve">La primera es que se calibra la ET para reducir el sesgo del caudal, no para reproducir ET observada. </w:t>
      </w:r>
    </w:p>
    <w:p w14:paraId="1BFCB7CF" w14:textId="3DA06967" w:rsidR="0098684B" w:rsidRDefault="00114F24" w:rsidP="0098684B">
      <w:pPr>
        <w:pStyle w:val="Prrafodelista"/>
        <w:numPr>
          <w:ilvl w:val="0"/>
          <w:numId w:val="34"/>
        </w:numPr>
      </w:pPr>
      <w:r>
        <w:t xml:space="preserve">Además, modificando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rsidR="006277DB" w:rsidRPr="0098684B">
        <w:rPr>
          <w:rFonts w:eastAsiaTheme="minorEastAsia"/>
        </w:rPr>
        <w:t xml:space="preserve"> </w:t>
      </w:r>
      <w:r>
        <w:t xml:space="preserve">se puede ajustar la ET de la cuenca en términos globales para ajustar el balance hídrico, pero no se puede ajustar la variabilidad espacial ni </w:t>
      </w:r>
      <w:r w:rsidR="0098684B">
        <w:t>la estacionalidad</w:t>
      </w:r>
      <w:r>
        <w:t xml:space="preserve"> causada por el distinto comportamiento de las coberturas vegetales (ciclo </w:t>
      </w:r>
      <w:r>
        <w:lastRenderedPageBreak/>
        <w:t xml:space="preserve">vegetativo anual y comportamiento frente a la sequía). </w:t>
      </w:r>
      <w:r w:rsidR="0098684B">
        <w:t>Son los factores de cultivo los que definen el ciclo estacional de la vegetación, pero sus valores no son ajustables dentro de la funcionalidad de TETIS.</w:t>
      </w:r>
    </w:p>
    <w:p w14:paraId="229A9F61" w14:textId="5F1908D7" w:rsidR="00114F24" w:rsidRDefault="00114F24" w:rsidP="00114F24">
      <w:r>
        <w:t xml:space="preserve">Los </w:t>
      </w:r>
      <w:r w:rsidR="00F71B08">
        <w:t xml:space="preserve">factores </w:t>
      </w:r>
      <w:r>
        <w:t>de cultivo (</w:t>
      </w:r>
      <m:oMath>
        <m:sSub>
          <m:sSubPr>
            <m:ctrlPr>
              <w:rPr>
                <w:rFonts w:ascii="Cambria Math" w:hAnsi="Cambria Math"/>
                <w:i/>
              </w:rPr>
            </m:ctrlPr>
          </m:sSubPr>
          <m:e>
            <m:r>
              <w:rPr>
                <w:rFonts w:ascii="Cambria Math" w:hAnsi="Cambria Math"/>
              </w:rPr>
              <m:t>λ</m:t>
            </m:r>
          </m:e>
          <m:sub>
            <m:r>
              <w:rPr>
                <w:rFonts w:ascii="Cambria Math" w:hAnsi="Cambria Math"/>
              </w:rPr>
              <m:t>v</m:t>
            </m:r>
          </m:sub>
        </m:sSub>
        <m:d>
          <m:dPr>
            <m:ctrlPr>
              <w:rPr>
                <w:rFonts w:ascii="Cambria Math" w:hAnsi="Cambria Math"/>
                <w:i/>
              </w:rPr>
            </m:ctrlPr>
          </m:dPr>
          <m:e>
            <m:r>
              <w:rPr>
                <w:rFonts w:ascii="Cambria Math" w:hAnsi="Cambria Math"/>
              </w:rPr>
              <m:t>t</m:t>
            </m:r>
          </m:e>
        </m:d>
      </m:oMath>
      <w:r w:rsidR="006277DB">
        <w:t>)</w:t>
      </w:r>
      <w:r>
        <w:t xml:space="preserve"> corresponden a un</w:t>
      </w:r>
      <w:r w:rsidR="0098684B">
        <w:t xml:space="preserve">a representación </w:t>
      </w:r>
      <w:r>
        <w:t>fij</w:t>
      </w:r>
      <w:r w:rsidR="0098684B">
        <w:t>a</w:t>
      </w:r>
      <w:r>
        <w:t xml:space="preserve"> del ciclo anual de la vegetación. Desde el punto de vista estrictamente teórico, es una aproximación muy simplista, puesto que la vegetación no responde al clima de cada año, sino que la fenología es estática. Más allá de ser una simplificación, la dificultad de definir a priori las curvas de factor de cultivo exigiría que dichas curvas fueran modulables durante la calibración, de manera que al menos se pueda ajustar dicha imagen fija en el año para que la simulación reproduzca la observación.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3"/>
      </w:tblGrid>
      <w:tr w:rsidR="003232CD" w14:paraId="0EBB353B" w14:textId="77777777" w:rsidTr="003232CD">
        <w:tc>
          <w:tcPr>
            <w:tcW w:w="9203" w:type="dxa"/>
          </w:tcPr>
          <w:p w14:paraId="2708914E" w14:textId="1BCB6438" w:rsidR="003232CD" w:rsidRDefault="003232CD" w:rsidP="003232CD">
            <w:pPr>
              <w:ind w:left="-116"/>
            </w:pPr>
            <w:r>
              <w:rPr>
                <w:noProof/>
              </w:rPr>
              <w:drawing>
                <wp:inline distT="0" distB="0" distL="0" distR="0" wp14:anchorId="64D074F5" wp14:editId="2C23D92F">
                  <wp:extent cx="5850255" cy="27854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512"/>
                          <a:stretch/>
                        </pic:blipFill>
                        <pic:spPr bwMode="auto">
                          <a:xfrm>
                            <a:off x="0" y="0"/>
                            <a:ext cx="5850255" cy="2785484"/>
                          </a:xfrm>
                          <a:prstGeom prst="rect">
                            <a:avLst/>
                          </a:prstGeom>
                          <a:ln>
                            <a:noFill/>
                          </a:ln>
                          <a:extLst>
                            <a:ext uri="{53640926-AAD7-44D8-BBD7-CCE9431645EC}">
                              <a14:shadowObscured xmlns:a14="http://schemas.microsoft.com/office/drawing/2010/main"/>
                            </a:ext>
                          </a:extLst>
                        </pic:spPr>
                      </pic:pic>
                    </a:graphicData>
                  </a:graphic>
                </wp:inline>
              </w:drawing>
            </w:r>
          </w:p>
        </w:tc>
      </w:tr>
      <w:tr w:rsidR="003232CD" w14:paraId="78B49332" w14:textId="77777777" w:rsidTr="003232CD">
        <w:tc>
          <w:tcPr>
            <w:tcW w:w="9203" w:type="dxa"/>
          </w:tcPr>
          <w:p w14:paraId="3EF5D9E2" w14:textId="46ED45C5" w:rsidR="003232CD" w:rsidRDefault="003232CD" w:rsidP="003232CD">
            <w:pPr>
              <w:ind w:left="-116"/>
            </w:pPr>
            <w:r>
              <w:rPr>
                <w:noProof/>
              </w:rPr>
              <w:drawing>
                <wp:inline distT="0" distB="0" distL="0" distR="0" wp14:anchorId="179A7966" wp14:editId="1C3007F0">
                  <wp:extent cx="5850255" cy="161231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6146"/>
                          <a:stretch/>
                        </pic:blipFill>
                        <pic:spPr bwMode="auto">
                          <a:xfrm>
                            <a:off x="0" y="0"/>
                            <a:ext cx="5850255" cy="16123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ED31A49" w14:textId="5B362D73" w:rsidR="006277DB" w:rsidRDefault="006277DB" w:rsidP="006277DB">
      <w:pPr>
        <w:pStyle w:val="Descripcin"/>
      </w:pPr>
      <w:bookmarkStart w:id="14" w:name="_Ref62461515"/>
      <w:r>
        <w:t xml:space="preserve">Figura </w:t>
      </w:r>
      <w:r w:rsidR="0082690A">
        <w:fldChar w:fldCharType="begin"/>
      </w:r>
      <w:r w:rsidR="0082690A">
        <w:instrText xml:space="preserve"> SEQ Figura \* ARABIC </w:instrText>
      </w:r>
      <w:r w:rsidR="0082690A">
        <w:fldChar w:fldCharType="separate"/>
      </w:r>
      <w:r w:rsidR="003A0D12">
        <w:rPr>
          <w:noProof/>
        </w:rPr>
        <w:t>1</w:t>
      </w:r>
      <w:r w:rsidR="0082690A">
        <w:rPr>
          <w:noProof/>
        </w:rPr>
        <w:fldChar w:fldCharType="end"/>
      </w:r>
      <w:bookmarkEnd w:id="14"/>
      <w:r>
        <w:t>. Comparativa de la ET observa</w:t>
      </w:r>
      <w:r w:rsidR="003232CD">
        <w:t xml:space="preserve">da por </w:t>
      </w:r>
      <w:r>
        <w:t>el satélite Terra y la simula</w:t>
      </w:r>
      <w:r w:rsidR="003232CD">
        <w:t xml:space="preserve">da </w:t>
      </w:r>
      <w:r>
        <w:t>en TETIS</w:t>
      </w:r>
      <w:r w:rsidR="003232CD">
        <w:t xml:space="preserve"> antes del ajuste de este estudio</w:t>
      </w:r>
      <w:r>
        <w:t>.</w:t>
      </w:r>
      <w:r w:rsidR="003232CD">
        <w:t xml:space="preserve"> Arriba se comparan las series 8 diarias y abajo las medias mensuales</w:t>
      </w:r>
    </w:p>
    <w:p w14:paraId="4BECE4D3" w14:textId="2F3CA889" w:rsidR="003232CD" w:rsidRDefault="003232CD" w:rsidP="00114F24">
      <w:r>
        <w:t xml:space="preserve">En la </w:t>
      </w:r>
      <w:r>
        <w:fldChar w:fldCharType="begin"/>
      </w:r>
      <w:r>
        <w:instrText xml:space="preserve"> REF _Ref62461515 \h </w:instrText>
      </w:r>
      <w:r>
        <w:fldChar w:fldCharType="separate"/>
      </w:r>
      <w:r>
        <w:t xml:space="preserve">Figura </w:t>
      </w:r>
      <w:r>
        <w:rPr>
          <w:noProof/>
        </w:rPr>
        <w:t>1</w:t>
      </w:r>
      <w:r>
        <w:fldChar w:fldCharType="end"/>
      </w:r>
      <w:r>
        <w:t xml:space="preserve"> muestro la comparativa de la simulación en TETIS con la observación de MODIS para la cuenca del Deva, incluyo la comparación de las series 8 diarias y las medias mensuales. Se ve que, más allá de haber un sesgo positivo en la simulación de la ET, hay un desfase temporal del ciclo vegetativo; la fase anual de ET en la simulación ocurre con antelación de 1 a 2 meses con respecto a la observación.</w:t>
      </w:r>
    </w:p>
    <w:p w14:paraId="475A588E" w14:textId="64602ADC" w:rsidR="00114F24" w:rsidRDefault="003232CD" w:rsidP="003232CD">
      <w:r>
        <w:t xml:space="preserve">Para eliminar este desfase no basta con ajustar el parámetro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rPr>
          <w:rFonts w:eastAsiaTheme="minorEastAsia"/>
        </w:rPr>
        <w:t xml:space="preserve">, puesto que sólo es un factor multiplicativo de la ET simulada, sino que hay que modificar las curvas de cultivo.  </w:t>
      </w:r>
      <w:r>
        <w:t xml:space="preserve">La </w:t>
      </w:r>
      <w:r w:rsidR="00114F24">
        <w:t>idea sería ser capaces de modificar las curvas de cultivo estáticas para evitar el desfase entre simulación y observación anteriormente comentado. El objetivo de este</w:t>
      </w:r>
      <w:r w:rsidR="006277DB">
        <w:t xml:space="preserve"> estudio </w:t>
      </w:r>
      <w:r w:rsidR="00114F24">
        <w:t>es idear cómo modular dichas curvas.</w:t>
      </w:r>
    </w:p>
    <w:p w14:paraId="70041A79" w14:textId="5128B211" w:rsidR="00114F24" w:rsidRDefault="00114F24" w:rsidP="00114F24">
      <w:r>
        <w:lastRenderedPageBreak/>
        <w:t xml:space="preserve">Una forma de idear cómo han de ser las curvas del factor de cultivo es a partir de los productos de </w:t>
      </w:r>
      <w:r w:rsidR="003232CD">
        <w:t>ET</w:t>
      </w:r>
      <w:r>
        <w:t xml:space="preserve"> y cobertura del suelo de MODIS. Se puede extraer un proxy de la curva de cultivo para cada tipo de cobertura. La magnitud absoluta deja de ser importante, puesto que será lo que se calibre con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t>, siendo la clave el valor relativo entre tipos de cobertura.</w:t>
      </w:r>
    </w:p>
    <w:p w14:paraId="65CCDF99" w14:textId="0B1E3D66" w:rsidR="00114F24" w:rsidRDefault="003232CD" w:rsidP="00114F24">
      <w:r>
        <w:t xml:space="preserve">Además, con una metodología similar se puede calcular la interceptación máxima de cada tipo de cobertura del suelo. Para ello se </w:t>
      </w:r>
      <w:r w:rsidR="001C17FD">
        <w:t>utilizan los datos de LAI y cobertura del suelo de MODIS, junto con ecuaciones que relacionan el LAI con la interceptación máxima.</w:t>
      </w:r>
    </w:p>
    <w:p w14:paraId="2226295B" w14:textId="4E5D620A" w:rsidR="001C17FD" w:rsidRDefault="001C17FD" w:rsidP="00114F24">
      <w:r>
        <w:t xml:space="preserve">Por último, una vez ajustadas las curvas de los factores de cultivo y la interceptación máxima de cada cobertura de vegetación, se pueden calibrar los parámetros </w:t>
      </w:r>
      <m:oMath>
        <m:sSub>
          <m:sSubPr>
            <m:ctrlPr>
              <w:rPr>
                <w:rFonts w:ascii="Cambria Math" w:hAnsi="Cambria Math"/>
                <w:i/>
              </w:rPr>
            </m:ctrlPr>
          </m:sSubPr>
          <m:e>
            <m:r>
              <w:rPr>
                <w:rFonts w:ascii="Cambria Math" w:hAnsi="Cambria Math"/>
              </w:rPr>
              <m:t>FC</m:t>
            </m:r>
          </m:e>
          <m:sub>
            <m:r>
              <w:rPr>
                <w:rFonts w:ascii="Cambria Math"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FC</m:t>
            </m:r>
          </m:e>
          <m:sub>
            <m:r>
              <w:rPr>
                <w:rFonts w:ascii="Cambria Math" w:eastAsiaTheme="minorEastAsia" w:hAnsi="Cambria Math"/>
              </w:rPr>
              <m:t>2</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para que la serie de ET simulada en TETIS reproduzca fielmente la observada por MODIS.</w:t>
      </w:r>
    </w:p>
    <w:p w14:paraId="349DC15C" w14:textId="57489EA7" w:rsidR="00334892" w:rsidRDefault="00334892" w:rsidP="001C17FD">
      <w:pPr>
        <w:pStyle w:val="Ttulo3"/>
      </w:pPr>
      <w:r>
        <w:t>Factores de cultivo</w:t>
      </w:r>
    </w:p>
    <w:p w14:paraId="17FB4277" w14:textId="2D9C4EAC" w:rsidR="00891B18" w:rsidRPr="00891B18" w:rsidRDefault="00891B18" w:rsidP="00891B18">
      <w:r>
        <w:t xml:space="preserve">La </w:t>
      </w:r>
      <w:r>
        <w:fldChar w:fldCharType="begin"/>
      </w:r>
      <w:r>
        <w:instrText xml:space="preserve"> REF _Ref62464107 \h </w:instrText>
      </w:r>
      <w:r>
        <w:fldChar w:fldCharType="separate"/>
      </w:r>
      <w:r w:rsidR="00EA7F5C">
        <w:t xml:space="preserve">Figura </w:t>
      </w:r>
      <w:r w:rsidR="00EA7F5C">
        <w:rPr>
          <w:noProof/>
        </w:rPr>
        <w:t>2</w:t>
      </w:r>
      <w:r>
        <w:fldChar w:fldCharType="end"/>
      </w:r>
      <w:r>
        <w:t xml:space="preserve"> compara las medias mensuales de evapotranspiración entre los datos de entrada del modelo TETIS (evapotranspiración potencial), la observación de MODIS y la simulación con TETIS con la parametrización antigua.</w:t>
      </w:r>
    </w:p>
    <w:p w14:paraId="0BA12B6B" w14:textId="77777777" w:rsidR="00891B18" w:rsidRDefault="00891B18" w:rsidP="00891B18">
      <w:pPr>
        <w:pStyle w:val="Tablas"/>
        <w:jc w:val="center"/>
      </w:pPr>
      <w:r>
        <w:rPr>
          <w:noProof/>
        </w:rPr>
        <w:drawing>
          <wp:inline distT="0" distB="0" distL="0" distR="0" wp14:anchorId="3BADDAFA" wp14:editId="17B67BEB">
            <wp:extent cx="5760000" cy="143857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318" r="9132"/>
                    <a:stretch/>
                  </pic:blipFill>
                  <pic:spPr bwMode="auto">
                    <a:xfrm>
                      <a:off x="0" y="0"/>
                      <a:ext cx="5760000" cy="1438577"/>
                    </a:xfrm>
                    <a:prstGeom prst="rect">
                      <a:avLst/>
                    </a:prstGeom>
                    <a:noFill/>
                    <a:ln>
                      <a:noFill/>
                    </a:ln>
                    <a:extLst>
                      <a:ext uri="{53640926-AAD7-44D8-BBD7-CCE9431645EC}">
                        <a14:shadowObscured xmlns:a14="http://schemas.microsoft.com/office/drawing/2010/main"/>
                      </a:ext>
                    </a:extLst>
                  </pic:spPr>
                </pic:pic>
              </a:graphicData>
            </a:graphic>
          </wp:inline>
        </w:drawing>
      </w:r>
    </w:p>
    <w:p w14:paraId="410B6E27" w14:textId="6FE63B99" w:rsidR="00891B18" w:rsidRDefault="00891B18" w:rsidP="00891B18">
      <w:pPr>
        <w:pStyle w:val="Descripcin"/>
      </w:pPr>
      <w:bookmarkStart w:id="15" w:name="_Ref62464107"/>
      <w:r>
        <w:t xml:space="preserve">Figura </w:t>
      </w:r>
      <w:r w:rsidR="0082690A">
        <w:fldChar w:fldCharType="begin"/>
      </w:r>
      <w:r w:rsidR="0082690A">
        <w:instrText xml:space="preserve"> SEQ Figura \* ARABIC </w:instrText>
      </w:r>
      <w:r w:rsidR="0082690A">
        <w:fldChar w:fldCharType="separate"/>
      </w:r>
      <w:r w:rsidR="003A0D12">
        <w:rPr>
          <w:noProof/>
        </w:rPr>
        <w:t>2</w:t>
      </w:r>
      <w:r w:rsidR="0082690A">
        <w:rPr>
          <w:noProof/>
        </w:rPr>
        <w:fldChar w:fldCharType="end"/>
      </w:r>
      <w:bookmarkEnd w:id="15"/>
      <w:r>
        <w:t>. Medias mensuales de la evapotranspiración potencial utilizado como valor de entrada en TETIS (izquierda), de la evapotranspiración real observada por MODIS (centro), y la evapotranspiración real simulada en TETIS antes del ajuste de los factores de cultivo (izquierda).</w:t>
      </w:r>
    </w:p>
    <w:p w14:paraId="0993DE07" w14:textId="77777777" w:rsidR="0033050F" w:rsidRDefault="00891B18" w:rsidP="00891B18">
      <w:r>
        <w:t>Esta figura muestra la concordancia entre la curva de evapotranspiración potencial (el dato de entrada del modelo) y la evapotranspiración real observada. El grado de acuerdo entre dato de entrada y serie observada es mayor incluso que entre esta última y la serie simulada. Esto implica que hay un problema con los factores de cul</w:t>
      </w:r>
      <w:r w:rsidR="0033050F">
        <w:t>tivo, porque “estropean” las series de entrada. Identifico dos problemas en la ET simulada:</w:t>
      </w:r>
    </w:p>
    <w:p w14:paraId="6E8DB68A" w14:textId="2A6C4A45" w:rsidR="00891B18" w:rsidRDefault="0033050F" w:rsidP="0033050F">
      <w:pPr>
        <w:pStyle w:val="Prrafodelista"/>
        <w:numPr>
          <w:ilvl w:val="0"/>
          <w:numId w:val="37"/>
        </w:numPr>
      </w:pPr>
      <w:r>
        <w:t xml:space="preserve">Un claro sesgo positivo. Este problema se puede corregir con el factor multiplicador </w:t>
      </w:r>
      <m:oMath>
        <m:sSub>
          <m:sSubPr>
            <m:ctrlPr>
              <w:rPr>
                <w:rFonts w:ascii="Cambria Math" w:hAnsi="Cambria Math"/>
                <w:i/>
              </w:rPr>
            </m:ctrlPr>
          </m:sSubPr>
          <m:e>
            <m:r>
              <w:rPr>
                <w:rFonts w:ascii="Cambria Math" w:hAnsi="Cambria Math"/>
              </w:rPr>
              <m:t>FC</m:t>
            </m:r>
          </m:e>
          <m:sub>
            <m:r>
              <w:rPr>
                <w:rFonts w:ascii="Cambria Math" w:hAnsi="Cambria Math"/>
              </w:rPr>
              <m:t>2</m:t>
            </m:r>
          </m:sub>
        </m:sSub>
      </m:oMath>
      <w:r>
        <w:rPr>
          <w:rFonts w:eastAsiaTheme="minorEastAsia"/>
        </w:rPr>
        <w:t>.</w:t>
      </w:r>
    </w:p>
    <w:p w14:paraId="27250454" w14:textId="35DF0BAC" w:rsidR="0033050F" w:rsidRDefault="0033050F" w:rsidP="0033050F">
      <w:pPr>
        <w:pStyle w:val="Prrafodelista"/>
        <w:numPr>
          <w:ilvl w:val="0"/>
          <w:numId w:val="37"/>
        </w:numPr>
      </w:pPr>
      <w:r>
        <w:t xml:space="preserve">La curva es excesivamente apuntada. En invierno la ET simulada es prácticamente nula, lo cual es erróneo, mientras que en verano es excesivamente alta. </w:t>
      </w:r>
      <w:r w:rsidR="007F388F">
        <w:t>Puesto que la ET simulada es el producto de la serie de ETP y las curvas de cultivo, e</w:t>
      </w:r>
      <w:r>
        <w:t>ste exceso de variabilidad estacional está causado por unas curvas de factores de cultivo erróneas</w:t>
      </w:r>
      <w:r w:rsidR="007F388F">
        <w:t>, que son excesivamente bajas</w:t>
      </w:r>
      <w:r w:rsidR="001D7ABA">
        <w:t xml:space="preserve"> (incluso cero)</w:t>
      </w:r>
      <w:r w:rsidR="007F388F">
        <w:t xml:space="preserve"> en </w:t>
      </w:r>
      <w:r w:rsidR="001D7ABA">
        <w:t>invierno y excesivamente altas (aunque nunca más de 1) en verano.</w:t>
      </w:r>
    </w:p>
    <w:p w14:paraId="2A15A8D2" w14:textId="316CE828" w:rsidR="001C17FD" w:rsidRDefault="001C17FD" w:rsidP="001C17FD">
      <w:r>
        <w:t>El primer paso de la metodología es crear las curvas de factor de cultivo para cada tipo de cobertura del suelo. Para ello, a partir de los datos de MODIS hago los siguientes pasos:</w:t>
      </w:r>
    </w:p>
    <w:p w14:paraId="3A130D90" w14:textId="5DB320C2" w:rsidR="001C17FD" w:rsidRDefault="001C17FD" w:rsidP="001C17FD">
      <w:pPr>
        <w:pStyle w:val="Prrafodelista"/>
        <w:numPr>
          <w:ilvl w:val="0"/>
          <w:numId w:val="35"/>
        </w:numPr>
      </w:pPr>
      <w:r>
        <w:lastRenderedPageBreak/>
        <w:t xml:space="preserve">Analizo los 19 mapas anuales de cobertura del suelo de MODIS y selecciono para cada clase de cobertura </w:t>
      </w:r>
      <w:r w:rsidR="001D7ABA">
        <w:t>aquellas</w:t>
      </w:r>
      <w:r>
        <w:t xml:space="preserve"> celdas cuya clasificación no ha cambiado durante el periodo de observación.</w:t>
      </w:r>
    </w:p>
    <w:p w14:paraId="77294557" w14:textId="703D1252" w:rsidR="001C17FD" w:rsidRDefault="001C17FD" w:rsidP="001C17FD">
      <w:pPr>
        <w:pStyle w:val="Prrafodelista"/>
        <w:numPr>
          <w:ilvl w:val="0"/>
          <w:numId w:val="35"/>
        </w:numPr>
      </w:pPr>
      <w:r>
        <w:t xml:space="preserve">Calculo la media mensual de ET para </w:t>
      </w:r>
      <w:r w:rsidR="007F388F">
        <w:t>las</w:t>
      </w:r>
      <w:r>
        <w:t xml:space="preserve"> celda</w:t>
      </w:r>
      <w:r w:rsidR="007F388F">
        <w:t>s</w:t>
      </w:r>
      <w:r>
        <w:t xml:space="preserve"> de la cuenca</w:t>
      </w:r>
      <w:r w:rsidR="007F388F">
        <w:t xml:space="preserve"> cuya clase de suelo no ha cambiado</w:t>
      </w:r>
      <w:r>
        <w:t>.</w:t>
      </w:r>
    </w:p>
    <w:p w14:paraId="0301926A" w14:textId="196ABE69" w:rsidR="001C17FD" w:rsidRDefault="001C17FD" w:rsidP="001C17FD">
      <w:pPr>
        <w:pStyle w:val="Prrafodelista"/>
        <w:numPr>
          <w:ilvl w:val="0"/>
          <w:numId w:val="35"/>
        </w:numPr>
      </w:pPr>
      <w:r>
        <w:t>Creo, para cada clase de cobertura del suelo, un gráfico en el que se muestra la media mensual de ET de cada celda con dicha cobertura frente a la media de las celdas con esa cobertura y frente a la media de toda la cuenca</w:t>
      </w:r>
      <w:r w:rsidR="001D7ABA">
        <w:t xml:space="preserve"> (</w:t>
      </w:r>
      <w:r w:rsidR="001D7ABA">
        <w:fldChar w:fldCharType="begin"/>
      </w:r>
      <w:r w:rsidR="001D7ABA">
        <w:instrText xml:space="preserve"> REF _Ref62466500 \h </w:instrText>
      </w:r>
      <w:r w:rsidR="001D7ABA">
        <w:fldChar w:fldCharType="separate"/>
      </w:r>
      <w:r w:rsidR="00A16A6C">
        <w:t xml:space="preserve">Figura </w:t>
      </w:r>
      <w:r w:rsidR="00A16A6C">
        <w:rPr>
          <w:noProof/>
        </w:rPr>
        <w:t>4</w:t>
      </w:r>
      <w:r w:rsidR="001D7ABA">
        <w:fldChar w:fldCharType="end"/>
      </w:r>
      <w:r w:rsidR="001D7ABA">
        <w:t>)</w:t>
      </w:r>
      <w:r>
        <w:t>.</w:t>
      </w:r>
    </w:p>
    <w:p w14:paraId="1255EEB9" w14:textId="37B4ACF2" w:rsidR="00334892" w:rsidRDefault="001C17FD" w:rsidP="001D7ABA">
      <w:pPr>
        <w:pStyle w:val="Prrafodelista"/>
        <w:numPr>
          <w:ilvl w:val="0"/>
          <w:numId w:val="35"/>
        </w:numPr>
        <w:spacing w:before="100" w:beforeAutospacing="1" w:after="100" w:afterAutospacing="1" w:line="240" w:lineRule="auto"/>
      </w:pPr>
      <w:r>
        <w:t>Calculo las curvas de</w:t>
      </w:r>
      <w:r w:rsidR="00334892" w:rsidRPr="00334892">
        <w:t xml:space="preserve"> factor de cultivo</w:t>
      </w:r>
      <w:r>
        <w:t xml:space="preserve"> de </w:t>
      </w:r>
      <w:r w:rsidR="001D7ABA">
        <w:t>cada</w:t>
      </w:r>
      <w:r>
        <w:t xml:space="preserve"> cobertura del suelo </w:t>
      </w:r>
      <w:r w:rsidR="001D7ABA">
        <w:t xml:space="preserve">como </w:t>
      </w:r>
      <w:r>
        <w:t>el cociente entre curva de ET media para esa clase de cobertura y la curva de ET media de toda la cuenca.</w:t>
      </w:r>
    </w:p>
    <w:p w14:paraId="6AE961F4" w14:textId="2F8FD128" w:rsidR="00053D92" w:rsidRDefault="00053D92" w:rsidP="007F388F">
      <w:pPr>
        <w:pStyle w:val="Ttulo3"/>
      </w:pPr>
      <w:r>
        <w:t>Interceptación máxima</w:t>
      </w:r>
    </w:p>
    <w:p w14:paraId="3B57ACCB" w14:textId="7FEE08DB" w:rsidR="007F388F" w:rsidRDefault="007F388F" w:rsidP="007F388F">
      <w:r>
        <w:t>El segundo paso para el ajuste de la ET es calcular la interceptación máxima de cada cobertura de vegetación. Los pasos son, en parte, similares a los del apartado anterior, pero a partir de los datos de LAI de MODIS, en vez de los datos de ET.</w:t>
      </w:r>
    </w:p>
    <w:p w14:paraId="0F12E0BC" w14:textId="104AEF93" w:rsidR="007F388F" w:rsidRDefault="007F388F" w:rsidP="007F388F">
      <w:pPr>
        <w:pStyle w:val="Prrafodelista"/>
        <w:numPr>
          <w:ilvl w:val="0"/>
          <w:numId w:val="38"/>
        </w:numPr>
      </w:pPr>
      <w:r>
        <w:t>Calculo la media mensual de LAI para las celdas de la cuenca cuya clase de suelo no ha cambiado en los 19 años con datos de MODIS.</w:t>
      </w:r>
    </w:p>
    <w:p w14:paraId="624436C8" w14:textId="4F67B7CF" w:rsidR="007F388F" w:rsidRDefault="007F388F" w:rsidP="007F388F">
      <w:pPr>
        <w:pStyle w:val="Prrafodelista"/>
        <w:numPr>
          <w:ilvl w:val="0"/>
          <w:numId w:val="38"/>
        </w:numPr>
      </w:pPr>
      <w:r>
        <w:t>Creo, para cada clase de cobertura del suelo, un gráfico en el que se muestra la media mensual de LAI de cada celda con dicha cobertura frente a la media de las celdas con esa cobertura</w:t>
      </w:r>
      <w:r w:rsidR="001D7ABA">
        <w:t xml:space="preserve"> (</w:t>
      </w:r>
      <w:r w:rsidR="001D7ABA">
        <w:fldChar w:fldCharType="begin"/>
      </w:r>
      <w:r w:rsidR="001D7ABA">
        <w:instrText xml:space="preserve"> REF _Ref62467484 \h </w:instrText>
      </w:r>
      <w:r w:rsidR="001D7ABA">
        <w:fldChar w:fldCharType="separate"/>
      </w:r>
      <w:r w:rsidR="001D7ABA">
        <w:t xml:space="preserve">Figura </w:t>
      </w:r>
      <w:r w:rsidR="001D7ABA">
        <w:rPr>
          <w:noProof/>
        </w:rPr>
        <w:t>6</w:t>
      </w:r>
      <w:r w:rsidR="001D7ABA">
        <w:fldChar w:fldCharType="end"/>
      </w:r>
      <w:r w:rsidR="001D7ABA">
        <w:t>)</w:t>
      </w:r>
      <w:r>
        <w:t>.</w:t>
      </w:r>
    </w:p>
    <w:p w14:paraId="2CE79CCB" w14:textId="77777777" w:rsidR="007F388F" w:rsidRDefault="007F388F" w:rsidP="007F388F">
      <w:pPr>
        <w:pStyle w:val="Prrafodelista"/>
        <w:numPr>
          <w:ilvl w:val="0"/>
          <w:numId w:val="38"/>
        </w:numPr>
        <w:spacing w:before="100" w:beforeAutospacing="1" w:after="100" w:afterAutospacing="1" w:line="240" w:lineRule="auto"/>
      </w:pPr>
      <w:r>
        <w:t xml:space="preserve">Extraigo el máximo de LAI de la serie mensual media de cada clase de cobertura. </w:t>
      </w:r>
    </w:p>
    <w:p w14:paraId="1B23C967" w14:textId="24D82DE5" w:rsidR="007F388F" w:rsidRDefault="007F388F" w:rsidP="007F388F">
      <w:pPr>
        <w:pStyle w:val="Prrafodelista"/>
        <w:numPr>
          <w:ilvl w:val="0"/>
          <w:numId w:val="38"/>
        </w:numPr>
        <w:spacing w:before="100" w:beforeAutospacing="1" w:after="100" w:afterAutospacing="1" w:line="240" w:lineRule="auto"/>
      </w:pPr>
      <w:r>
        <w:t xml:space="preserve">Calculo la interceptación máxima de cada cobertura a partir de su LAI máximo. La </w:t>
      </w:r>
      <w:r>
        <w:fldChar w:fldCharType="begin"/>
      </w:r>
      <w:r>
        <w:instrText xml:space="preserve"> REF _Ref62465666 \h </w:instrText>
      </w:r>
      <w:r>
        <w:fldChar w:fldCharType="separate"/>
      </w:r>
      <w:r>
        <w:t xml:space="preserve">Tabla </w:t>
      </w:r>
      <w:r>
        <w:rPr>
          <w:noProof/>
        </w:rPr>
        <w:t>2</w:t>
      </w:r>
      <w:r>
        <w:fldChar w:fldCharType="end"/>
      </w:r>
      <w:r>
        <w:t xml:space="preserve"> recopila una serie de ecuaciones que relacionan el LAI con el máximo almacenamiento del follaje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tomadas de De Jong y Jette (2007). </w:t>
      </w:r>
    </w:p>
    <w:p w14:paraId="027FE9D3" w14:textId="3216D94B" w:rsidR="007F388F" w:rsidRDefault="007F388F" w:rsidP="007F388F">
      <w:pPr>
        <w:pStyle w:val="Descripcin"/>
      </w:pPr>
      <w:bookmarkStart w:id="16" w:name="_Ref62465666"/>
      <w:r>
        <w:t xml:space="preserve">Tabla </w:t>
      </w:r>
      <w:r w:rsidR="0082690A">
        <w:fldChar w:fldCharType="begin"/>
      </w:r>
      <w:r w:rsidR="0082690A">
        <w:instrText xml:space="preserve"> SEQ Tabla \* ARABIC </w:instrText>
      </w:r>
      <w:r w:rsidR="0082690A">
        <w:fldChar w:fldCharType="separate"/>
      </w:r>
      <w:r w:rsidR="00F623B8">
        <w:rPr>
          <w:noProof/>
        </w:rPr>
        <w:t>2</w:t>
      </w:r>
      <w:r w:rsidR="0082690A">
        <w:rPr>
          <w:noProof/>
        </w:rPr>
        <w:fldChar w:fldCharType="end"/>
      </w:r>
      <w:bookmarkEnd w:id="16"/>
      <w:r>
        <w:t>. Relación entre el LAI y la interceptación máxima (De Jong y Jette, 2007).</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9"/>
        <w:gridCol w:w="4602"/>
      </w:tblGrid>
      <w:tr w:rsidR="007F388F" w14:paraId="6F5603D2" w14:textId="77777777" w:rsidTr="00F623B8">
        <w:trPr>
          <w:jc w:val="center"/>
        </w:trPr>
        <w:tc>
          <w:tcPr>
            <w:tcW w:w="2299" w:type="dxa"/>
          </w:tcPr>
          <w:p w14:paraId="31155755" w14:textId="77777777" w:rsidR="007F388F" w:rsidRPr="007F388F" w:rsidRDefault="007F388F" w:rsidP="00F623B8">
            <w:pPr>
              <w:pStyle w:val="Tablas"/>
              <w:rPr>
                <w:b/>
                <w:bCs/>
              </w:rPr>
            </w:pPr>
            <w:r w:rsidRPr="007F388F">
              <w:rPr>
                <w:b/>
                <w:bCs/>
              </w:rPr>
              <w:t>Vegetación</w:t>
            </w:r>
          </w:p>
        </w:tc>
        <w:tc>
          <w:tcPr>
            <w:tcW w:w="4602" w:type="dxa"/>
          </w:tcPr>
          <w:p w14:paraId="1AC41493" w14:textId="77777777" w:rsidR="007F388F" w:rsidRPr="007F388F" w:rsidRDefault="007F388F" w:rsidP="007F388F">
            <w:pPr>
              <w:pStyle w:val="Tablas"/>
              <w:jc w:val="center"/>
              <w:rPr>
                <w:b/>
                <w:bCs/>
              </w:rPr>
            </w:pPr>
            <w:r w:rsidRPr="007F388F">
              <w:rPr>
                <w:b/>
                <w:bCs/>
              </w:rPr>
              <w:t>Relación interceptación máxima – LAI</w:t>
            </w:r>
          </w:p>
        </w:tc>
      </w:tr>
      <w:tr w:rsidR="007F388F" w14:paraId="2B1AAB61" w14:textId="77777777" w:rsidTr="00F623B8">
        <w:trPr>
          <w:jc w:val="center"/>
        </w:trPr>
        <w:tc>
          <w:tcPr>
            <w:tcW w:w="2299" w:type="dxa"/>
          </w:tcPr>
          <w:p w14:paraId="51DD86E0" w14:textId="77777777" w:rsidR="007F388F" w:rsidRDefault="007F388F" w:rsidP="00F623B8">
            <w:pPr>
              <w:pStyle w:val="Tablas"/>
            </w:pPr>
            <w:r>
              <w:t>Cultivos</w:t>
            </w:r>
          </w:p>
        </w:tc>
        <w:tc>
          <w:tcPr>
            <w:tcW w:w="4602" w:type="dxa"/>
          </w:tcPr>
          <w:p w14:paraId="3A8C1552" w14:textId="77777777" w:rsidR="007F388F" w:rsidRDefault="0082690A" w:rsidP="007F388F">
            <w:pPr>
              <w:pStyle w:val="Tablas"/>
              <w:jc w:val="cente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=0.935+0.498∙LAI-0.00575∙</m:t>
                </m:r>
                <m:sSup>
                  <m:sSupPr>
                    <m:ctrlPr>
                      <w:rPr>
                        <w:rFonts w:ascii="Cambria Math" w:hAnsi="Cambria Math"/>
                        <w:i/>
                      </w:rPr>
                    </m:ctrlPr>
                  </m:sSupPr>
                  <m:e>
                    <m:r>
                      <w:rPr>
                        <w:rFonts w:ascii="Cambria Math" w:hAnsi="Cambria Math"/>
                      </w:rPr>
                      <m:t>LAI</m:t>
                    </m:r>
                  </m:e>
                  <m:sup>
                    <m:r>
                      <w:rPr>
                        <w:rFonts w:ascii="Cambria Math" w:hAnsi="Cambria Math"/>
                      </w:rPr>
                      <m:t>2</m:t>
                    </m:r>
                  </m:sup>
                </m:sSup>
              </m:oMath>
            </m:oMathPara>
          </w:p>
        </w:tc>
      </w:tr>
      <w:tr w:rsidR="007F388F" w14:paraId="5C8E4669" w14:textId="77777777" w:rsidTr="00F623B8">
        <w:trPr>
          <w:jc w:val="center"/>
        </w:trPr>
        <w:tc>
          <w:tcPr>
            <w:tcW w:w="2299" w:type="dxa"/>
          </w:tcPr>
          <w:p w14:paraId="392D71BE" w14:textId="77777777" w:rsidR="007F388F" w:rsidRDefault="007F388F" w:rsidP="00F623B8">
            <w:pPr>
              <w:pStyle w:val="Tablas"/>
            </w:pPr>
            <w:r>
              <w:t>Olivos</w:t>
            </w:r>
          </w:p>
        </w:tc>
        <w:tc>
          <w:tcPr>
            <w:tcW w:w="4602" w:type="dxa"/>
          </w:tcPr>
          <w:p w14:paraId="1F716722" w14:textId="77777777" w:rsidR="007F388F" w:rsidRDefault="0082690A" w:rsidP="007F388F">
            <w:pPr>
              <w:pStyle w:val="Tablas"/>
              <w:jc w:val="cente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=1.184+0.49∙LAI</m:t>
                </m:r>
              </m:oMath>
            </m:oMathPara>
          </w:p>
        </w:tc>
      </w:tr>
      <w:tr w:rsidR="007F388F" w14:paraId="0E8717EB" w14:textId="77777777" w:rsidTr="00F623B8">
        <w:trPr>
          <w:jc w:val="center"/>
        </w:trPr>
        <w:tc>
          <w:tcPr>
            <w:tcW w:w="2299" w:type="dxa"/>
          </w:tcPr>
          <w:p w14:paraId="593019C9" w14:textId="77777777" w:rsidR="007F388F" w:rsidRDefault="007F388F" w:rsidP="00F623B8">
            <w:pPr>
              <w:pStyle w:val="Tablas"/>
            </w:pPr>
            <w:r>
              <w:t>Coníferas</w:t>
            </w:r>
          </w:p>
        </w:tc>
        <w:tc>
          <w:tcPr>
            <w:tcW w:w="4602" w:type="dxa"/>
          </w:tcPr>
          <w:p w14:paraId="255A2696" w14:textId="77777777" w:rsidR="007F388F" w:rsidRDefault="0082690A" w:rsidP="007F388F">
            <w:pPr>
              <w:pStyle w:val="Tablas"/>
              <w:jc w:val="cente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=0.282∙LAI</m:t>
                </m:r>
              </m:oMath>
            </m:oMathPara>
          </w:p>
        </w:tc>
      </w:tr>
      <w:tr w:rsidR="007F388F" w14:paraId="2F42C33A" w14:textId="77777777" w:rsidTr="00F623B8">
        <w:trPr>
          <w:jc w:val="center"/>
        </w:trPr>
        <w:tc>
          <w:tcPr>
            <w:tcW w:w="2299" w:type="dxa"/>
          </w:tcPr>
          <w:p w14:paraId="6FAD5A86" w14:textId="77777777" w:rsidR="007F388F" w:rsidRDefault="007F388F" w:rsidP="00F623B8">
            <w:pPr>
              <w:pStyle w:val="Tablas"/>
            </w:pPr>
            <w:r>
              <w:t>Helechos</w:t>
            </w:r>
          </w:p>
        </w:tc>
        <w:tc>
          <w:tcPr>
            <w:tcW w:w="4602" w:type="dxa"/>
          </w:tcPr>
          <w:p w14:paraId="6876C3CF" w14:textId="77777777" w:rsidR="007F388F" w:rsidRDefault="0082690A" w:rsidP="007F388F">
            <w:pPr>
              <w:pStyle w:val="Tablas"/>
              <w:jc w:val="cente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=0.171∙LAI</m:t>
                </m:r>
              </m:oMath>
            </m:oMathPara>
          </w:p>
        </w:tc>
      </w:tr>
      <w:tr w:rsidR="007F388F" w14:paraId="2767BD7C" w14:textId="77777777" w:rsidTr="00F623B8">
        <w:trPr>
          <w:jc w:val="center"/>
        </w:trPr>
        <w:tc>
          <w:tcPr>
            <w:tcW w:w="2299" w:type="dxa"/>
          </w:tcPr>
          <w:p w14:paraId="2F48588B" w14:textId="77777777" w:rsidR="007F388F" w:rsidRDefault="007F388F" w:rsidP="00F623B8">
            <w:pPr>
              <w:pStyle w:val="Tablas"/>
            </w:pPr>
            <w:r>
              <w:t>Pasto y matorral bajo</w:t>
            </w:r>
          </w:p>
        </w:tc>
        <w:tc>
          <w:tcPr>
            <w:tcW w:w="4602" w:type="dxa"/>
          </w:tcPr>
          <w:p w14:paraId="0579A97C" w14:textId="77777777" w:rsidR="007F388F" w:rsidRDefault="0082690A" w:rsidP="007F388F">
            <w:pPr>
              <w:pStyle w:val="Tablas"/>
              <w:jc w:val="cente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=0.5753+0.3063∙LAI</m:t>
                </m:r>
              </m:oMath>
            </m:oMathPara>
          </w:p>
        </w:tc>
      </w:tr>
    </w:tbl>
    <w:p w14:paraId="73239866" w14:textId="51A97568" w:rsidR="007F388F" w:rsidRDefault="001D7ABA" w:rsidP="007F388F">
      <w:pPr>
        <w:ind w:left="708"/>
      </w:pPr>
      <w:r>
        <w:rPr>
          <w:rFonts w:eastAsiaTheme="minorEastAsia"/>
        </w:rPr>
        <w:t xml:space="preserve">Los valores de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Pr>
          <w:rFonts w:eastAsiaTheme="minorEastAsia"/>
        </w:rPr>
        <w:t xml:space="preserve"> obtenidos con estas ecuaciones </w:t>
      </w:r>
      <w:r w:rsidR="007F388F">
        <w:t xml:space="preserve">según tipos de vegetación no fueron coherentes, porque el pasto </w:t>
      </w:r>
      <w:r>
        <w:t>obtenía</w:t>
      </w:r>
      <w:r w:rsidR="007F388F">
        <w:t xml:space="preserve"> una intercepción mayor que el bosque de coníferas y el matorral. Siguiendo lo hecho por Wu et al (2019), utilizo la misma ecuación para todos los tipos de vegetación, la correspondiente a cultivos en la tabla anterior.</w:t>
      </w:r>
    </w:p>
    <w:p w14:paraId="3A84BB4B" w14:textId="06D0684C" w:rsidR="00053D92" w:rsidRDefault="001B5EAC" w:rsidP="001B5EAC">
      <w:pPr>
        <w:pStyle w:val="Ttulo2"/>
        <w:rPr>
          <w:b w:val="0"/>
          <w:bCs/>
        </w:rPr>
      </w:pPr>
      <w:bookmarkStart w:id="17" w:name="_Toc101721389"/>
      <w:r>
        <w:t xml:space="preserve">Calibrar los parámetros </w:t>
      </w:r>
      <m:oMath>
        <m:sSub>
          <m:sSubPr>
            <m:ctrlPr>
              <w:rPr>
                <w:rFonts w:ascii="Cambria Math" w:hAnsi="Cambria Math"/>
                <w:b w:val="0"/>
                <w:bCs/>
                <w:i/>
              </w:rPr>
            </m:ctrlPr>
          </m:sSubPr>
          <m:e>
            <m:r>
              <m:rPr>
                <m:sty m:val="bi"/>
              </m:rPr>
              <w:rPr>
                <w:rFonts w:ascii="Cambria Math" w:hAnsi="Cambria Math"/>
              </w:rPr>
              <m:t>FC</m:t>
            </m:r>
          </m:e>
          <m:sub>
            <m:r>
              <m:rPr>
                <m:sty m:val="bi"/>
              </m:rPr>
              <w:rPr>
                <w:rFonts w:ascii="Cambria Math" w:hAnsi="Cambria Math"/>
              </w:rPr>
              <m:t>1</m:t>
            </m:r>
          </m:sub>
        </m:sSub>
      </m:oMath>
      <w:r w:rsidRPr="007F388F">
        <w:rPr>
          <w:b w:val="0"/>
          <w:bCs/>
        </w:rPr>
        <w:t xml:space="preserve">, </w:t>
      </w:r>
      <m:oMath>
        <m:sSub>
          <m:sSubPr>
            <m:ctrlPr>
              <w:rPr>
                <w:rFonts w:ascii="Cambria Math" w:hAnsi="Cambria Math"/>
                <w:b w:val="0"/>
                <w:bCs/>
                <w:i/>
              </w:rPr>
            </m:ctrlPr>
          </m:sSubPr>
          <m:e>
            <m:r>
              <m:rPr>
                <m:sty m:val="bi"/>
              </m:rPr>
              <w:rPr>
                <w:rFonts w:ascii="Cambria Math" w:hAnsi="Cambria Math"/>
              </w:rPr>
              <m:t>FC</m:t>
            </m:r>
          </m:e>
          <m:sub>
            <m:r>
              <m:rPr>
                <m:sty m:val="bi"/>
              </m:rPr>
              <w:rPr>
                <w:rFonts w:ascii="Cambria Math" w:hAnsi="Cambria Math"/>
              </w:rPr>
              <m:t>2</m:t>
            </m:r>
          </m:sub>
        </m:sSub>
      </m:oMath>
      <w:r w:rsidRPr="007F388F">
        <w:rPr>
          <w:b w:val="0"/>
          <w:bCs/>
        </w:rPr>
        <w:t xml:space="preserve"> y </w:t>
      </w:r>
      <m:oMath>
        <m:sSub>
          <m:sSubPr>
            <m:ctrlPr>
              <w:rPr>
                <w:rFonts w:ascii="Cambria Math" w:hAnsi="Cambria Math"/>
                <w:b w:val="0"/>
                <w:bCs/>
                <w:i/>
              </w:rPr>
            </m:ctrlPr>
          </m:sSubPr>
          <m:e>
            <m:r>
              <m:rPr>
                <m:sty m:val="bi"/>
              </m:rPr>
              <w:rPr>
                <w:rFonts w:ascii="Cambria Math" w:hAnsi="Cambria Math"/>
              </w:rPr>
              <m:t>p</m:t>
            </m:r>
          </m:e>
          <m:sub>
            <m:r>
              <m:rPr>
                <m:sty m:val="bi"/>
              </m:rPr>
              <w:rPr>
                <w:rFonts w:ascii="Cambria Math" w:hAnsi="Cambria Math"/>
              </w:rPr>
              <m:t>1</m:t>
            </m:r>
          </m:sub>
        </m:sSub>
      </m:oMath>
      <w:bookmarkEnd w:id="17"/>
    </w:p>
    <w:p w14:paraId="043DD7AC" w14:textId="2097A375" w:rsidR="00F623B8" w:rsidRPr="00F623B8" w:rsidRDefault="00F623B8" w:rsidP="00F623B8">
      <w:r>
        <w:t>El último paso del proceso es calibrar los tres hiperparámetros del modelo TETIS que afectan a la evapotranspiración. Utilizo el algoritmo SCEUA para esta calibración, definiendo el rango de búsqueda y el valor inicial de los tres parámetros a calibrar (</w:t>
      </w:r>
      <w:r>
        <w:fldChar w:fldCharType="begin"/>
      </w:r>
      <w:r>
        <w:instrText xml:space="preserve"> REF _Ref62465967 \h </w:instrText>
      </w:r>
      <w:r>
        <w:fldChar w:fldCharType="separate"/>
      </w:r>
      <w:r>
        <w:t xml:space="preserve">Tabla </w:t>
      </w:r>
      <w:r>
        <w:rPr>
          <w:noProof/>
        </w:rPr>
        <w:t>3</w:t>
      </w:r>
      <w:r>
        <w:fldChar w:fldCharType="end"/>
      </w:r>
      <w:r>
        <w:t>).</w:t>
      </w:r>
    </w:p>
    <w:p w14:paraId="5DBB1C35" w14:textId="3CE0ED3F" w:rsidR="001B5EAC" w:rsidRDefault="001B5EAC" w:rsidP="001B5EAC">
      <w:pPr>
        <w:pStyle w:val="Descripcin"/>
        <w:rPr>
          <w:rStyle w:val="hgkelc"/>
          <w:rFonts w:eastAsiaTheme="minorEastAsia"/>
        </w:rPr>
      </w:pPr>
      <w:bookmarkStart w:id="18" w:name="_Ref62465967"/>
      <w:r>
        <w:t xml:space="preserve">Tabla </w:t>
      </w:r>
      <w:r w:rsidR="0082690A">
        <w:fldChar w:fldCharType="begin"/>
      </w:r>
      <w:r w:rsidR="0082690A">
        <w:instrText xml:space="preserve"> SEQ Tabla \* ARABIC </w:instrText>
      </w:r>
      <w:r w:rsidR="0082690A">
        <w:fldChar w:fldCharType="separate"/>
      </w:r>
      <w:r w:rsidR="00F623B8">
        <w:rPr>
          <w:noProof/>
        </w:rPr>
        <w:t>3</w:t>
      </w:r>
      <w:r w:rsidR="0082690A">
        <w:rPr>
          <w:noProof/>
        </w:rPr>
        <w:fldChar w:fldCharType="end"/>
      </w:r>
      <w:bookmarkEnd w:id="18"/>
      <w:r>
        <w:t>. Parámetros calibrados, su rango de búsqueda, valor inicial en la calibración y valor óptimo tras la calibración.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044"/>
        <w:gridCol w:w="1083"/>
        <w:gridCol w:w="1445"/>
        <w:gridCol w:w="1445"/>
      </w:tblGrid>
      <w:tr w:rsidR="001B5EAC" w14:paraId="013B24E7" w14:textId="77777777" w:rsidTr="00F623B8">
        <w:trPr>
          <w:jc w:val="center"/>
        </w:trPr>
        <w:tc>
          <w:tcPr>
            <w:tcW w:w="1298" w:type="dxa"/>
            <w:tcBorders>
              <w:bottom w:val="single" w:sz="4" w:space="0" w:color="auto"/>
            </w:tcBorders>
          </w:tcPr>
          <w:p w14:paraId="6E35FEE2" w14:textId="77777777" w:rsidR="001B5EAC" w:rsidRDefault="001B5EAC" w:rsidP="00F623B8">
            <w:pPr>
              <w:pStyle w:val="Tablas"/>
              <w:jc w:val="center"/>
              <w:rPr>
                <w:rStyle w:val="hgkelc"/>
                <w:rFonts w:eastAsiaTheme="minorEastAsia"/>
              </w:rPr>
            </w:pPr>
            <w:r>
              <w:rPr>
                <w:rStyle w:val="hgkelc"/>
                <w:rFonts w:eastAsiaTheme="minorEastAsia"/>
              </w:rPr>
              <w:lastRenderedPageBreak/>
              <w:t>Parámetro</w:t>
            </w:r>
          </w:p>
        </w:tc>
        <w:tc>
          <w:tcPr>
            <w:tcW w:w="1044" w:type="dxa"/>
            <w:tcBorders>
              <w:bottom w:val="single" w:sz="4" w:space="0" w:color="auto"/>
            </w:tcBorders>
          </w:tcPr>
          <w:p w14:paraId="288017F1" w14:textId="77777777" w:rsidR="001B5EAC" w:rsidRDefault="001B5EAC" w:rsidP="00F623B8">
            <w:pPr>
              <w:pStyle w:val="Tablas"/>
              <w:jc w:val="center"/>
              <w:rPr>
                <w:rStyle w:val="hgkelc"/>
                <w:rFonts w:eastAsiaTheme="minorEastAsia"/>
              </w:rPr>
            </w:pPr>
            <w:r>
              <w:rPr>
                <w:rStyle w:val="hgkelc"/>
                <w:rFonts w:eastAsiaTheme="minorEastAsia"/>
              </w:rPr>
              <w:t>Mínimo</w:t>
            </w:r>
          </w:p>
        </w:tc>
        <w:tc>
          <w:tcPr>
            <w:tcW w:w="1083" w:type="dxa"/>
            <w:tcBorders>
              <w:bottom w:val="single" w:sz="4" w:space="0" w:color="auto"/>
            </w:tcBorders>
          </w:tcPr>
          <w:p w14:paraId="55234B7F" w14:textId="77777777" w:rsidR="001B5EAC" w:rsidRDefault="001B5EAC" w:rsidP="00F623B8">
            <w:pPr>
              <w:pStyle w:val="Tablas"/>
              <w:jc w:val="center"/>
              <w:rPr>
                <w:rStyle w:val="hgkelc"/>
                <w:rFonts w:eastAsiaTheme="minorEastAsia"/>
              </w:rPr>
            </w:pPr>
            <w:r>
              <w:rPr>
                <w:rStyle w:val="hgkelc"/>
                <w:rFonts w:eastAsiaTheme="minorEastAsia"/>
              </w:rPr>
              <w:t>Máximo</w:t>
            </w:r>
          </w:p>
        </w:tc>
        <w:tc>
          <w:tcPr>
            <w:tcW w:w="1445" w:type="dxa"/>
            <w:tcBorders>
              <w:bottom w:val="single" w:sz="4" w:space="0" w:color="auto"/>
            </w:tcBorders>
          </w:tcPr>
          <w:p w14:paraId="461423E6" w14:textId="77777777" w:rsidR="001B5EAC" w:rsidRDefault="001B5EAC" w:rsidP="00F623B8">
            <w:pPr>
              <w:pStyle w:val="Tablas"/>
              <w:jc w:val="center"/>
              <w:rPr>
                <w:rStyle w:val="hgkelc"/>
                <w:rFonts w:eastAsiaTheme="minorEastAsia"/>
              </w:rPr>
            </w:pPr>
            <w:r>
              <w:rPr>
                <w:rStyle w:val="hgkelc"/>
                <w:rFonts w:eastAsiaTheme="minorEastAsia"/>
              </w:rPr>
              <w:t>Valor inicial</w:t>
            </w:r>
          </w:p>
        </w:tc>
        <w:tc>
          <w:tcPr>
            <w:tcW w:w="1445" w:type="dxa"/>
            <w:tcBorders>
              <w:bottom w:val="single" w:sz="4" w:space="0" w:color="auto"/>
            </w:tcBorders>
          </w:tcPr>
          <w:p w14:paraId="0DB20374" w14:textId="77777777" w:rsidR="001B5EAC" w:rsidRDefault="001B5EAC" w:rsidP="00F623B8">
            <w:pPr>
              <w:pStyle w:val="Tablas"/>
              <w:jc w:val="center"/>
              <w:rPr>
                <w:rStyle w:val="hgkelc"/>
                <w:rFonts w:eastAsiaTheme="minorEastAsia"/>
              </w:rPr>
            </w:pPr>
            <w:r>
              <w:rPr>
                <w:rStyle w:val="hgkelc"/>
                <w:rFonts w:eastAsiaTheme="minorEastAsia"/>
              </w:rPr>
              <w:t>Valor óptimo</w:t>
            </w:r>
          </w:p>
        </w:tc>
      </w:tr>
      <w:tr w:rsidR="001B5EAC" w14:paraId="44C31684" w14:textId="77777777" w:rsidTr="00F623B8">
        <w:trPr>
          <w:jc w:val="center"/>
        </w:trPr>
        <w:tc>
          <w:tcPr>
            <w:tcW w:w="1298" w:type="dxa"/>
            <w:tcBorders>
              <w:top w:val="single" w:sz="4" w:space="0" w:color="auto"/>
            </w:tcBorders>
          </w:tcPr>
          <w:p w14:paraId="55036864" w14:textId="63D8BD2D" w:rsidR="001B5EAC" w:rsidRPr="001B5EAC" w:rsidRDefault="0082690A" w:rsidP="00F623B8">
            <w:pPr>
              <w:pStyle w:val="Tablas"/>
              <w:jc w:val="center"/>
              <w:rPr>
                <w:rStyle w:val="hgkelc"/>
                <w:rFonts w:ascii="Cambria Math" w:eastAsiaTheme="minorEastAsia" w:hAnsi="Cambria Math"/>
                <w:i/>
              </w:rPr>
            </w:pPr>
            <m:oMathPara>
              <m:oMath>
                <m:sSub>
                  <m:sSubPr>
                    <m:ctrlPr>
                      <w:rPr>
                        <w:rStyle w:val="hgkelc"/>
                        <w:rFonts w:ascii="Cambria Math" w:hAnsi="Cambria Math"/>
                        <w:i/>
                      </w:rPr>
                    </m:ctrlPr>
                  </m:sSubPr>
                  <m:e>
                    <m:r>
                      <w:rPr>
                        <w:rStyle w:val="hgkelc"/>
                        <w:rFonts w:ascii="Cambria Math" w:hAnsi="Cambria Math"/>
                      </w:rPr>
                      <m:t>FC</m:t>
                    </m:r>
                  </m:e>
                  <m:sub>
                    <m:r>
                      <w:rPr>
                        <w:rStyle w:val="hgkelc"/>
                        <w:rFonts w:ascii="Cambria Math" w:hAnsi="Cambria Math"/>
                      </w:rPr>
                      <m:t>1</m:t>
                    </m:r>
                  </m:sub>
                </m:sSub>
              </m:oMath>
            </m:oMathPara>
          </w:p>
        </w:tc>
        <w:tc>
          <w:tcPr>
            <w:tcW w:w="1044" w:type="dxa"/>
            <w:tcBorders>
              <w:top w:val="single" w:sz="4" w:space="0" w:color="auto"/>
            </w:tcBorders>
          </w:tcPr>
          <w:p w14:paraId="7EC8A030" w14:textId="6DF934DF" w:rsidR="001B5EAC" w:rsidRDefault="001B5EAC" w:rsidP="00F623B8">
            <w:pPr>
              <w:pStyle w:val="Tablas"/>
              <w:jc w:val="center"/>
              <w:rPr>
                <w:rStyle w:val="hgkelc"/>
                <w:rFonts w:eastAsiaTheme="minorEastAsia"/>
              </w:rPr>
            </w:pPr>
            <w:r>
              <w:rPr>
                <w:rStyle w:val="hgkelc"/>
                <w:rFonts w:eastAsiaTheme="minorEastAsia"/>
              </w:rPr>
              <w:t>0</w:t>
            </w:r>
          </w:p>
        </w:tc>
        <w:tc>
          <w:tcPr>
            <w:tcW w:w="1083" w:type="dxa"/>
            <w:tcBorders>
              <w:top w:val="single" w:sz="4" w:space="0" w:color="auto"/>
            </w:tcBorders>
          </w:tcPr>
          <w:p w14:paraId="71B65143" w14:textId="7C77BE74" w:rsidR="001B5EAC" w:rsidRDefault="001B5EAC" w:rsidP="00F623B8">
            <w:pPr>
              <w:pStyle w:val="Tablas"/>
              <w:jc w:val="center"/>
              <w:rPr>
                <w:rStyle w:val="hgkelc"/>
                <w:rFonts w:eastAsiaTheme="minorEastAsia"/>
              </w:rPr>
            </w:pPr>
            <w:r>
              <w:rPr>
                <w:rStyle w:val="hgkelc"/>
                <w:rFonts w:eastAsiaTheme="minorEastAsia"/>
              </w:rPr>
              <w:t>2</w:t>
            </w:r>
          </w:p>
        </w:tc>
        <w:tc>
          <w:tcPr>
            <w:tcW w:w="1445" w:type="dxa"/>
            <w:tcBorders>
              <w:top w:val="single" w:sz="4" w:space="0" w:color="auto"/>
            </w:tcBorders>
          </w:tcPr>
          <w:p w14:paraId="7A58730B" w14:textId="5B75643A" w:rsidR="001B5EAC" w:rsidRDefault="001B5EAC" w:rsidP="00F623B8">
            <w:pPr>
              <w:pStyle w:val="Tablas"/>
              <w:jc w:val="center"/>
              <w:rPr>
                <w:rStyle w:val="hgkelc"/>
                <w:rFonts w:eastAsiaTheme="minorEastAsia"/>
              </w:rPr>
            </w:pPr>
            <w:r>
              <w:rPr>
                <w:rStyle w:val="hgkelc"/>
                <w:rFonts w:eastAsiaTheme="minorEastAsia"/>
              </w:rPr>
              <w:t>1</w:t>
            </w:r>
          </w:p>
        </w:tc>
        <w:tc>
          <w:tcPr>
            <w:tcW w:w="1445" w:type="dxa"/>
            <w:tcBorders>
              <w:top w:val="single" w:sz="4" w:space="0" w:color="auto"/>
            </w:tcBorders>
          </w:tcPr>
          <w:p w14:paraId="2E426901" w14:textId="28AC6EEB" w:rsidR="001B5EAC" w:rsidRDefault="001B5EAC" w:rsidP="00F623B8">
            <w:pPr>
              <w:pStyle w:val="Tablas"/>
              <w:jc w:val="center"/>
              <w:rPr>
                <w:rStyle w:val="hgkelc"/>
                <w:rFonts w:eastAsiaTheme="minorEastAsia"/>
              </w:rPr>
            </w:pPr>
            <w:r>
              <w:rPr>
                <w:rStyle w:val="hgkelc"/>
                <w:rFonts w:eastAsiaTheme="minorEastAsia"/>
              </w:rPr>
              <w:t>1.756</w:t>
            </w:r>
          </w:p>
        </w:tc>
      </w:tr>
      <w:tr w:rsidR="001B5EAC" w14:paraId="793CCC0C" w14:textId="77777777" w:rsidTr="00F623B8">
        <w:trPr>
          <w:jc w:val="center"/>
        </w:trPr>
        <w:tc>
          <w:tcPr>
            <w:tcW w:w="1298" w:type="dxa"/>
          </w:tcPr>
          <w:p w14:paraId="0B43A6EA" w14:textId="273170A1" w:rsidR="001B5EAC" w:rsidRDefault="0082690A" w:rsidP="00F623B8">
            <w:pPr>
              <w:pStyle w:val="Tablas"/>
              <w:jc w:val="center"/>
              <w:rPr>
                <w:rStyle w:val="hgkelc"/>
                <w:rFonts w:eastAsiaTheme="minorEastAsia"/>
              </w:rPr>
            </w:pPr>
            <m:oMathPara>
              <m:oMath>
                <m:sSub>
                  <m:sSubPr>
                    <m:ctrlPr>
                      <w:rPr>
                        <w:rFonts w:ascii="Cambria Math" w:hAnsi="Cambria Math"/>
                        <w:i/>
                      </w:rPr>
                    </m:ctrlPr>
                  </m:sSubPr>
                  <m:e>
                    <m:r>
                      <w:rPr>
                        <w:rFonts w:ascii="Cambria Math" w:hAnsi="Cambria Math"/>
                      </w:rPr>
                      <m:t>FC</m:t>
                    </m:r>
                  </m:e>
                  <m:sub>
                    <m:r>
                      <w:rPr>
                        <w:rFonts w:ascii="Cambria Math" w:hAnsi="Cambria Math"/>
                      </w:rPr>
                      <m:t>2</m:t>
                    </m:r>
                  </m:sub>
                </m:sSub>
              </m:oMath>
            </m:oMathPara>
          </w:p>
        </w:tc>
        <w:tc>
          <w:tcPr>
            <w:tcW w:w="1044" w:type="dxa"/>
          </w:tcPr>
          <w:p w14:paraId="3D671422" w14:textId="11EB0ABA" w:rsidR="001B5EAC" w:rsidRDefault="001B5EAC" w:rsidP="00F623B8">
            <w:pPr>
              <w:pStyle w:val="Tablas"/>
              <w:jc w:val="center"/>
              <w:rPr>
                <w:rStyle w:val="hgkelc"/>
                <w:rFonts w:eastAsiaTheme="minorEastAsia"/>
              </w:rPr>
            </w:pPr>
            <w:r>
              <w:rPr>
                <w:rStyle w:val="hgkelc"/>
                <w:rFonts w:eastAsiaTheme="minorEastAsia"/>
              </w:rPr>
              <w:t>0.5</w:t>
            </w:r>
          </w:p>
        </w:tc>
        <w:tc>
          <w:tcPr>
            <w:tcW w:w="1083" w:type="dxa"/>
          </w:tcPr>
          <w:p w14:paraId="367C2DE0" w14:textId="0EE683E0" w:rsidR="001B5EAC" w:rsidRDefault="001B5EAC" w:rsidP="00F623B8">
            <w:pPr>
              <w:pStyle w:val="Tablas"/>
              <w:jc w:val="center"/>
              <w:rPr>
                <w:rStyle w:val="hgkelc"/>
                <w:rFonts w:eastAsiaTheme="minorEastAsia"/>
              </w:rPr>
            </w:pPr>
            <w:r>
              <w:rPr>
                <w:rStyle w:val="hgkelc"/>
                <w:rFonts w:eastAsiaTheme="minorEastAsia"/>
              </w:rPr>
              <w:t>2</w:t>
            </w:r>
          </w:p>
        </w:tc>
        <w:tc>
          <w:tcPr>
            <w:tcW w:w="1445" w:type="dxa"/>
          </w:tcPr>
          <w:p w14:paraId="54F8B5D4" w14:textId="393ED1C0" w:rsidR="001B5EAC" w:rsidRDefault="001B5EAC" w:rsidP="00F623B8">
            <w:pPr>
              <w:pStyle w:val="Tablas"/>
              <w:jc w:val="center"/>
              <w:rPr>
                <w:rStyle w:val="hgkelc"/>
                <w:rFonts w:eastAsiaTheme="minorEastAsia"/>
              </w:rPr>
            </w:pPr>
            <w:r>
              <w:rPr>
                <w:rStyle w:val="hgkelc"/>
                <w:rFonts w:eastAsiaTheme="minorEastAsia"/>
              </w:rPr>
              <w:t>1.2</w:t>
            </w:r>
          </w:p>
        </w:tc>
        <w:tc>
          <w:tcPr>
            <w:tcW w:w="1445" w:type="dxa"/>
          </w:tcPr>
          <w:p w14:paraId="64645C7B" w14:textId="0BCBD3A3" w:rsidR="001B5EAC" w:rsidRDefault="001B5EAC" w:rsidP="00F623B8">
            <w:pPr>
              <w:pStyle w:val="Tablas"/>
              <w:jc w:val="center"/>
              <w:rPr>
                <w:rStyle w:val="hgkelc"/>
                <w:rFonts w:eastAsiaTheme="minorEastAsia"/>
              </w:rPr>
            </w:pPr>
            <w:r>
              <w:rPr>
                <w:rStyle w:val="hgkelc"/>
                <w:rFonts w:eastAsiaTheme="minorEastAsia"/>
              </w:rPr>
              <w:t>1.236</w:t>
            </w:r>
          </w:p>
        </w:tc>
      </w:tr>
      <w:tr w:rsidR="001B5EAC" w14:paraId="5E7F39D4" w14:textId="77777777" w:rsidTr="00F623B8">
        <w:trPr>
          <w:jc w:val="center"/>
        </w:trPr>
        <w:tc>
          <w:tcPr>
            <w:tcW w:w="1298" w:type="dxa"/>
          </w:tcPr>
          <w:p w14:paraId="2C6CE1BF" w14:textId="6E826F4A" w:rsidR="001B5EAC" w:rsidRDefault="0082690A" w:rsidP="00F623B8">
            <w:pPr>
              <w:pStyle w:val="Tablas"/>
              <w:jc w:val="center"/>
              <w:rPr>
                <w:rStyle w:val="hgkelc"/>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c>
        <w:tc>
          <w:tcPr>
            <w:tcW w:w="1044" w:type="dxa"/>
          </w:tcPr>
          <w:p w14:paraId="681D19C0" w14:textId="77777777" w:rsidR="001B5EAC" w:rsidRDefault="001B5EAC" w:rsidP="00F623B8">
            <w:pPr>
              <w:pStyle w:val="Tablas"/>
              <w:jc w:val="center"/>
              <w:rPr>
                <w:rStyle w:val="hgkelc"/>
                <w:rFonts w:eastAsiaTheme="minorEastAsia"/>
              </w:rPr>
            </w:pPr>
            <w:r>
              <w:rPr>
                <w:rStyle w:val="hgkelc"/>
                <w:rFonts w:eastAsiaTheme="minorEastAsia"/>
              </w:rPr>
              <w:t>0</w:t>
            </w:r>
          </w:p>
        </w:tc>
        <w:tc>
          <w:tcPr>
            <w:tcW w:w="1083" w:type="dxa"/>
          </w:tcPr>
          <w:p w14:paraId="3F71D1E3" w14:textId="1CF4564E" w:rsidR="001B5EAC" w:rsidRDefault="001B5EAC" w:rsidP="00F623B8">
            <w:pPr>
              <w:pStyle w:val="Tablas"/>
              <w:jc w:val="center"/>
              <w:rPr>
                <w:rStyle w:val="hgkelc"/>
                <w:rFonts w:eastAsiaTheme="minorEastAsia"/>
              </w:rPr>
            </w:pPr>
            <w:r>
              <w:rPr>
                <w:rStyle w:val="hgkelc"/>
                <w:rFonts w:eastAsiaTheme="minorEastAsia"/>
              </w:rPr>
              <w:t>1</w:t>
            </w:r>
          </w:p>
        </w:tc>
        <w:tc>
          <w:tcPr>
            <w:tcW w:w="1445" w:type="dxa"/>
          </w:tcPr>
          <w:p w14:paraId="0C8DC3F7" w14:textId="5FDDC2E2" w:rsidR="001B5EAC" w:rsidRDefault="001B5EAC" w:rsidP="00F623B8">
            <w:pPr>
              <w:pStyle w:val="Tablas"/>
              <w:jc w:val="center"/>
              <w:rPr>
                <w:rStyle w:val="hgkelc"/>
                <w:rFonts w:eastAsiaTheme="minorEastAsia"/>
              </w:rPr>
            </w:pPr>
            <w:r>
              <w:rPr>
                <w:rStyle w:val="hgkelc"/>
                <w:rFonts w:eastAsiaTheme="minorEastAsia"/>
              </w:rPr>
              <w:t>0</w:t>
            </w:r>
          </w:p>
        </w:tc>
        <w:tc>
          <w:tcPr>
            <w:tcW w:w="1445" w:type="dxa"/>
          </w:tcPr>
          <w:p w14:paraId="35A38DAF" w14:textId="0B79FEE0" w:rsidR="001B5EAC" w:rsidRDefault="001B5EAC" w:rsidP="00F623B8">
            <w:pPr>
              <w:pStyle w:val="Tablas"/>
              <w:jc w:val="center"/>
              <w:rPr>
                <w:rStyle w:val="hgkelc"/>
                <w:rFonts w:eastAsiaTheme="minorEastAsia"/>
              </w:rPr>
            </w:pPr>
            <w:r>
              <w:rPr>
                <w:rStyle w:val="hgkelc"/>
                <w:rFonts w:eastAsiaTheme="minorEastAsia"/>
              </w:rPr>
              <w:t>0.107</w:t>
            </w:r>
          </w:p>
        </w:tc>
      </w:tr>
    </w:tbl>
    <w:p w14:paraId="760AEF2D" w14:textId="3DB2880E" w:rsidR="00053D92" w:rsidRDefault="00F623B8" w:rsidP="00053D92">
      <w:r>
        <w:t>La secuencia de pasos dentro de cada iteración de SCEUA es la siguiente:</w:t>
      </w:r>
    </w:p>
    <w:p w14:paraId="15F9BC0F" w14:textId="3D374B94" w:rsidR="001B5EAC" w:rsidRDefault="001B5EAC" w:rsidP="001B5EAC">
      <w:pPr>
        <w:pStyle w:val="Prrafodelista"/>
        <w:numPr>
          <w:ilvl w:val="0"/>
          <w:numId w:val="32"/>
        </w:numPr>
      </w:pPr>
      <w:r>
        <w:t xml:space="preserve">Se simula </w:t>
      </w:r>
      <w:r w:rsidR="00F623B8">
        <w:t xml:space="preserve">el modelo </w:t>
      </w:r>
      <w:r>
        <w:t>TETIS.</w:t>
      </w:r>
    </w:p>
    <w:p w14:paraId="4F07CA2D" w14:textId="52A10BD8" w:rsidR="001B5EAC" w:rsidRDefault="001B5EAC" w:rsidP="001B5EAC">
      <w:pPr>
        <w:pStyle w:val="Prrafodelista"/>
        <w:numPr>
          <w:ilvl w:val="0"/>
          <w:numId w:val="32"/>
        </w:numPr>
      </w:pPr>
      <w:r>
        <w:t xml:space="preserve">Se extraen </w:t>
      </w:r>
      <w:r w:rsidR="001D7ABA">
        <w:t xml:space="preserve">de los resultados </w:t>
      </w:r>
      <w:r>
        <w:t xml:space="preserve">las series con la media areal de evaporación desde la interceptación y la evapotranspiración. </w:t>
      </w:r>
    </w:p>
    <w:p w14:paraId="5895769B" w14:textId="0D5B2FAE" w:rsidR="001B5EAC" w:rsidRDefault="001B5EAC" w:rsidP="001B5EAC">
      <w:pPr>
        <w:pStyle w:val="Prrafodelista"/>
        <w:numPr>
          <w:ilvl w:val="0"/>
          <w:numId w:val="32"/>
        </w:numPr>
      </w:pPr>
      <w:r>
        <w:t>Se suman estas series y se remuestrean a escala mensual</w:t>
      </w:r>
      <w:r w:rsidR="00F623B8">
        <w:t>.</w:t>
      </w:r>
    </w:p>
    <w:p w14:paraId="612811C4" w14:textId="72B50F11" w:rsidR="001B5EAC" w:rsidRDefault="001B5EAC" w:rsidP="001B5EAC">
      <w:pPr>
        <w:pStyle w:val="Prrafodelista"/>
        <w:numPr>
          <w:ilvl w:val="0"/>
          <w:numId w:val="32"/>
        </w:numPr>
      </w:pPr>
      <w:r>
        <w:t xml:space="preserve">Se analiza el rendimiento por comparación con la serie de ET mensual de MODIS. La función objetivo es el </w:t>
      </w:r>
      <w:commentRangeStart w:id="19"/>
      <w:r>
        <w:t>NSE</w:t>
      </w:r>
      <w:commentRangeEnd w:id="19"/>
      <w:r w:rsidR="00A16A6C">
        <w:rPr>
          <w:rStyle w:val="Refdecomentario"/>
        </w:rPr>
        <w:commentReference w:id="19"/>
      </w:r>
      <w:r>
        <w:t>.</w:t>
      </w:r>
    </w:p>
    <w:p w14:paraId="33DAA464" w14:textId="313E56FD" w:rsidR="00334892" w:rsidRDefault="00F623B8" w:rsidP="00334892">
      <w:r>
        <w:t>El pe</w:t>
      </w:r>
      <w:r w:rsidR="001B5EAC">
        <w:t>riodo de calibración</w:t>
      </w:r>
      <w:r>
        <w:t xml:space="preserve"> va del </w:t>
      </w:r>
      <w:r w:rsidR="001B5EAC">
        <w:t>1 enero 2010 a</w:t>
      </w:r>
      <w:r>
        <w:t>l</w:t>
      </w:r>
      <w:r w:rsidR="001B5EAC">
        <w:t xml:space="preserve"> 31 de diciembre de </w:t>
      </w:r>
      <w:r w:rsidR="001B5EAC" w:rsidRPr="00485454">
        <w:t>2013.</w:t>
      </w:r>
      <w:r w:rsidRPr="00485454">
        <w:t xml:space="preserve"> </w:t>
      </w:r>
      <w:r w:rsidR="00485454" w:rsidRPr="00485454">
        <w:t xml:space="preserve">El periodo de validación es del 1 de enero de 2002 al 31 de diciembre de </w:t>
      </w:r>
      <w:commentRangeStart w:id="20"/>
      <w:r w:rsidR="00485454" w:rsidRPr="00485454">
        <w:t>2009</w:t>
      </w:r>
      <w:commentRangeEnd w:id="20"/>
      <w:r w:rsidR="00A16A6C">
        <w:rPr>
          <w:rStyle w:val="Refdecomentario"/>
        </w:rPr>
        <w:commentReference w:id="20"/>
      </w:r>
      <w:r w:rsidR="00485454" w:rsidRPr="00485454">
        <w:t>.</w:t>
      </w:r>
      <w:r w:rsidR="001B5EAC" w:rsidRPr="00485454">
        <w:t xml:space="preserve"> </w:t>
      </w:r>
    </w:p>
    <w:p w14:paraId="3F9BE62D" w14:textId="77777777" w:rsidR="001D7ABA" w:rsidRPr="00334892" w:rsidRDefault="001D7ABA" w:rsidP="00334892"/>
    <w:p w14:paraId="15B2BC1C" w14:textId="1FFAC339" w:rsidR="00BB0F6F" w:rsidRDefault="00BB0F6F" w:rsidP="00BB0F6F">
      <w:pPr>
        <w:pStyle w:val="Ttulo1"/>
      </w:pPr>
      <w:bookmarkStart w:id="21" w:name="_Toc101721390"/>
      <w:r>
        <w:t>Resultados</w:t>
      </w:r>
      <w:bookmarkEnd w:id="21"/>
    </w:p>
    <w:p w14:paraId="72202B82" w14:textId="20A2D063" w:rsidR="00BB0F6F" w:rsidRDefault="00BB0F6F" w:rsidP="00BB0F6F">
      <w:pPr>
        <w:pStyle w:val="Ttulo2"/>
      </w:pPr>
      <w:bookmarkStart w:id="22" w:name="_Toc101721391"/>
      <w:r>
        <w:t>Cobertura del suelo</w:t>
      </w:r>
      <w:bookmarkEnd w:id="22"/>
    </w:p>
    <w:p w14:paraId="212137A4" w14:textId="1EDE46CE" w:rsidR="00F623B8" w:rsidRPr="00F623B8" w:rsidRDefault="00F623B8" w:rsidP="00F623B8">
      <w:pPr>
        <w:pStyle w:val="Ttulo3"/>
      </w:pPr>
      <w:r>
        <w:t>Comparativa MODIS vs TETIS</w:t>
      </w:r>
    </w:p>
    <w:p w14:paraId="492DFCD8" w14:textId="75FCEF49" w:rsidR="00F623B8" w:rsidRPr="00F623B8" w:rsidRDefault="00F623B8" w:rsidP="00F623B8">
      <w:r>
        <w:t xml:space="preserve">La </w:t>
      </w:r>
      <w:r>
        <w:fldChar w:fldCharType="begin"/>
      </w:r>
      <w:r>
        <w:instrText xml:space="preserve"> REF _Ref62466098 \h </w:instrText>
      </w:r>
      <w:r>
        <w:fldChar w:fldCharType="separate"/>
      </w:r>
      <w:r>
        <w:t xml:space="preserve">Figura </w:t>
      </w:r>
      <w:r>
        <w:rPr>
          <w:noProof/>
        </w:rPr>
        <w:t>4</w:t>
      </w:r>
      <w:r>
        <w:fldChar w:fldCharType="end"/>
      </w:r>
      <w:r>
        <w:t xml:space="preserve"> muestra los mapas de cobertura del suelo de MODIS (izquierda) y el utilizado en TETIS (derecha). El mapa utilizado en TETIS procede de una clasificación de imágenes LANDSAT a 30 m de resolución, que posteriormente fue remuestreado a los 100 m de resolución del modelo hidrológico. Para facilitar la comparativa entre ambas fuentes, incluyo en el centro el remuestreo del mapa TETIS a la malla de MODIS. A su vez, la </w:t>
      </w:r>
      <w:r>
        <w:fldChar w:fldCharType="begin"/>
      </w:r>
      <w:r>
        <w:instrText xml:space="preserve"> REF _Ref62466303 \h </w:instrText>
      </w:r>
      <w:r>
        <w:fldChar w:fldCharType="separate"/>
      </w:r>
      <w:r>
        <w:t xml:space="preserve">Tabla </w:t>
      </w:r>
      <w:r>
        <w:rPr>
          <w:noProof/>
        </w:rPr>
        <w:t>4</w:t>
      </w:r>
      <w:r>
        <w:fldChar w:fldCharType="end"/>
      </w:r>
      <w:r>
        <w:t xml:space="preserve"> resume el porcentaje de cuenca cubierta por cada clase de uso del suelo en ambas fuentes de datos.</w:t>
      </w:r>
    </w:p>
    <w:p w14:paraId="373BBA23" w14:textId="3D4E30D0" w:rsidR="00BB0F6F" w:rsidRDefault="00BB0F6F" w:rsidP="00BB0F6F">
      <w:r>
        <w:rPr>
          <w:noProof/>
        </w:rPr>
        <w:drawing>
          <wp:inline distT="0" distB="0" distL="0" distR="0" wp14:anchorId="5278CC1B" wp14:editId="6C8055EF">
            <wp:extent cx="5850255" cy="18586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255" cy="1858645"/>
                    </a:xfrm>
                    <a:prstGeom prst="rect">
                      <a:avLst/>
                    </a:prstGeom>
                  </pic:spPr>
                </pic:pic>
              </a:graphicData>
            </a:graphic>
          </wp:inline>
        </w:drawing>
      </w:r>
    </w:p>
    <w:p w14:paraId="7BB36FB4" w14:textId="075A4133" w:rsidR="00BB0F6F" w:rsidRDefault="00BB0F6F" w:rsidP="00BB0F6F">
      <w:pPr>
        <w:pStyle w:val="Descripcin"/>
      </w:pPr>
      <w:bookmarkStart w:id="23" w:name="_Ref62466098"/>
      <w:r>
        <w:t xml:space="preserve">Figura </w:t>
      </w:r>
      <w:r w:rsidR="0082690A">
        <w:fldChar w:fldCharType="begin"/>
      </w:r>
      <w:r w:rsidR="0082690A">
        <w:instrText xml:space="preserve"> SEQ Figura \* ARABIC </w:instrText>
      </w:r>
      <w:r w:rsidR="0082690A">
        <w:fldChar w:fldCharType="separate"/>
      </w:r>
      <w:r w:rsidR="003A0D12">
        <w:rPr>
          <w:noProof/>
        </w:rPr>
        <w:t>3</w:t>
      </w:r>
      <w:r w:rsidR="0082690A">
        <w:rPr>
          <w:noProof/>
        </w:rPr>
        <w:fldChar w:fldCharType="end"/>
      </w:r>
      <w:bookmarkEnd w:id="23"/>
      <w:r>
        <w:t>.Comparativa de los mapas de cobertura del suelo entre TETIS y MODIS. El mapa de MODIS está reclasificado para reproducir las mismas clases que el de TETIS. El mapa de TETIS utilizado en la simulación es el de 100 m de resolución (derecha), cuyo remuestreo en la malla de MODIS se muestra en el centro.</w:t>
      </w:r>
    </w:p>
    <w:p w14:paraId="2C83E2F2" w14:textId="35C6F803" w:rsidR="001D7ABA" w:rsidRPr="001D7ABA" w:rsidRDefault="001D7ABA" w:rsidP="001D7ABA">
      <w:r>
        <w:t xml:space="preserve">La principal diferencia entre los mapas de cobertura del suelo de MODIS y TETIS es en el área ocupada por el matorral. En TETIS el matorral ocupa el 35% del área de la cuenca; se extiende entre la línea de bosque y la roca desnuda en altitud y en zonas bajas. En MODIS el matorral </w:t>
      </w:r>
      <w:r>
        <w:lastRenderedPageBreak/>
        <w:t>sólo representa el 0.4 % de la cuenca; en las zonas bajas donde aparecía matorral en TETIS, MODIS identifica bosque perenne; en las zonas altas donde aparecía matorral en TETIS, MODIS identifica pasto. Es esta diferencia en la clasificación del matorral lo que influye en un porcentaje distinto también en el pasto y el bosque perenne.</w:t>
      </w:r>
    </w:p>
    <w:p w14:paraId="7A47737E" w14:textId="77777777" w:rsidR="00F623B8" w:rsidRDefault="00F623B8" w:rsidP="00F623B8">
      <w:pPr>
        <w:pStyle w:val="Descripcin"/>
      </w:pPr>
      <w:bookmarkStart w:id="24" w:name="_Ref62466303"/>
      <w:r>
        <w:t xml:space="preserve">Tabla </w:t>
      </w:r>
      <w:r w:rsidR="0082690A">
        <w:fldChar w:fldCharType="begin"/>
      </w:r>
      <w:r w:rsidR="0082690A">
        <w:instrText xml:space="preserve"> SEQ Tabla \* ARABIC </w:instrText>
      </w:r>
      <w:r w:rsidR="0082690A">
        <w:fldChar w:fldCharType="separate"/>
      </w:r>
      <w:r>
        <w:rPr>
          <w:noProof/>
        </w:rPr>
        <w:t>4</w:t>
      </w:r>
      <w:r w:rsidR="0082690A">
        <w:rPr>
          <w:noProof/>
        </w:rPr>
        <w:fldChar w:fldCharType="end"/>
      </w:r>
      <w:bookmarkEnd w:id="24"/>
      <w:r>
        <w:t>. Porcentaje de cuenca cubierto por cada clase de uso del suelo según MODIS y TETIS.</w:t>
      </w:r>
    </w:p>
    <w:tbl>
      <w:tblPr>
        <w:tblStyle w:val="Tablaconcuadrcula"/>
        <w:tblW w:w="63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1558"/>
        <w:gridCol w:w="1485"/>
      </w:tblGrid>
      <w:tr w:rsidR="00F623B8" w14:paraId="660F6CAA" w14:textId="77777777" w:rsidTr="00F623B8">
        <w:trPr>
          <w:jc w:val="center"/>
        </w:trPr>
        <w:tc>
          <w:tcPr>
            <w:tcW w:w="3303" w:type="dxa"/>
            <w:tcBorders>
              <w:bottom w:val="single" w:sz="4" w:space="0" w:color="auto"/>
            </w:tcBorders>
          </w:tcPr>
          <w:p w14:paraId="222692E0" w14:textId="77777777" w:rsidR="00F623B8" w:rsidRPr="00BB0F6F" w:rsidRDefault="00F623B8" w:rsidP="00F623B8">
            <w:pPr>
              <w:pStyle w:val="Tablas"/>
              <w:rPr>
                <w:b/>
                <w:bCs/>
              </w:rPr>
            </w:pPr>
            <w:r w:rsidRPr="00BB0F6F">
              <w:rPr>
                <w:b/>
                <w:bCs/>
              </w:rPr>
              <w:t>Uso del suelo</w:t>
            </w:r>
          </w:p>
        </w:tc>
        <w:tc>
          <w:tcPr>
            <w:tcW w:w="1558" w:type="dxa"/>
            <w:tcBorders>
              <w:bottom w:val="single" w:sz="4" w:space="0" w:color="auto"/>
            </w:tcBorders>
          </w:tcPr>
          <w:p w14:paraId="3CDD56A5" w14:textId="77777777" w:rsidR="00F623B8" w:rsidRPr="00BB0F6F" w:rsidRDefault="00F623B8" w:rsidP="00F623B8">
            <w:pPr>
              <w:pStyle w:val="Tablas"/>
              <w:jc w:val="right"/>
              <w:rPr>
                <w:b/>
                <w:bCs/>
              </w:rPr>
            </w:pPr>
            <w:r w:rsidRPr="00BB0F6F">
              <w:rPr>
                <w:b/>
                <w:bCs/>
              </w:rPr>
              <w:t>MODIS (%)</w:t>
            </w:r>
          </w:p>
        </w:tc>
        <w:tc>
          <w:tcPr>
            <w:tcW w:w="1485" w:type="dxa"/>
            <w:tcBorders>
              <w:bottom w:val="single" w:sz="4" w:space="0" w:color="auto"/>
            </w:tcBorders>
          </w:tcPr>
          <w:p w14:paraId="1251C56C" w14:textId="77777777" w:rsidR="00F623B8" w:rsidRPr="00BB0F6F" w:rsidRDefault="00F623B8" w:rsidP="00F623B8">
            <w:pPr>
              <w:pStyle w:val="Tablas"/>
              <w:jc w:val="right"/>
              <w:rPr>
                <w:b/>
                <w:bCs/>
              </w:rPr>
            </w:pPr>
            <w:r w:rsidRPr="00BB0F6F">
              <w:rPr>
                <w:b/>
                <w:bCs/>
              </w:rPr>
              <w:t>TETIS (%)</w:t>
            </w:r>
          </w:p>
        </w:tc>
      </w:tr>
      <w:tr w:rsidR="00F623B8" w14:paraId="1D33CB79" w14:textId="77777777" w:rsidTr="00F623B8">
        <w:trPr>
          <w:jc w:val="center"/>
        </w:trPr>
        <w:tc>
          <w:tcPr>
            <w:tcW w:w="3303" w:type="dxa"/>
            <w:tcBorders>
              <w:top w:val="single" w:sz="4" w:space="0" w:color="auto"/>
            </w:tcBorders>
          </w:tcPr>
          <w:p w14:paraId="78C8AAF1" w14:textId="77777777" w:rsidR="00F623B8" w:rsidRDefault="00F623B8" w:rsidP="00F623B8">
            <w:pPr>
              <w:pStyle w:val="Tablas"/>
            </w:pPr>
            <w:r>
              <w:t>Bosque caduco</w:t>
            </w:r>
          </w:p>
        </w:tc>
        <w:tc>
          <w:tcPr>
            <w:tcW w:w="1558" w:type="dxa"/>
            <w:tcBorders>
              <w:top w:val="single" w:sz="4" w:space="0" w:color="auto"/>
            </w:tcBorders>
          </w:tcPr>
          <w:p w14:paraId="4552E30D" w14:textId="77777777" w:rsidR="00F623B8" w:rsidRDefault="00F623B8" w:rsidP="00F623B8">
            <w:pPr>
              <w:pStyle w:val="Tablas"/>
              <w:jc w:val="right"/>
            </w:pPr>
            <w:r>
              <w:t>67.8</w:t>
            </w:r>
          </w:p>
        </w:tc>
        <w:tc>
          <w:tcPr>
            <w:tcW w:w="1485" w:type="dxa"/>
            <w:tcBorders>
              <w:top w:val="single" w:sz="4" w:space="0" w:color="auto"/>
            </w:tcBorders>
          </w:tcPr>
          <w:p w14:paraId="17DD3B2C" w14:textId="77777777" w:rsidR="00F623B8" w:rsidRDefault="00F623B8" w:rsidP="00F623B8">
            <w:pPr>
              <w:pStyle w:val="Tablas"/>
              <w:jc w:val="right"/>
            </w:pPr>
            <w:r>
              <w:t>43.2</w:t>
            </w:r>
          </w:p>
        </w:tc>
      </w:tr>
      <w:tr w:rsidR="00F623B8" w14:paraId="41F3FBCC" w14:textId="77777777" w:rsidTr="00F623B8">
        <w:trPr>
          <w:jc w:val="center"/>
        </w:trPr>
        <w:tc>
          <w:tcPr>
            <w:tcW w:w="3303" w:type="dxa"/>
          </w:tcPr>
          <w:p w14:paraId="6711952E" w14:textId="77777777" w:rsidR="00F623B8" w:rsidRDefault="00F623B8" w:rsidP="00F623B8">
            <w:pPr>
              <w:pStyle w:val="Tablas"/>
            </w:pPr>
            <w:r>
              <w:t>Bosque perenne</w:t>
            </w:r>
          </w:p>
        </w:tc>
        <w:tc>
          <w:tcPr>
            <w:tcW w:w="1558" w:type="dxa"/>
          </w:tcPr>
          <w:p w14:paraId="2894F6B4" w14:textId="77777777" w:rsidR="00F623B8" w:rsidRDefault="00F623B8" w:rsidP="00F623B8">
            <w:pPr>
              <w:pStyle w:val="Tablas"/>
              <w:jc w:val="right"/>
            </w:pPr>
            <w:r>
              <w:t>11.3</w:t>
            </w:r>
          </w:p>
        </w:tc>
        <w:tc>
          <w:tcPr>
            <w:tcW w:w="1485" w:type="dxa"/>
          </w:tcPr>
          <w:p w14:paraId="75C92DEE" w14:textId="77777777" w:rsidR="00F623B8" w:rsidRDefault="00F623B8" w:rsidP="00F623B8">
            <w:pPr>
              <w:pStyle w:val="Tablas"/>
              <w:jc w:val="right"/>
            </w:pPr>
            <w:r>
              <w:t>0.1</w:t>
            </w:r>
          </w:p>
        </w:tc>
      </w:tr>
      <w:tr w:rsidR="00F623B8" w14:paraId="2EE4FD26" w14:textId="77777777" w:rsidTr="00F623B8">
        <w:trPr>
          <w:jc w:val="center"/>
        </w:trPr>
        <w:tc>
          <w:tcPr>
            <w:tcW w:w="3303" w:type="dxa"/>
          </w:tcPr>
          <w:p w14:paraId="480F9029" w14:textId="77777777" w:rsidR="00F623B8" w:rsidRDefault="00F623B8" w:rsidP="00F623B8">
            <w:pPr>
              <w:pStyle w:val="Tablas"/>
            </w:pPr>
            <w:r>
              <w:t>Matorral</w:t>
            </w:r>
          </w:p>
        </w:tc>
        <w:tc>
          <w:tcPr>
            <w:tcW w:w="1558" w:type="dxa"/>
          </w:tcPr>
          <w:p w14:paraId="181A4093" w14:textId="77777777" w:rsidR="00F623B8" w:rsidRDefault="00F623B8" w:rsidP="00F623B8">
            <w:pPr>
              <w:pStyle w:val="Tablas"/>
              <w:jc w:val="right"/>
            </w:pPr>
            <w:r>
              <w:t>0.37</w:t>
            </w:r>
          </w:p>
        </w:tc>
        <w:tc>
          <w:tcPr>
            <w:tcW w:w="1485" w:type="dxa"/>
          </w:tcPr>
          <w:p w14:paraId="422C0C69" w14:textId="77777777" w:rsidR="00F623B8" w:rsidRDefault="00F623B8" w:rsidP="00F623B8">
            <w:pPr>
              <w:pStyle w:val="Tablas"/>
              <w:jc w:val="right"/>
            </w:pPr>
            <w:r>
              <w:t>35.1</w:t>
            </w:r>
          </w:p>
        </w:tc>
      </w:tr>
      <w:tr w:rsidR="00F623B8" w14:paraId="3FB79B6A" w14:textId="77777777" w:rsidTr="00F623B8">
        <w:trPr>
          <w:jc w:val="center"/>
        </w:trPr>
        <w:tc>
          <w:tcPr>
            <w:tcW w:w="3303" w:type="dxa"/>
          </w:tcPr>
          <w:p w14:paraId="21D06EF4" w14:textId="77777777" w:rsidR="00F623B8" w:rsidRDefault="00F623B8" w:rsidP="00F623B8">
            <w:pPr>
              <w:pStyle w:val="Tablas"/>
            </w:pPr>
            <w:r>
              <w:t>Pasto</w:t>
            </w:r>
          </w:p>
        </w:tc>
        <w:tc>
          <w:tcPr>
            <w:tcW w:w="1558" w:type="dxa"/>
          </w:tcPr>
          <w:p w14:paraId="543D3971" w14:textId="77777777" w:rsidR="00F623B8" w:rsidRDefault="00F623B8" w:rsidP="00F623B8">
            <w:pPr>
              <w:pStyle w:val="Tablas"/>
              <w:jc w:val="right"/>
            </w:pPr>
            <w:r>
              <w:t>17.1</w:t>
            </w:r>
          </w:p>
        </w:tc>
        <w:tc>
          <w:tcPr>
            <w:tcW w:w="1485" w:type="dxa"/>
          </w:tcPr>
          <w:p w14:paraId="4BD183BC" w14:textId="77777777" w:rsidR="00F623B8" w:rsidRDefault="00F623B8" w:rsidP="00F623B8">
            <w:pPr>
              <w:pStyle w:val="Tablas"/>
              <w:jc w:val="right"/>
            </w:pPr>
            <w:r>
              <w:t>14.7</w:t>
            </w:r>
          </w:p>
        </w:tc>
      </w:tr>
      <w:tr w:rsidR="00F623B8" w14:paraId="6AE16AC9" w14:textId="77777777" w:rsidTr="00F623B8">
        <w:trPr>
          <w:jc w:val="center"/>
        </w:trPr>
        <w:tc>
          <w:tcPr>
            <w:tcW w:w="3303" w:type="dxa"/>
          </w:tcPr>
          <w:p w14:paraId="01D1FC5E" w14:textId="77777777" w:rsidR="00F623B8" w:rsidRDefault="00F623B8" w:rsidP="00F623B8">
            <w:pPr>
              <w:pStyle w:val="Tablas"/>
            </w:pPr>
            <w:r>
              <w:t>Suelo desnudo/vegetación escasa</w:t>
            </w:r>
          </w:p>
        </w:tc>
        <w:tc>
          <w:tcPr>
            <w:tcW w:w="1558" w:type="dxa"/>
          </w:tcPr>
          <w:p w14:paraId="6FCB40DE" w14:textId="77777777" w:rsidR="00F623B8" w:rsidRDefault="00F623B8" w:rsidP="00F623B8">
            <w:pPr>
              <w:pStyle w:val="Tablas"/>
              <w:jc w:val="right"/>
            </w:pPr>
            <w:r>
              <w:t>0.8</w:t>
            </w:r>
          </w:p>
        </w:tc>
        <w:tc>
          <w:tcPr>
            <w:tcW w:w="1485" w:type="dxa"/>
          </w:tcPr>
          <w:p w14:paraId="6384709F" w14:textId="77777777" w:rsidR="00F623B8" w:rsidRDefault="00F623B8" w:rsidP="00F623B8">
            <w:pPr>
              <w:pStyle w:val="Tablas"/>
              <w:jc w:val="right"/>
            </w:pPr>
            <w:r>
              <w:t>6.1</w:t>
            </w:r>
          </w:p>
        </w:tc>
      </w:tr>
      <w:tr w:rsidR="00F623B8" w14:paraId="6A5B9426" w14:textId="77777777" w:rsidTr="00F623B8">
        <w:trPr>
          <w:jc w:val="center"/>
        </w:trPr>
        <w:tc>
          <w:tcPr>
            <w:tcW w:w="3303" w:type="dxa"/>
          </w:tcPr>
          <w:p w14:paraId="64CA97DB" w14:textId="77777777" w:rsidR="00F623B8" w:rsidRDefault="00F623B8" w:rsidP="00F623B8">
            <w:pPr>
              <w:pStyle w:val="Tablas"/>
            </w:pPr>
            <w:r>
              <w:t>Nieve o hielo</w:t>
            </w:r>
          </w:p>
        </w:tc>
        <w:tc>
          <w:tcPr>
            <w:tcW w:w="1558" w:type="dxa"/>
          </w:tcPr>
          <w:p w14:paraId="4B3089B2" w14:textId="77777777" w:rsidR="00F623B8" w:rsidRDefault="00F623B8" w:rsidP="00F623B8">
            <w:pPr>
              <w:pStyle w:val="Tablas"/>
              <w:jc w:val="right"/>
            </w:pPr>
            <w:r>
              <w:t>0.2</w:t>
            </w:r>
          </w:p>
        </w:tc>
        <w:tc>
          <w:tcPr>
            <w:tcW w:w="1485" w:type="dxa"/>
          </w:tcPr>
          <w:p w14:paraId="201F430A" w14:textId="77777777" w:rsidR="00F623B8" w:rsidRDefault="00F623B8" w:rsidP="00F623B8">
            <w:pPr>
              <w:pStyle w:val="Tablas"/>
              <w:jc w:val="right"/>
            </w:pPr>
            <w:r>
              <w:t>-</w:t>
            </w:r>
          </w:p>
        </w:tc>
      </w:tr>
      <w:tr w:rsidR="00F623B8" w14:paraId="33520F01" w14:textId="77777777" w:rsidTr="00F623B8">
        <w:trPr>
          <w:jc w:val="center"/>
        </w:trPr>
        <w:tc>
          <w:tcPr>
            <w:tcW w:w="3303" w:type="dxa"/>
          </w:tcPr>
          <w:p w14:paraId="564F5483" w14:textId="77777777" w:rsidR="00F623B8" w:rsidRDefault="00F623B8" w:rsidP="00F623B8">
            <w:pPr>
              <w:pStyle w:val="Tablas"/>
            </w:pPr>
            <w:r>
              <w:t>Antrópico</w:t>
            </w:r>
          </w:p>
        </w:tc>
        <w:tc>
          <w:tcPr>
            <w:tcW w:w="1558" w:type="dxa"/>
          </w:tcPr>
          <w:p w14:paraId="3C6A1635" w14:textId="77777777" w:rsidR="00F623B8" w:rsidRDefault="00F623B8" w:rsidP="00F623B8">
            <w:pPr>
              <w:pStyle w:val="Tablas"/>
              <w:jc w:val="right"/>
            </w:pPr>
            <w:r>
              <w:t>0</w:t>
            </w:r>
          </w:p>
        </w:tc>
        <w:tc>
          <w:tcPr>
            <w:tcW w:w="1485" w:type="dxa"/>
          </w:tcPr>
          <w:p w14:paraId="4CE2C951" w14:textId="77777777" w:rsidR="00F623B8" w:rsidRDefault="00F623B8" w:rsidP="00F623B8">
            <w:pPr>
              <w:pStyle w:val="Tablas"/>
              <w:jc w:val="right"/>
            </w:pPr>
            <w:r>
              <w:t>0.8</w:t>
            </w:r>
          </w:p>
        </w:tc>
      </w:tr>
    </w:tbl>
    <w:p w14:paraId="6B8E01C8" w14:textId="664FC5BA" w:rsidR="00287461" w:rsidRDefault="00287461" w:rsidP="00287461">
      <w:pPr>
        <w:pStyle w:val="Ttulo3"/>
      </w:pPr>
      <w:r>
        <w:t>Evolución de la cobertura del suelo</w:t>
      </w:r>
    </w:p>
    <w:p w14:paraId="47BBA9EF" w14:textId="4CF5C600" w:rsidR="004D3D66" w:rsidRDefault="004D3D66" w:rsidP="004D3D66">
      <w:r>
        <w:t>Un 21% de las celdas sufren algún cambio en su clasificación durante los 19 años de datos de MODIS. Los principales cambios que se observan son:</w:t>
      </w:r>
    </w:p>
    <w:p w14:paraId="057320AD" w14:textId="53C43FBD" w:rsidR="004D3D66" w:rsidRDefault="00AE01CD" w:rsidP="00AE01CD">
      <w:pPr>
        <w:pStyle w:val="Prrafodelista"/>
        <w:numPr>
          <w:ilvl w:val="0"/>
          <w:numId w:val="40"/>
        </w:numPr>
      </w:pPr>
      <w:r>
        <w:t>De</w:t>
      </w:r>
      <w:r w:rsidR="004D3D66">
        <w:t xml:space="preserve"> bosque de coníferas a bosque caducifolio y pasto.</w:t>
      </w:r>
    </w:p>
    <w:p w14:paraId="2CB94C8A" w14:textId="1F45FBD2" w:rsidR="004D3D66" w:rsidRDefault="00AE01CD" w:rsidP="00AE01CD">
      <w:pPr>
        <w:pStyle w:val="Prrafodelista"/>
        <w:numPr>
          <w:ilvl w:val="0"/>
          <w:numId w:val="40"/>
        </w:numPr>
      </w:pPr>
      <w:r>
        <w:t>De</w:t>
      </w:r>
      <w:r w:rsidR="004D3D66">
        <w:t xml:space="preserve"> bosque caducifolio a pasto y, en menor medida, a otros tipos de bosque.</w:t>
      </w:r>
    </w:p>
    <w:p w14:paraId="5BBA0CBE" w14:textId="059B70EB" w:rsidR="004D3D66" w:rsidRDefault="00AE01CD" w:rsidP="00AE01CD">
      <w:pPr>
        <w:pStyle w:val="Prrafodelista"/>
        <w:numPr>
          <w:ilvl w:val="0"/>
          <w:numId w:val="40"/>
        </w:numPr>
      </w:pPr>
      <w:r>
        <w:t>De</w:t>
      </w:r>
      <w:r w:rsidR="004D3D66">
        <w:t xml:space="preserve"> pasto a bosque caducifolio.</w:t>
      </w:r>
    </w:p>
    <w:p w14:paraId="4F854331" w14:textId="019383A5" w:rsidR="004D3D66" w:rsidRDefault="00AE01CD" w:rsidP="00AE01CD">
      <w:pPr>
        <w:pStyle w:val="Prrafodelista"/>
        <w:numPr>
          <w:ilvl w:val="0"/>
          <w:numId w:val="40"/>
        </w:numPr>
      </w:pPr>
      <w:r>
        <w:t>De s</w:t>
      </w:r>
      <w:r w:rsidR="004D3D66">
        <w:t>uelo desnudo a pasto.</w:t>
      </w:r>
    </w:p>
    <w:p w14:paraId="60BC589B" w14:textId="2DD2682E" w:rsidR="004D3D66" w:rsidRDefault="004D3D66" w:rsidP="004D3D66">
      <w:pPr>
        <w:pStyle w:val="Ttulo2"/>
      </w:pPr>
      <w:bookmarkStart w:id="25" w:name="_Toc101721392"/>
      <w:r>
        <w:t>Factores de cultivo</w:t>
      </w:r>
      <w:bookmarkEnd w:id="25"/>
    </w:p>
    <w:p w14:paraId="7BF378D6" w14:textId="7081659C" w:rsidR="00020D09" w:rsidRDefault="00085F41" w:rsidP="00020D09">
      <w:r>
        <w:t xml:space="preserve">La </w:t>
      </w:r>
      <w:r>
        <w:fldChar w:fldCharType="begin"/>
      </w:r>
      <w:r>
        <w:instrText xml:space="preserve"> REF _Ref62466500 \h </w:instrText>
      </w:r>
      <w:r>
        <w:fldChar w:fldCharType="separate"/>
      </w:r>
      <w:r w:rsidR="003202B2">
        <w:t xml:space="preserve">Figura </w:t>
      </w:r>
      <w:r w:rsidR="003202B2">
        <w:rPr>
          <w:noProof/>
        </w:rPr>
        <w:t>4</w:t>
      </w:r>
      <w:r>
        <w:fldChar w:fldCharType="end"/>
      </w:r>
      <w:r>
        <w:t xml:space="preserve"> muestra la media mensual de la ET observada por MODIS en la cuenca del Deva clasificada por uso del suelo. Las líneas verdes claro representan cada una de las celdas con una clasificación, la línea verde oscuro la media entre todas las celdas con de dicha clase, y la línea negra de trazos la media de toda la cuenca.</w:t>
      </w:r>
    </w:p>
    <w:p w14:paraId="1EAF023E" w14:textId="0195D6DE" w:rsidR="00485454" w:rsidRDefault="00485454" w:rsidP="00020D09">
      <w:pPr>
        <w:rPr>
          <w:lang w:eastAsia="en-GB"/>
        </w:rPr>
      </w:pPr>
      <w:r>
        <w:t>El cociente de la línea verde oscuro y negra a trazos es la curva de factor de cultivo de cada clase de cobertura del suelo. Los resultados se muestran en la</w:t>
      </w:r>
      <w:r w:rsidR="003202B2">
        <w:t xml:space="preserve"> </w:t>
      </w:r>
      <w:r w:rsidR="003202B2">
        <w:fldChar w:fldCharType="begin"/>
      </w:r>
      <w:r w:rsidR="003202B2">
        <w:instrText xml:space="preserve"> REF _Ref101723183 \h </w:instrText>
      </w:r>
      <w:r w:rsidR="003202B2">
        <w:fldChar w:fldCharType="separate"/>
      </w:r>
      <w:r w:rsidR="003202B2">
        <w:t xml:space="preserve">Figura </w:t>
      </w:r>
      <w:r w:rsidR="003202B2">
        <w:rPr>
          <w:noProof/>
        </w:rPr>
        <w:t>5</w:t>
      </w:r>
      <w:r w:rsidR="003202B2">
        <w:fldChar w:fldCharType="end"/>
      </w:r>
      <w:r>
        <w:t xml:space="preserve">. </w:t>
      </w:r>
      <w:r w:rsidRPr="00053D92">
        <w:rPr>
          <w:lang w:eastAsia="en-GB"/>
        </w:rPr>
        <w:t>Las curvas del factor de cultivo utilizadas en TETIS y las extraídas de MODIS tienen poco que ver. Las mayores diferencias están en los árboles perennes (que no tienen un factor constante), el matorral (que tiene un factor de cultivo inferior) y el suelo desnudo (que no tiene un factor de cultivo nulo durante el verano y otoño).</w:t>
      </w:r>
    </w:p>
    <w:p w14:paraId="1ADB867B" w14:textId="02E7EF77" w:rsidR="001D7ABA" w:rsidRDefault="001D7ABA" w:rsidP="00020D09">
      <w:pPr>
        <w:rPr>
          <w:lang w:eastAsia="en-GB"/>
        </w:rPr>
      </w:pPr>
      <w:r w:rsidRPr="00053D92">
        <w:rPr>
          <w:lang w:eastAsia="en-GB"/>
        </w:rPr>
        <w:t xml:space="preserve">Para completar la tabla del factor de cultivo que requiere TETIS faltan dos clases: suelo antrópico y cuerpos de agua. Los cuerpos de agua deberían tener un factor de cultivo de 1, puesto que la evaporación podrá ser siempre la potencial. El suelo antrópico no está tan claro; desde luego no puede ser el 0 </w:t>
      </w:r>
      <w:r>
        <w:rPr>
          <w:lang w:eastAsia="en-GB"/>
        </w:rPr>
        <w:t xml:space="preserve">que </w:t>
      </w:r>
      <w:r w:rsidRPr="00053D92">
        <w:rPr>
          <w:lang w:eastAsia="en-GB"/>
        </w:rPr>
        <w:t>he utilizado hasta ahora; como aproximación se puede utilizar la misma curva que tiene el suelo desnudo.</w:t>
      </w:r>
    </w:p>
    <w:p w14:paraId="11C0E238" w14:textId="1040EDCD" w:rsidR="00020D09" w:rsidRDefault="00020D09" w:rsidP="00485454">
      <w:pPr>
        <w:jc w:val="center"/>
      </w:pPr>
      <w:r>
        <w:rPr>
          <w:noProof/>
        </w:rPr>
        <w:lastRenderedPageBreak/>
        <w:drawing>
          <wp:inline distT="0" distB="0" distL="0" distR="0" wp14:anchorId="0C84A92F" wp14:editId="5E926EC8">
            <wp:extent cx="5400000" cy="4315768"/>
            <wp:effectExtent l="0" t="0" r="0" b="889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rotWithShape="1">
                    <a:blip r:embed="rId15" cstate="print">
                      <a:extLst>
                        <a:ext uri="{28A0092B-C50C-407E-A947-70E740481C1C}">
                          <a14:useLocalDpi xmlns:a14="http://schemas.microsoft.com/office/drawing/2010/main" val="0"/>
                        </a:ext>
                      </a:extLst>
                    </a:blip>
                    <a:srcRect l="8405" t="9875" r="9175" b="10137"/>
                    <a:stretch/>
                  </pic:blipFill>
                  <pic:spPr bwMode="auto">
                    <a:xfrm>
                      <a:off x="0" y="0"/>
                      <a:ext cx="5400000" cy="4315768"/>
                    </a:xfrm>
                    <a:prstGeom prst="rect">
                      <a:avLst/>
                    </a:prstGeom>
                    <a:ln>
                      <a:noFill/>
                    </a:ln>
                    <a:extLst>
                      <a:ext uri="{53640926-AAD7-44D8-BBD7-CCE9431645EC}">
                        <a14:shadowObscured xmlns:a14="http://schemas.microsoft.com/office/drawing/2010/main"/>
                      </a:ext>
                    </a:extLst>
                  </pic:spPr>
                </pic:pic>
              </a:graphicData>
            </a:graphic>
          </wp:inline>
        </w:drawing>
      </w:r>
    </w:p>
    <w:p w14:paraId="5E42ABB0" w14:textId="6A1F8574" w:rsidR="00085F41" w:rsidRPr="00085F41" w:rsidRDefault="00020D09" w:rsidP="00485454">
      <w:pPr>
        <w:pStyle w:val="Descripcin"/>
      </w:pPr>
      <w:bookmarkStart w:id="26" w:name="_Ref62466500"/>
      <w:r>
        <w:t xml:space="preserve">Figura </w:t>
      </w:r>
      <w:r w:rsidR="0082690A">
        <w:fldChar w:fldCharType="begin"/>
      </w:r>
      <w:r w:rsidR="0082690A">
        <w:instrText xml:space="preserve"> SEQ Figura \* ARABIC </w:instrText>
      </w:r>
      <w:r w:rsidR="0082690A">
        <w:fldChar w:fldCharType="separate"/>
      </w:r>
      <w:r w:rsidR="00A16A6C">
        <w:rPr>
          <w:noProof/>
        </w:rPr>
        <w:t>4</w:t>
      </w:r>
      <w:r w:rsidR="0082690A">
        <w:rPr>
          <w:noProof/>
        </w:rPr>
        <w:fldChar w:fldCharType="end"/>
      </w:r>
      <w:bookmarkEnd w:id="26"/>
      <w:r>
        <w:t xml:space="preserve">. Media mensual de la evapotranspiración real observada por MODIS para cada una de las coberturas de suelo comparada con la media areal de la cuenca. </w:t>
      </w:r>
      <w:r w:rsidR="00485454">
        <w:t>Verde claro: una celda; verde oscuro: media de la clase de cobertura; negro a trazos: media de la cuenca.</w:t>
      </w:r>
    </w:p>
    <w:p w14:paraId="47CA2C21" w14:textId="08F08800" w:rsidR="00483969" w:rsidRDefault="00020D09" w:rsidP="00483969">
      <w:pPr>
        <w:jc w:val="center"/>
      </w:pPr>
      <w:r>
        <w:rPr>
          <w:noProof/>
        </w:rPr>
        <w:drawing>
          <wp:inline distT="0" distB="0" distL="0" distR="0" wp14:anchorId="0E9E175C" wp14:editId="554D6FDE">
            <wp:extent cx="5400000" cy="3287876"/>
            <wp:effectExtent l="0" t="0" r="0" b="8255"/>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rotWithShape="1">
                    <a:blip r:embed="rId16" cstate="print">
                      <a:extLst>
                        <a:ext uri="{28A0092B-C50C-407E-A947-70E740481C1C}">
                          <a14:useLocalDpi xmlns:a14="http://schemas.microsoft.com/office/drawing/2010/main" val="0"/>
                        </a:ext>
                      </a:extLst>
                    </a:blip>
                    <a:srcRect l="8586" t="9364" r="9358" b="9741"/>
                    <a:stretch/>
                  </pic:blipFill>
                  <pic:spPr bwMode="auto">
                    <a:xfrm>
                      <a:off x="0" y="0"/>
                      <a:ext cx="5400000" cy="3287876"/>
                    </a:xfrm>
                    <a:prstGeom prst="rect">
                      <a:avLst/>
                    </a:prstGeom>
                    <a:ln>
                      <a:noFill/>
                    </a:ln>
                    <a:extLst>
                      <a:ext uri="{53640926-AAD7-44D8-BBD7-CCE9431645EC}">
                        <a14:shadowObscured xmlns:a14="http://schemas.microsoft.com/office/drawing/2010/main"/>
                      </a:ext>
                    </a:extLst>
                  </pic:spPr>
                </pic:pic>
              </a:graphicData>
            </a:graphic>
          </wp:inline>
        </w:drawing>
      </w:r>
    </w:p>
    <w:p w14:paraId="0880F363" w14:textId="02DD2803" w:rsidR="00053D92" w:rsidRDefault="00020D09" w:rsidP="0029244B">
      <w:pPr>
        <w:pStyle w:val="Descripcin"/>
      </w:pPr>
      <w:bookmarkStart w:id="27" w:name="_Ref101723183"/>
      <w:r>
        <w:t xml:space="preserve">Figura </w:t>
      </w:r>
      <w:r w:rsidR="0082690A">
        <w:fldChar w:fldCharType="begin"/>
      </w:r>
      <w:r w:rsidR="0082690A">
        <w:instrText xml:space="preserve"> SEQ Figura \* ARABIC </w:instrText>
      </w:r>
      <w:r w:rsidR="0082690A">
        <w:fldChar w:fldCharType="separate"/>
      </w:r>
      <w:r w:rsidR="003A0D12">
        <w:rPr>
          <w:noProof/>
        </w:rPr>
        <w:t>5</w:t>
      </w:r>
      <w:r w:rsidR="0082690A">
        <w:rPr>
          <w:noProof/>
        </w:rPr>
        <w:fldChar w:fldCharType="end"/>
      </w:r>
      <w:bookmarkEnd w:id="27"/>
      <w:r>
        <w:t xml:space="preserve">. Valores mensuales de los factores de cultivo de 5 clases del suelo. Se comparan los valores calculados con la metodología aquí presentada (MODIS) frente a los utilizados </w:t>
      </w:r>
      <w:r w:rsidR="00085F41">
        <w:t xml:space="preserve">anteriormente </w:t>
      </w:r>
      <w:r>
        <w:t>en TETIS.</w:t>
      </w:r>
    </w:p>
    <w:p w14:paraId="57C9827C" w14:textId="687F2532" w:rsidR="00020D09" w:rsidRDefault="00020D09" w:rsidP="00020D09">
      <w:pPr>
        <w:pStyle w:val="Ttulo2"/>
      </w:pPr>
      <w:bookmarkStart w:id="28" w:name="_Toc101721393"/>
      <w:r>
        <w:lastRenderedPageBreak/>
        <w:t>Interceptación máxima</w:t>
      </w:r>
      <w:bookmarkEnd w:id="28"/>
    </w:p>
    <w:p w14:paraId="70C2D43D" w14:textId="23F49BC6" w:rsidR="0029244B" w:rsidRDefault="0029244B" w:rsidP="0029244B">
      <w:r>
        <w:t xml:space="preserve">La </w:t>
      </w:r>
      <w:r>
        <w:fldChar w:fldCharType="begin"/>
      </w:r>
      <w:r>
        <w:instrText xml:space="preserve"> REF _Ref62467484 \h </w:instrText>
      </w:r>
      <w:r>
        <w:fldChar w:fldCharType="separate"/>
      </w:r>
      <w:r w:rsidR="003202B2">
        <w:t xml:space="preserve">Figura </w:t>
      </w:r>
      <w:r w:rsidR="003202B2">
        <w:rPr>
          <w:noProof/>
        </w:rPr>
        <w:t>6</w:t>
      </w:r>
      <w:r>
        <w:fldChar w:fldCharType="end"/>
      </w:r>
      <w:r>
        <w:t xml:space="preserve"> muestra los valores medios mensuales de LAI de las celdas de la cuenca del Deva clasificadas por coberturas del suelo. La línea verde claro representa cada una de las celdas con una cobertura del suelo y la línea verde oscuro la media de todas las celdas con esa cobertura.</w:t>
      </w:r>
    </w:p>
    <w:p w14:paraId="56176FA4" w14:textId="77777777" w:rsidR="0029244B" w:rsidRDefault="0029244B" w:rsidP="0029244B">
      <w:pPr>
        <w:rPr>
          <w:rFonts w:ascii="Times New Roman" w:hAnsi="Times New Roman"/>
        </w:rPr>
      </w:pPr>
      <w:r>
        <w:t>Me resulta llamativo el bajo LAI del matorral y el relativamente alto del pasto. Pudiera deberse a una clasificación errónea de las clases de cobertura, puesto que en la comparativa con la cobertura del suelo de TETIS se intercambia el matorral con el pasto. Valores de LAI del entorno de 2 son habituales para matorral y cultivos (van Dijk &amp; Bruijnzeel, 2001b).</w:t>
      </w:r>
    </w:p>
    <w:p w14:paraId="5C22BF5E" w14:textId="77777777" w:rsidR="0029244B" w:rsidRDefault="0029244B" w:rsidP="0029244B">
      <w:r>
        <w:t>Los valores máximos de LAI aparecen en algunas celdas clasificadas como bosque perenne de hoja ancha, donde se superan valores de 6. Según la literatura, los valores máximos de LAI se obtienen en bosques de coníferas (abetos, pinos pueden llegar a 13), pero en los datos de MODIS parecen ligeramente infravalorados</w:t>
      </w:r>
    </w:p>
    <w:p w14:paraId="3C145C5B" w14:textId="7427D56A" w:rsidR="0029244B" w:rsidRDefault="0029244B" w:rsidP="0029244B">
      <w:r>
        <w:t>Hay una gran dispersión dentro de las celdas de tres clases: bosque perenne de hoja ancha, bosque caduco de hoja ancha y pasto.</w:t>
      </w:r>
    </w:p>
    <w:p w14:paraId="373332DA" w14:textId="40FC5B94" w:rsidR="0029244B" w:rsidRDefault="0029244B" w:rsidP="0029244B">
      <w:r>
        <w:t xml:space="preserve">La interceptación máxima de cada cobertura del suelo se calcula aplicando al máximo de la curva mensual de LAI de la </w:t>
      </w:r>
      <w:r>
        <w:fldChar w:fldCharType="begin"/>
      </w:r>
      <w:r>
        <w:instrText xml:space="preserve"> REF _Ref62467484 \h </w:instrText>
      </w:r>
      <w:r>
        <w:fldChar w:fldCharType="separate"/>
      </w:r>
      <w:r>
        <w:t xml:space="preserve">Figura </w:t>
      </w:r>
      <w:r>
        <w:rPr>
          <w:noProof/>
        </w:rPr>
        <w:t>6</w:t>
      </w:r>
      <w:r>
        <w:fldChar w:fldCharType="end"/>
      </w:r>
      <w:r>
        <w:t xml:space="preserve"> la ecuación de la </w:t>
      </w:r>
      <w:r>
        <w:fldChar w:fldCharType="begin"/>
      </w:r>
      <w:r>
        <w:instrText xml:space="preserve"> REF _Ref62465666 \h </w:instrText>
      </w:r>
      <w:r>
        <w:fldChar w:fldCharType="separate"/>
      </w:r>
      <w:r>
        <w:t xml:space="preserve">Tabla </w:t>
      </w:r>
      <w:r>
        <w:rPr>
          <w:noProof/>
        </w:rPr>
        <w:t>2</w:t>
      </w:r>
      <w:r>
        <w:fldChar w:fldCharType="end"/>
      </w:r>
      <w:r>
        <w:t xml:space="preserve"> para cultivos.</w:t>
      </w:r>
      <w:r w:rsidR="006247B2">
        <w:t xml:space="preserve"> Los resultados se muestran en la </w:t>
      </w:r>
      <w:r w:rsidR="006247B2">
        <w:fldChar w:fldCharType="begin"/>
      </w:r>
      <w:r w:rsidR="006247B2">
        <w:instrText xml:space="preserve"> REF _Ref62467791 \h </w:instrText>
      </w:r>
      <w:r w:rsidR="006247B2">
        <w:fldChar w:fldCharType="separate"/>
      </w:r>
      <w:r w:rsidR="006247B2">
        <w:t xml:space="preserve">Figura </w:t>
      </w:r>
      <w:r w:rsidR="006247B2">
        <w:rPr>
          <w:noProof/>
        </w:rPr>
        <w:t>7</w:t>
      </w:r>
      <w:r w:rsidR="006247B2">
        <w:fldChar w:fldCharType="end"/>
      </w:r>
      <w:r w:rsidR="006247B2">
        <w:t>, en donde se comparan los valores de la interceptación máxima anteriormente utilizados en TETIS con los ahora calculados a partir de los datos de LAI de MODIS.</w:t>
      </w:r>
    </w:p>
    <w:p w14:paraId="05F7C224" w14:textId="77777777" w:rsidR="00485454" w:rsidRDefault="00485454" w:rsidP="00485454">
      <w:pPr>
        <w:rPr>
          <w:rFonts w:ascii="Times New Roman" w:hAnsi="Times New Roman"/>
        </w:rPr>
      </w:pPr>
      <w:r>
        <w:t>La intercepción máxima es, por lo general, mayor en la estimación hecha a partir de los datos de MODIS que la utilizada en TETIS anteriormente. Solamente es menor para el matorral, en el que el LAI parece infravalorado, como se mencionó antes. Por el contrario, en las coníferas y en el pasto aumenta sensiblemente.</w:t>
      </w:r>
    </w:p>
    <w:p w14:paraId="2C5203F3" w14:textId="7AD7A2CB" w:rsidR="00485454" w:rsidRPr="00485454" w:rsidRDefault="00485454" w:rsidP="0029244B">
      <w:pPr>
        <w:rPr>
          <w:rFonts w:ascii="Times New Roman" w:hAnsi="Times New Roman"/>
        </w:rPr>
      </w:pPr>
      <w:r w:rsidRPr="006247B2">
        <w:t>Finalmente, he tomado los nuevos valores de intercepción máxima, pero intercambiando los valores del matorral y el pasto, de manera</w:t>
      </w:r>
      <w:r>
        <w:t xml:space="preserve"> que la del pasto sea menor que la de matorral.</w:t>
      </w:r>
    </w:p>
    <w:p w14:paraId="46F86DA2" w14:textId="18D96EDF" w:rsidR="00020D09" w:rsidRDefault="0029244B" w:rsidP="0029244B">
      <w:pPr>
        <w:pStyle w:val="Tablas"/>
        <w:jc w:val="center"/>
      </w:pPr>
      <w:r>
        <w:rPr>
          <w:noProof/>
        </w:rPr>
        <w:lastRenderedPageBreak/>
        <w:drawing>
          <wp:inline distT="0" distB="0" distL="0" distR="0" wp14:anchorId="5647D093" wp14:editId="7345E8B3">
            <wp:extent cx="5760000" cy="4649708"/>
            <wp:effectExtent l="0" t="0" r="0" b="0"/>
            <wp:docPr id="11" name="Imagen 1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Gráfico&#10;&#10;Descripción generada automáticamente"/>
                    <pic:cNvPicPr/>
                  </pic:nvPicPr>
                  <pic:blipFill rotWithShape="1">
                    <a:blip r:embed="rId17" cstate="print">
                      <a:extLst>
                        <a:ext uri="{28A0092B-C50C-407E-A947-70E740481C1C}">
                          <a14:useLocalDpi xmlns:a14="http://schemas.microsoft.com/office/drawing/2010/main" val="0"/>
                        </a:ext>
                      </a:extLst>
                    </a:blip>
                    <a:srcRect l="9362" t="9642" r="9042" b="10374"/>
                    <a:stretch/>
                  </pic:blipFill>
                  <pic:spPr bwMode="auto">
                    <a:xfrm>
                      <a:off x="0" y="0"/>
                      <a:ext cx="5760000" cy="4649708"/>
                    </a:xfrm>
                    <a:prstGeom prst="rect">
                      <a:avLst/>
                    </a:prstGeom>
                    <a:ln>
                      <a:noFill/>
                    </a:ln>
                    <a:extLst>
                      <a:ext uri="{53640926-AAD7-44D8-BBD7-CCE9431645EC}">
                        <a14:shadowObscured xmlns:a14="http://schemas.microsoft.com/office/drawing/2010/main"/>
                      </a:ext>
                    </a:extLst>
                  </pic:spPr>
                </pic:pic>
              </a:graphicData>
            </a:graphic>
          </wp:inline>
        </w:drawing>
      </w:r>
    </w:p>
    <w:p w14:paraId="46139F43" w14:textId="53C03DEA" w:rsidR="00921BE0" w:rsidRDefault="00921BE0" w:rsidP="00921BE0">
      <w:pPr>
        <w:pStyle w:val="Descripcin"/>
      </w:pPr>
      <w:bookmarkStart w:id="29" w:name="_Ref62467484"/>
      <w:r>
        <w:t xml:space="preserve">Figura </w:t>
      </w:r>
      <w:r w:rsidR="0082690A">
        <w:fldChar w:fldCharType="begin"/>
      </w:r>
      <w:r w:rsidR="0082690A">
        <w:instrText xml:space="preserve"> SEQ Figura \* ARABIC </w:instrText>
      </w:r>
      <w:r w:rsidR="0082690A">
        <w:fldChar w:fldCharType="separate"/>
      </w:r>
      <w:r w:rsidR="003A0D12">
        <w:rPr>
          <w:noProof/>
        </w:rPr>
        <w:t>6</w:t>
      </w:r>
      <w:r w:rsidR="0082690A">
        <w:rPr>
          <w:noProof/>
        </w:rPr>
        <w:fldChar w:fldCharType="end"/>
      </w:r>
      <w:bookmarkEnd w:id="29"/>
      <w:r>
        <w:t xml:space="preserve">. Media mensual del LAI observado por MODIS para cada una de las coberturas de suelo comparada con la media areal de la cuenca. </w:t>
      </w:r>
      <w:r w:rsidR="00485454">
        <w:t>Verde claro: una celda; verde oscuro: media de la clase de cobertura.</w:t>
      </w:r>
    </w:p>
    <w:p w14:paraId="31A23E17" w14:textId="2592C61D" w:rsidR="00921BE0" w:rsidRDefault="00921BE0" w:rsidP="00921BE0">
      <w:r>
        <w:rPr>
          <w:noProof/>
        </w:rPr>
        <w:drawing>
          <wp:inline distT="0" distB="0" distL="0" distR="0" wp14:anchorId="59FB41AB" wp14:editId="171319CF">
            <wp:extent cx="4989170" cy="2112491"/>
            <wp:effectExtent l="0" t="0" r="2540" b="2540"/>
            <wp:docPr id="21" name="Imagen 2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dispersión&#10;&#10;Descripción generada automáticamente"/>
                    <pic:cNvPicPr/>
                  </pic:nvPicPr>
                  <pic:blipFill rotWithShape="1">
                    <a:blip r:embed="rId18" cstate="print">
                      <a:extLst>
                        <a:ext uri="{28A0092B-C50C-407E-A947-70E740481C1C}">
                          <a14:useLocalDpi xmlns:a14="http://schemas.microsoft.com/office/drawing/2010/main" val="0"/>
                        </a:ext>
                      </a:extLst>
                    </a:blip>
                    <a:srcRect l="5873" t="9713" r="8838"/>
                    <a:stretch/>
                  </pic:blipFill>
                  <pic:spPr bwMode="auto">
                    <a:xfrm>
                      <a:off x="0" y="0"/>
                      <a:ext cx="4989655" cy="2112696"/>
                    </a:xfrm>
                    <a:prstGeom prst="rect">
                      <a:avLst/>
                    </a:prstGeom>
                    <a:ln>
                      <a:noFill/>
                    </a:ln>
                    <a:extLst>
                      <a:ext uri="{53640926-AAD7-44D8-BBD7-CCE9431645EC}">
                        <a14:shadowObscured xmlns:a14="http://schemas.microsoft.com/office/drawing/2010/main"/>
                      </a:ext>
                    </a:extLst>
                  </pic:spPr>
                </pic:pic>
              </a:graphicData>
            </a:graphic>
          </wp:inline>
        </w:drawing>
      </w:r>
    </w:p>
    <w:p w14:paraId="6FBBE173" w14:textId="23AF046D" w:rsidR="00921BE0" w:rsidRDefault="00921BE0" w:rsidP="00921BE0">
      <w:pPr>
        <w:pStyle w:val="Descripcin"/>
      </w:pPr>
      <w:bookmarkStart w:id="30" w:name="_Ref62467791"/>
      <w:r>
        <w:t xml:space="preserve">Figura </w:t>
      </w:r>
      <w:r w:rsidR="0082690A">
        <w:fldChar w:fldCharType="begin"/>
      </w:r>
      <w:r w:rsidR="0082690A">
        <w:instrText xml:space="preserve"> SEQ Figura </w:instrText>
      </w:r>
      <w:r w:rsidR="0082690A">
        <w:instrText xml:space="preserve">\* ARABIC </w:instrText>
      </w:r>
      <w:r w:rsidR="0082690A">
        <w:fldChar w:fldCharType="separate"/>
      </w:r>
      <w:r w:rsidR="003A0D12">
        <w:rPr>
          <w:noProof/>
        </w:rPr>
        <w:t>7</w:t>
      </w:r>
      <w:r w:rsidR="0082690A">
        <w:rPr>
          <w:noProof/>
        </w:rPr>
        <w:fldChar w:fldCharType="end"/>
      </w:r>
      <w:bookmarkEnd w:id="30"/>
      <w:r>
        <w:t>. Interceptación máxima de 5 clases de uso del suelo. Se comparan los valores calculados con la metodología aquí presentada (MODIS) frente a los utilizados en TETIS.</w:t>
      </w:r>
    </w:p>
    <w:p w14:paraId="311A9A55" w14:textId="22A3FFAA" w:rsidR="001B5EAC" w:rsidRDefault="006247B2" w:rsidP="006247B2">
      <w:pPr>
        <w:pStyle w:val="Ttulo2"/>
      </w:pPr>
      <w:bookmarkStart w:id="31" w:name="_Toc101721394"/>
      <w:r>
        <w:t>Calibración de los hiperparámetros de TETIS</w:t>
      </w:r>
      <w:bookmarkEnd w:id="31"/>
    </w:p>
    <w:p w14:paraId="0893EE0F" w14:textId="26EFF5E9" w:rsidR="005436EF" w:rsidRPr="005436EF" w:rsidRDefault="005436EF" w:rsidP="005436EF">
      <w:r>
        <w:t>En base a la sensibilidad de los parámetros (</w:t>
      </w:r>
      <w:r>
        <w:fldChar w:fldCharType="begin"/>
      </w:r>
      <w:r>
        <w:instrText xml:space="preserve"> REF _Ref62474068 \h </w:instrText>
      </w:r>
      <w:r>
        <w:fldChar w:fldCharType="separate"/>
      </w:r>
      <w:r>
        <w:t xml:space="preserve">Figura </w:t>
      </w:r>
      <w:r>
        <w:rPr>
          <w:noProof/>
        </w:rPr>
        <w:t>8</w:t>
      </w:r>
      <w:r>
        <w:fldChar w:fldCharType="end"/>
      </w:r>
      <w:r>
        <w:t xml:space="preserve">), </w:t>
      </w:r>
      <w:commentRangeStart w:id="32"/>
      <w:r>
        <w:t>la calibración no afecta apenas al rendimiento en la simulación de la ET</w:t>
      </w:r>
      <w:commentRangeEnd w:id="32"/>
      <w:r w:rsidR="00B611FA">
        <w:rPr>
          <w:rStyle w:val="Refdecomentario"/>
        </w:rPr>
        <w:commentReference w:id="32"/>
      </w:r>
      <w:r>
        <w:t>. Para cualquier combinación de los tres parámetros, el rendimiento es prácticamente idéntico.</w:t>
      </w:r>
      <w:r w:rsidR="001D7ABA">
        <w:t xml:space="preserve"> La parametrización óptima se muestra en la </w:t>
      </w:r>
      <w:r w:rsidR="001D7ABA">
        <w:fldChar w:fldCharType="begin"/>
      </w:r>
      <w:r w:rsidR="001D7ABA">
        <w:instrText xml:space="preserve"> REF _Ref62465967 \h </w:instrText>
      </w:r>
      <w:r w:rsidR="001D7ABA">
        <w:fldChar w:fldCharType="separate"/>
      </w:r>
      <w:r w:rsidR="001D7ABA">
        <w:t xml:space="preserve">Tabla </w:t>
      </w:r>
      <w:r w:rsidR="001D7ABA">
        <w:rPr>
          <w:noProof/>
        </w:rPr>
        <w:t>3</w:t>
      </w:r>
      <w:r w:rsidR="001D7ABA">
        <w:fldChar w:fldCharType="end"/>
      </w:r>
      <w:r w:rsidR="001D7ABA">
        <w:t>.</w:t>
      </w:r>
    </w:p>
    <w:p w14:paraId="3CC1F982" w14:textId="7B93CD18" w:rsidR="003A0D12" w:rsidRDefault="003A0D12" w:rsidP="003A0D12">
      <w:r>
        <w:rPr>
          <w:noProof/>
        </w:rPr>
        <w:lastRenderedPageBreak/>
        <w:drawing>
          <wp:inline distT="0" distB="0" distL="0" distR="0" wp14:anchorId="70301178" wp14:editId="673BDC83">
            <wp:extent cx="5850255" cy="2122805"/>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0255" cy="2122805"/>
                    </a:xfrm>
                    <a:prstGeom prst="rect">
                      <a:avLst/>
                    </a:prstGeom>
                  </pic:spPr>
                </pic:pic>
              </a:graphicData>
            </a:graphic>
          </wp:inline>
        </w:drawing>
      </w:r>
    </w:p>
    <w:p w14:paraId="5C86F8D3" w14:textId="2B435447" w:rsidR="003A0D12" w:rsidRDefault="003A0D12" w:rsidP="003A0D12">
      <w:pPr>
        <w:pStyle w:val="Descripcin"/>
      </w:pPr>
      <w:bookmarkStart w:id="33" w:name="_Ref62474068"/>
      <w:r>
        <w:t xml:space="preserve">Figura </w:t>
      </w:r>
      <w:r w:rsidR="0082690A">
        <w:fldChar w:fldCharType="begin"/>
      </w:r>
      <w:r w:rsidR="0082690A">
        <w:instrText xml:space="preserve"> SEQ Figura \* ARABIC </w:instrText>
      </w:r>
      <w:r w:rsidR="0082690A">
        <w:fldChar w:fldCharType="separate"/>
      </w:r>
      <w:r>
        <w:rPr>
          <w:noProof/>
        </w:rPr>
        <w:t>8</w:t>
      </w:r>
      <w:r w:rsidR="0082690A">
        <w:rPr>
          <w:noProof/>
        </w:rPr>
        <w:fldChar w:fldCharType="end"/>
      </w:r>
      <w:bookmarkEnd w:id="33"/>
      <w:r>
        <w:t>. Sensibilidad de los parámetros en la calibración de la evapotranspiración mediante SCEUA.</w:t>
      </w:r>
    </w:p>
    <w:p w14:paraId="5104F69E" w14:textId="7737548D" w:rsidR="005436EF" w:rsidRPr="005436EF" w:rsidRDefault="005436EF" w:rsidP="005436EF">
      <w:r>
        <w:t>En cualquier caso, el rendimiento en la simulación de la serie mensual de evapotranspiración es muy al</w:t>
      </w:r>
      <w:r w:rsidR="00B611FA">
        <w:t>to</w:t>
      </w:r>
      <w:r>
        <w:t xml:space="preserve"> (</w:t>
      </w:r>
      <w:r>
        <w:fldChar w:fldCharType="begin"/>
      </w:r>
      <w:r>
        <w:instrText xml:space="preserve"> REF _Ref62474172 \h </w:instrText>
      </w:r>
      <w:r>
        <w:fldChar w:fldCharType="separate"/>
      </w:r>
      <w:r>
        <w:t xml:space="preserve">Figura </w:t>
      </w:r>
      <w:r>
        <w:rPr>
          <w:noProof/>
        </w:rPr>
        <w:t>9</w:t>
      </w:r>
      <w:r>
        <w:fldChar w:fldCharType="end"/>
      </w:r>
      <w:r>
        <w:t>). Para el periodo de calibración se obtiene un NSE de 0.92 y para el periodo de validación de 0.88.</w:t>
      </w:r>
    </w:p>
    <w:p w14:paraId="0AC6FF8F" w14:textId="643422DA" w:rsidR="00921BE0" w:rsidRDefault="003A0D12" w:rsidP="003A0D12">
      <w:pPr>
        <w:pStyle w:val="Tablas"/>
        <w:jc w:val="center"/>
      </w:pPr>
      <w:r>
        <w:rPr>
          <w:noProof/>
        </w:rPr>
        <w:drawing>
          <wp:inline distT="0" distB="0" distL="0" distR="0" wp14:anchorId="3F29FAAF" wp14:editId="6486011D">
            <wp:extent cx="5760000" cy="176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1760000"/>
                    </a:xfrm>
                    <a:prstGeom prst="rect">
                      <a:avLst/>
                    </a:prstGeom>
                  </pic:spPr>
                </pic:pic>
              </a:graphicData>
            </a:graphic>
          </wp:inline>
        </w:drawing>
      </w:r>
    </w:p>
    <w:p w14:paraId="6341A695" w14:textId="1E59E2D9" w:rsidR="00B10CB3" w:rsidRPr="003A59F8" w:rsidRDefault="003A0D12" w:rsidP="005436EF">
      <w:pPr>
        <w:pStyle w:val="Descripcin"/>
      </w:pPr>
      <w:bookmarkStart w:id="34" w:name="_Ref62474172"/>
      <w:r>
        <w:t xml:space="preserve">Figura </w:t>
      </w:r>
      <w:r w:rsidR="0082690A">
        <w:fldChar w:fldCharType="begin"/>
      </w:r>
      <w:r w:rsidR="0082690A">
        <w:instrText xml:space="preserve"> SEQ Figura \* ARABIC </w:instrText>
      </w:r>
      <w:r w:rsidR="0082690A">
        <w:fldChar w:fldCharType="separate"/>
      </w:r>
      <w:r>
        <w:rPr>
          <w:noProof/>
        </w:rPr>
        <w:t>9</w:t>
      </w:r>
      <w:r w:rsidR="0082690A">
        <w:rPr>
          <w:noProof/>
        </w:rPr>
        <w:fldChar w:fldCharType="end"/>
      </w:r>
      <w:bookmarkEnd w:id="34"/>
      <w:r>
        <w:t>. Evapotranspiración mensual simulada en los periodos de calibración (azul) y validación (verde). Se compara frente a la observación de MODIS (puntos negros) para calcular el rendimiento.</w:t>
      </w:r>
    </w:p>
    <w:sectPr w:rsidR="00B10CB3" w:rsidRPr="003A59F8" w:rsidSect="007F16EF">
      <w:footerReference w:type="default" r:id="rId21"/>
      <w:pgSz w:w="11906" w:h="16838"/>
      <w:pgMar w:top="1134" w:right="1133" w:bottom="1135" w:left="15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sús Casado Rodríguez" w:date="2022-04-24T19:37:00Z" w:initials="JCR">
    <w:p w14:paraId="0051A1F8" w14:textId="7059B000" w:rsidR="00A11010" w:rsidRDefault="00A11010">
      <w:pPr>
        <w:pStyle w:val="Textocomentario"/>
      </w:pPr>
      <w:r>
        <w:rPr>
          <w:rStyle w:val="Refdecomentario"/>
        </w:rPr>
        <w:annotationRef/>
      </w:r>
      <w:r>
        <w:t>Lo dicho en el documento de calibración de la nieve. El caudal observado en las estaciones del Deva no es fiable; si se quiere hacer algo con el caudal, lo ideal sería hacerlo en otra cuenca como el Sella</w:t>
      </w:r>
    </w:p>
  </w:comment>
  <w:comment w:id="8" w:author="Jesús Casado Rodríguez" w:date="2022-04-24T19:42:00Z" w:initials="JCR">
    <w:p w14:paraId="3BC1E69D" w14:textId="28E9BD44" w:rsidR="00A11010" w:rsidRDefault="00A11010">
      <w:pPr>
        <w:pStyle w:val="Textocomentario"/>
      </w:pPr>
      <w:r>
        <w:rPr>
          <w:rStyle w:val="Refdecomentario"/>
        </w:rPr>
        <w:annotationRef/>
      </w:r>
      <w:r>
        <w:t>Al igual que comenté en la calibración de la nieve, quizá convendría utilizar Spain02 para que sea una base de datos climáticos ampliamente aceptada y que no den problemas a la hora de publicar</w:t>
      </w:r>
      <w:r w:rsidR="001B1AC2">
        <w:t>.</w:t>
      </w:r>
      <w:r w:rsidR="001B1AC2">
        <w:br/>
        <w:t>O SPREAD/STEAD</w:t>
      </w:r>
    </w:p>
  </w:comment>
  <w:comment w:id="9" w:author="Jesús Casado Rodríguez" w:date="2022-04-24T19:47:00Z" w:initials="JCR">
    <w:p w14:paraId="2A0EA5E8" w14:textId="7DE515ED" w:rsidR="001B1AC2" w:rsidRDefault="001B1AC2">
      <w:pPr>
        <w:pStyle w:val="Textocomentario"/>
      </w:pPr>
      <w:r>
        <w:rPr>
          <w:rStyle w:val="Refdecomentario"/>
        </w:rPr>
        <w:annotationRef/>
      </w:r>
      <w:r>
        <w:t>Al igual que antes, quizá convendría utilizar una base de datos ya publicada como la de Tomas-Bruguera et al. (Earth System Sience Data, 2019)</w:t>
      </w:r>
    </w:p>
  </w:comment>
  <w:comment w:id="13" w:author="Jesús Casado Rodríguez" w:date="2022-04-24T19:51:00Z" w:initials="JCR">
    <w:p w14:paraId="60BCC888" w14:textId="1C52B776" w:rsidR="00B17A2B" w:rsidRDefault="00B17A2B">
      <w:pPr>
        <w:pStyle w:val="Textocomentario"/>
      </w:pPr>
      <w:r>
        <w:rPr>
          <w:rStyle w:val="Refdecomentario"/>
        </w:rPr>
        <w:annotationRef/>
      </w:r>
      <w:r>
        <w:t>Hasta el momento, nunca he utilizado la humedad óptima en TETIS</w:t>
      </w:r>
    </w:p>
  </w:comment>
  <w:comment w:id="19" w:author="Jesús Casado Rodríguez" w:date="2022-04-24T20:01:00Z" w:initials="JCR">
    <w:p w14:paraId="564FB571" w14:textId="03060B19" w:rsidR="00A16A6C" w:rsidRDefault="00A16A6C">
      <w:pPr>
        <w:pStyle w:val="Textocomentario"/>
      </w:pPr>
      <w:r>
        <w:rPr>
          <w:rStyle w:val="Refdecomentario"/>
        </w:rPr>
        <w:annotationRef/>
      </w:r>
      <w:r>
        <w:t>Me surge la duda de por qué esta calibración la hice con datos mensuales y la de la nieve a 8 días.</w:t>
      </w:r>
      <w:r>
        <w:br/>
      </w:r>
      <w:r>
        <w:br/>
        <w:t>PENSAR QUE SENTIDO TIENE</w:t>
      </w:r>
    </w:p>
  </w:comment>
  <w:comment w:id="20" w:author="Jesús Casado Rodríguez" w:date="2022-04-24T20:02:00Z" w:initials="JCR">
    <w:p w14:paraId="19E4730F" w14:textId="547E8D28" w:rsidR="00A16A6C" w:rsidRDefault="00A16A6C">
      <w:pPr>
        <w:pStyle w:val="Textocomentario"/>
      </w:pPr>
      <w:r>
        <w:rPr>
          <w:rStyle w:val="Refdecomentario"/>
        </w:rPr>
        <w:annotationRef/>
      </w:r>
      <w:r>
        <w:t>¿Por qué son distintas fechas a las de la calibración de la nieve?</w:t>
      </w:r>
    </w:p>
  </w:comment>
  <w:comment w:id="32" w:author="Jesús Casado Rodríguez" w:date="2022-04-24T20:10:00Z" w:initials="JCR">
    <w:p w14:paraId="52B3B74D" w14:textId="6E7BBBE7" w:rsidR="00B611FA" w:rsidRDefault="00B611FA">
      <w:pPr>
        <w:pStyle w:val="Textocomentario"/>
      </w:pPr>
      <w:r>
        <w:rPr>
          <w:rStyle w:val="Refdecomentario"/>
        </w:rPr>
        <w:annotationRef/>
      </w:r>
      <w:r>
        <w:t>Esto es rarísimo. Según la formulación, la ETreal es lineal con el valor de FC2. No es normal que ese parámetro sea insensible.</w:t>
      </w:r>
      <w:r>
        <w:br/>
      </w:r>
      <w:r>
        <w:br/>
        <w:t>ESTO HAY QUE REVISARLO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1A1F8" w15:done="0"/>
  <w15:commentEx w15:paraId="3BC1E69D" w15:done="0"/>
  <w15:commentEx w15:paraId="2A0EA5E8" w15:done="0"/>
  <w15:commentEx w15:paraId="60BCC888" w15:done="0"/>
  <w15:commentEx w15:paraId="564FB571" w15:done="0"/>
  <w15:commentEx w15:paraId="19E4730F" w15:done="0"/>
  <w15:commentEx w15:paraId="52B3B7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0258B" w16cex:dateUtc="2022-04-24T17:37:00Z"/>
  <w16cex:commentExtensible w16cex:durableId="2610269A" w16cex:dateUtc="2022-04-24T17:42:00Z"/>
  <w16cex:commentExtensible w16cex:durableId="261027CC" w16cex:dateUtc="2022-04-24T17:47:00Z"/>
  <w16cex:commentExtensible w16cex:durableId="261028D3" w16cex:dateUtc="2022-04-24T17:51:00Z"/>
  <w16cex:commentExtensible w16cex:durableId="26102B26" w16cex:dateUtc="2022-04-24T18:01:00Z"/>
  <w16cex:commentExtensible w16cex:durableId="26102B53" w16cex:dateUtc="2022-04-24T18:02:00Z"/>
  <w16cex:commentExtensible w16cex:durableId="26102D1D" w16cex:dateUtc="2022-04-2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1A1F8" w16cid:durableId="2610258B"/>
  <w16cid:commentId w16cid:paraId="3BC1E69D" w16cid:durableId="2610269A"/>
  <w16cid:commentId w16cid:paraId="2A0EA5E8" w16cid:durableId="261027CC"/>
  <w16cid:commentId w16cid:paraId="60BCC888" w16cid:durableId="261028D3"/>
  <w16cid:commentId w16cid:paraId="564FB571" w16cid:durableId="26102B26"/>
  <w16cid:commentId w16cid:paraId="19E4730F" w16cid:durableId="26102B53"/>
  <w16cid:commentId w16cid:paraId="52B3B74D" w16cid:durableId="26102D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49E52" w14:textId="77777777" w:rsidR="0082690A" w:rsidRDefault="0082690A" w:rsidP="00CF219F">
      <w:pPr>
        <w:spacing w:after="0" w:line="240" w:lineRule="auto"/>
      </w:pPr>
      <w:r>
        <w:separator/>
      </w:r>
    </w:p>
  </w:endnote>
  <w:endnote w:type="continuationSeparator" w:id="0">
    <w:p w14:paraId="448C9A22" w14:textId="77777777" w:rsidR="0082690A" w:rsidRDefault="0082690A" w:rsidP="00CF2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602"/>
    </w:tblGrid>
    <w:tr w:rsidR="001C2567" w14:paraId="5AE211DC" w14:textId="77777777" w:rsidTr="00CF219F">
      <w:tc>
        <w:tcPr>
          <w:tcW w:w="4601" w:type="dxa"/>
        </w:tcPr>
        <w:p w14:paraId="15DAED13" w14:textId="77777777" w:rsidR="001C2567" w:rsidRDefault="001C2567" w:rsidP="00CF219F">
          <w:pPr>
            <w:pStyle w:val="Tablas"/>
          </w:pPr>
        </w:p>
      </w:tc>
      <w:tc>
        <w:tcPr>
          <w:tcW w:w="4602" w:type="dxa"/>
        </w:tcPr>
        <w:p w14:paraId="0AC5A1EF" w14:textId="77777777" w:rsidR="001C2567" w:rsidRDefault="001C2567" w:rsidP="00CF219F">
          <w:pPr>
            <w:pStyle w:val="Tablas"/>
            <w:jc w:val="right"/>
          </w:pPr>
          <w:r>
            <w:fldChar w:fldCharType="begin"/>
          </w:r>
          <w:r>
            <w:instrText>PAGE   \* MERGEFORMAT</w:instrText>
          </w:r>
          <w:r>
            <w:fldChar w:fldCharType="separate"/>
          </w:r>
          <w:r>
            <w:rPr>
              <w:noProof/>
            </w:rPr>
            <w:t>6</w:t>
          </w:r>
          <w:r>
            <w:fldChar w:fldCharType="end"/>
          </w:r>
        </w:p>
      </w:tc>
    </w:tr>
  </w:tbl>
  <w:p w14:paraId="2DD3FC11" w14:textId="77777777" w:rsidR="001C2567" w:rsidRPr="00061BB1" w:rsidRDefault="001C2567" w:rsidP="00061BB1">
    <w:pPr>
      <w:pStyle w:val="Tablas"/>
      <w:rPr>
        <w:sz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5A830" w14:textId="77777777" w:rsidR="0082690A" w:rsidRDefault="0082690A" w:rsidP="00CF219F">
      <w:pPr>
        <w:spacing w:after="0" w:line="240" w:lineRule="auto"/>
      </w:pPr>
      <w:r>
        <w:separator/>
      </w:r>
    </w:p>
  </w:footnote>
  <w:footnote w:type="continuationSeparator" w:id="0">
    <w:p w14:paraId="12C647DA" w14:textId="77777777" w:rsidR="0082690A" w:rsidRDefault="0082690A" w:rsidP="00CF2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561"/>
    <w:multiLevelType w:val="hybridMultilevel"/>
    <w:tmpl w:val="838E736A"/>
    <w:lvl w:ilvl="0" w:tplc="0C0A000F">
      <w:start w:val="1"/>
      <w:numFmt w:val="decimal"/>
      <w:lvlText w:val="%1."/>
      <w:lvlJc w:val="left"/>
      <w:pPr>
        <w:ind w:left="720" w:hanging="360"/>
      </w:pPr>
    </w:lvl>
    <w:lvl w:ilvl="1" w:tplc="2D6E2B34">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AA72CC"/>
    <w:multiLevelType w:val="hybridMultilevel"/>
    <w:tmpl w:val="C20E38C0"/>
    <w:lvl w:ilvl="0" w:tplc="0C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4A60CA"/>
    <w:multiLevelType w:val="hybridMultilevel"/>
    <w:tmpl w:val="D8B41DD4"/>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B10D88"/>
    <w:multiLevelType w:val="hybridMultilevel"/>
    <w:tmpl w:val="FC2CD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D74FC"/>
    <w:multiLevelType w:val="hybridMultilevel"/>
    <w:tmpl w:val="F0E892CA"/>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80562"/>
    <w:multiLevelType w:val="hybridMultilevel"/>
    <w:tmpl w:val="FC2CD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127FD2"/>
    <w:multiLevelType w:val="hybridMultilevel"/>
    <w:tmpl w:val="E1F05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1F082C"/>
    <w:multiLevelType w:val="hybridMultilevel"/>
    <w:tmpl w:val="438CC9CC"/>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CB7688"/>
    <w:multiLevelType w:val="hybridMultilevel"/>
    <w:tmpl w:val="00A2BC58"/>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83552F"/>
    <w:multiLevelType w:val="hybridMultilevel"/>
    <w:tmpl w:val="4516C1C4"/>
    <w:lvl w:ilvl="0" w:tplc="74F67070">
      <w:start w:val="1"/>
      <w:numFmt w:val="bullet"/>
      <w:lvlText w:val="⁻"/>
      <w:lvlJc w:val="left"/>
      <w:pPr>
        <w:ind w:left="720" w:hanging="360"/>
      </w:pPr>
      <w:rPr>
        <w:rFonts w:ascii="Corbel" w:hAnsi="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26975"/>
    <w:multiLevelType w:val="hybridMultilevel"/>
    <w:tmpl w:val="D8B41DD4"/>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B474B1"/>
    <w:multiLevelType w:val="hybridMultilevel"/>
    <w:tmpl w:val="FC2CD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F06FC4"/>
    <w:multiLevelType w:val="hybridMultilevel"/>
    <w:tmpl w:val="07D822F4"/>
    <w:lvl w:ilvl="0" w:tplc="7CC2890E">
      <w:start w:val="1"/>
      <w:numFmt w:val="bullet"/>
      <w:lvlText w:val="–"/>
      <w:lvlJc w:val="left"/>
      <w:pPr>
        <w:ind w:left="720" w:hanging="360"/>
      </w:pPr>
      <w:rPr>
        <w:rFonts w:ascii="Arial" w:hAnsi="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058147C"/>
    <w:multiLevelType w:val="hybridMultilevel"/>
    <w:tmpl w:val="FC2CD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2375FC0"/>
    <w:multiLevelType w:val="hybridMultilevel"/>
    <w:tmpl w:val="F0E892CA"/>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A1E2D"/>
    <w:multiLevelType w:val="hybridMultilevel"/>
    <w:tmpl w:val="A732C6CA"/>
    <w:lvl w:ilvl="0" w:tplc="437A11DC">
      <w:start w:val="1"/>
      <w:numFmt w:val="lowerLetter"/>
      <w:lvlText w:val="%1)"/>
      <w:lvlJc w:val="left"/>
      <w:pPr>
        <w:ind w:left="247" w:hanging="360"/>
      </w:pPr>
      <w:rPr>
        <w:rFonts w:hint="default"/>
      </w:rPr>
    </w:lvl>
    <w:lvl w:ilvl="1" w:tplc="0C0A0019" w:tentative="1">
      <w:start w:val="1"/>
      <w:numFmt w:val="lowerLetter"/>
      <w:lvlText w:val="%2."/>
      <w:lvlJc w:val="left"/>
      <w:pPr>
        <w:ind w:left="967" w:hanging="360"/>
      </w:pPr>
    </w:lvl>
    <w:lvl w:ilvl="2" w:tplc="0C0A001B" w:tentative="1">
      <w:start w:val="1"/>
      <w:numFmt w:val="lowerRoman"/>
      <w:lvlText w:val="%3."/>
      <w:lvlJc w:val="right"/>
      <w:pPr>
        <w:ind w:left="1687" w:hanging="180"/>
      </w:pPr>
    </w:lvl>
    <w:lvl w:ilvl="3" w:tplc="0C0A000F" w:tentative="1">
      <w:start w:val="1"/>
      <w:numFmt w:val="decimal"/>
      <w:lvlText w:val="%4."/>
      <w:lvlJc w:val="left"/>
      <w:pPr>
        <w:ind w:left="2407" w:hanging="360"/>
      </w:pPr>
    </w:lvl>
    <w:lvl w:ilvl="4" w:tplc="0C0A0019" w:tentative="1">
      <w:start w:val="1"/>
      <w:numFmt w:val="lowerLetter"/>
      <w:lvlText w:val="%5."/>
      <w:lvlJc w:val="left"/>
      <w:pPr>
        <w:ind w:left="3127" w:hanging="360"/>
      </w:pPr>
    </w:lvl>
    <w:lvl w:ilvl="5" w:tplc="0C0A001B" w:tentative="1">
      <w:start w:val="1"/>
      <w:numFmt w:val="lowerRoman"/>
      <w:lvlText w:val="%6."/>
      <w:lvlJc w:val="right"/>
      <w:pPr>
        <w:ind w:left="3847" w:hanging="180"/>
      </w:pPr>
    </w:lvl>
    <w:lvl w:ilvl="6" w:tplc="0C0A000F" w:tentative="1">
      <w:start w:val="1"/>
      <w:numFmt w:val="decimal"/>
      <w:lvlText w:val="%7."/>
      <w:lvlJc w:val="left"/>
      <w:pPr>
        <w:ind w:left="4567" w:hanging="360"/>
      </w:pPr>
    </w:lvl>
    <w:lvl w:ilvl="7" w:tplc="0C0A0019" w:tentative="1">
      <w:start w:val="1"/>
      <w:numFmt w:val="lowerLetter"/>
      <w:lvlText w:val="%8."/>
      <w:lvlJc w:val="left"/>
      <w:pPr>
        <w:ind w:left="5287" w:hanging="360"/>
      </w:pPr>
    </w:lvl>
    <w:lvl w:ilvl="8" w:tplc="0C0A001B" w:tentative="1">
      <w:start w:val="1"/>
      <w:numFmt w:val="lowerRoman"/>
      <w:lvlText w:val="%9."/>
      <w:lvlJc w:val="right"/>
      <w:pPr>
        <w:ind w:left="6007" w:hanging="180"/>
      </w:pPr>
    </w:lvl>
  </w:abstractNum>
  <w:abstractNum w:abstractNumId="16" w15:restartNumberingAfterBreak="0">
    <w:nsid w:val="24A80A15"/>
    <w:multiLevelType w:val="hybridMultilevel"/>
    <w:tmpl w:val="9662D6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8ED557B"/>
    <w:multiLevelType w:val="hybridMultilevel"/>
    <w:tmpl w:val="9662D6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CA03B0C"/>
    <w:multiLevelType w:val="multilevel"/>
    <w:tmpl w:val="B7BC286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19425BC"/>
    <w:multiLevelType w:val="hybridMultilevel"/>
    <w:tmpl w:val="D186AB22"/>
    <w:lvl w:ilvl="0" w:tplc="0C0A000F">
      <w:start w:val="1"/>
      <w:numFmt w:val="decimal"/>
      <w:lvlText w:val="%1."/>
      <w:lvlJc w:val="left"/>
      <w:pPr>
        <w:ind w:left="797" w:hanging="360"/>
      </w:pPr>
    </w:lvl>
    <w:lvl w:ilvl="1" w:tplc="08090019" w:tentative="1">
      <w:start w:val="1"/>
      <w:numFmt w:val="lowerLetter"/>
      <w:lvlText w:val="%2."/>
      <w:lvlJc w:val="left"/>
      <w:pPr>
        <w:ind w:left="1517" w:hanging="360"/>
      </w:pPr>
    </w:lvl>
    <w:lvl w:ilvl="2" w:tplc="0809001B" w:tentative="1">
      <w:start w:val="1"/>
      <w:numFmt w:val="lowerRoman"/>
      <w:lvlText w:val="%3."/>
      <w:lvlJc w:val="right"/>
      <w:pPr>
        <w:ind w:left="2237" w:hanging="180"/>
      </w:pPr>
    </w:lvl>
    <w:lvl w:ilvl="3" w:tplc="0809000F" w:tentative="1">
      <w:start w:val="1"/>
      <w:numFmt w:val="decimal"/>
      <w:lvlText w:val="%4."/>
      <w:lvlJc w:val="left"/>
      <w:pPr>
        <w:ind w:left="2957" w:hanging="360"/>
      </w:pPr>
    </w:lvl>
    <w:lvl w:ilvl="4" w:tplc="08090019" w:tentative="1">
      <w:start w:val="1"/>
      <w:numFmt w:val="lowerLetter"/>
      <w:lvlText w:val="%5."/>
      <w:lvlJc w:val="left"/>
      <w:pPr>
        <w:ind w:left="3677" w:hanging="360"/>
      </w:pPr>
    </w:lvl>
    <w:lvl w:ilvl="5" w:tplc="0809001B" w:tentative="1">
      <w:start w:val="1"/>
      <w:numFmt w:val="lowerRoman"/>
      <w:lvlText w:val="%6."/>
      <w:lvlJc w:val="right"/>
      <w:pPr>
        <w:ind w:left="4397" w:hanging="180"/>
      </w:pPr>
    </w:lvl>
    <w:lvl w:ilvl="6" w:tplc="0809000F" w:tentative="1">
      <w:start w:val="1"/>
      <w:numFmt w:val="decimal"/>
      <w:lvlText w:val="%7."/>
      <w:lvlJc w:val="left"/>
      <w:pPr>
        <w:ind w:left="5117" w:hanging="360"/>
      </w:pPr>
    </w:lvl>
    <w:lvl w:ilvl="7" w:tplc="08090019" w:tentative="1">
      <w:start w:val="1"/>
      <w:numFmt w:val="lowerLetter"/>
      <w:lvlText w:val="%8."/>
      <w:lvlJc w:val="left"/>
      <w:pPr>
        <w:ind w:left="5837" w:hanging="360"/>
      </w:pPr>
    </w:lvl>
    <w:lvl w:ilvl="8" w:tplc="0809001B" w:tentative="1">
      <w:start w:val="1"/>
      <w:numFmt w:val="lowerRoman"/>
      <w:lvlText w:val="%9."/>
      <w:lvlJc w:val="right"/>
      <w:pPr>
        <w:ind w:left="6557" w:hanging="180"/>
      </w:pPr>
    </w:lvl>
  </w:abstractNum>
  <w:abstractNum w:abstractNumId="20" w15:restartNumberingAfterBreak="0">
    <w:nsid w:val="3A005BB1"/>
    <w:multiLevelType w:val="hybridMultilevel"/>
    <w:tmpl w:val="D214DC1E"/>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BF6208"/>
    <w:multiLevelType w:val="hybridMultilevel"/>
    <w:tmpl w:val="FC2CD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F14BDA"/>
    <w:multiLevelType w:val="hybridMultilevel"/>
    <w:tmpl w:val="52700EA6"/>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DA7316"/>
    <w:multiLevelType w:val="hybridMultilevel"/>
    <w:tmpl w:val="D8B41DD4"/>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2C43C9"/>
    <w:multiLevelType w:val="hybridMultilevel"/>
    <w:tmpl w:val="61C069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E456A02"/>
    <w:multiLevelType w:val="hybridMultilevel"/>
    <w:tmpl w:val="1A22F372"/>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1B7FEB"/>
    <w:multiLevelType w:val="hybridMultilevel"/>
    <w:tmpl w:val="7C402324"/>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320760"/>
    <w:multiLevelType w:val="hybridMultilevel"/>
    <w:tmpl w:val="264229DC"/>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805EC1"/>
    <w:multiLevelType w:val="hybridMultilevel"/>
    <w:tmpl w:val="D91ED3CC"/>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D485E47"/>
    <w:multiLevelType w:val="hybridMultilevel"/>
    <w:tmpl w:val="F0E892CA"/>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051DAA"/>
    <w:multiLevelType w:val="hybridMultilevel"/>
    <w:tmpl w:val="85162376"/>
    <w:lvl w:ilvl="0" w:tplc="74F67070">
      <w:start w:val="1"/>
      <w:numFmt w:val="bullet"/>
      <w:lvlText w:val="⁻"/>
      <w:lvlJc w:val="left"/>
      <w:pPr>
        <w:ind w:left="720" w:hanging="360"/>
      </w:pPr>
      <w:rPr>
        <w:rFonts w:ascii="Corbel" w:hAnsi="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9D7067"/>
    <w:multiLevelType w:val="hybridMultilevel"/>
    <w:tmpl w:val="E424C404"/>
    <w:lvl w:ilvl="0" w:tplc="74F67070">
      <w:start w:val="1"/>
      <w:numFmt w:val="bullet"/>
      <w:lvlText w:val="⁻"/>
      <w:lvlJc w:val="left"/>
      <w:pPr>
        <w:ind w:left="720" w:hanging="360"/>
      </w:pPr>
      <w:rPr>
        <w:rFonts w:ascii="Corbel" w:hAnsi="Corbe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475D9E"/>
    <w:multiLevelType w:val="hybridMultilevel"/>
    <w:tmpl w:val="A3BCEEF4"/>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66269B"/>
    <w:multiLevelType w:val="hybridMultilevel"/>
    <w:tmpl w:val="D214DC1E"/>
    <w:lvl w:ilvl="0" w:tplc="0C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62690E"/>
    <w:multiLevelType w:val="hybridMultilevel"/>
    <w:tmpl w:val="FC2CD5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29E61F5"/>
    <w:multiLevelType w:val="hybridMultilevel"/>
    <w:tmpl w:val="93B64F94"/>
    <w:lvl w:ilvl="0" w:tplc="74F67070">
      <w:start w:val="1"/>
      <w:numFmt w:val="bullet"/>
      <w:lvlText w:val="⁻"/>
      <w:lvlJc w:val="left"/>
      <w:pPr>
        <w:ind w:left="720" w:hanging="360"/>
      </w:pPr>
      <w:rPr>
        <w:rFonts w:ascii="Corbel" w:hAnsi="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612C8B"/>
    <w:multiLevelType w:val="hybridMultilevel"/>
    <w:tmpl w:val="7786B022"/>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FC74BC"/>
    <w:multiLevelType w:val="hybridMultilevel"/>
    <w:tmpl w:val="2A742CC0"/>
    <w:lvl w:ilvl="0" w:tplc="7CC2890E">
      <w:start w:val="1"/>
      <w:numFmt w:val="bullet"/>
      <w:lvlText w:val="–"/>
      <w:lvlJc w:val="left"/>
      <w:pPr>
        <w:ind w:left="720" w:hanging="360"/>
      </w:pPr>
      <w:rPr>
        <w:rFonts w:ascii="Arial" w:hAnsi="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7A1FD9"/>
    <w:multiLevelType w:val="hybridMultilevel"/>
    <w:tmpl w:val="119CD190"/>
    <w:lvl w:ilvl="0" w:tplc="7CC2890E">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91348027">
    <w:abstractNumId w:val="18"/>
  </w:num>
  <w:num w:numId="2" w16cid:durableId="1797214644">
    <w:abstractNumId w:val="24"/>
  </w:num>
  <w:num w:numId="3" w16cid:durableId="1730375940">
    <w:abstractNumId w:val="16"/>
  </w:num>
  <w:num w:numId="4" w16cid:durableId="1826821373">
    <w:abstractNumId w:val="17"/>
  </w:num>
  <w:num w:numId="5" w16cid:durableId="1301155973">
    <w:abstractNumId w:val="5"/>
  </w:num>
  <w:num w:numId="6" w16cid:durableId="310329086">
    <w:abstractNumId w:val="13"/>
  </w:num>
  <w:num w:numId="7" w16cid:durableId="258878344">
    <w:abstractNumId w:val="3"/>
  </w:num>
  <w:num w:numId="8" w16cid:durableId="937715013">
    <w:abstractNumId w:val="34"/>
  </w:num>
  <w:num w:numId="9" w16cid:durableId="854727258">
    <w:abstractNumId w:val="11"/>
  </w:num>
  <w:num w:numId="10" w16cid:durableId="759764203">
    <w:abstractNumId w:val="21"/>
  </w:num>
  <w:num w:numId="11" w16cid:durableId="1890342522">
    <w:abstractNumId w:val="12"/>
  </w:num>
  <w:num w:numId="12" w16cid:durableId="2109958136">
    <w:abstractNumId w:val="37"/>
  </w:num>
  <w:num w:numId="13" w16cid:durableId="1028220802">
    <w:abstractNumId w:val="15"/>
  </w:num>
  <w:num w:numId="14" w16cid:durableId="284390252">
    <w:abstractNumId w:val="8"/>
  </w:num>
  <w:num w:numId="15" w16cid:durableId="1319722308">
    <w:abstractNumId w:val="26"/>
  </w:num>
  <w:num w:numId="16" w16cid:durableId="920140990">
    <w:abstractNumId w:val="38"/>
  </w:num>
  <w:num w:numId="17" w16cid:durableId="1895387062">
    <w:abstractNumId w:val="32"/>
  </w:num>
  <w:num w:numId="18" w16cid:durableId="121270509">
    <w:abstractNumId w:val="7"/>
  </w:num>
  <w:num w:numId="19" w16cid:durableId="1976375113">
    <w:abstractNumId w:val="27"/>
  </w:num>
  <w:num w:numId="20" w16cid:durableId="1767186775">
    <w:abstractNumId w:val="28"/>
  </w:num>
  <w:num w:numId="21" w16cid:durableId="2113089619">
    <w:abstractNumId w:val="36"/>
  </w:num>
  <w:num w:numId="22" w16cid:durableId="413480455">
    <w:abstractNumId w:val="25"/>
  </w:num>
  <w:num w:numId="23" w16cid:durableId="1969388343">
    <w:abstractNumId w:val="6"/>
  </w:num>
  <w:num w:numId="24" w16cid:durableId="2034724522">
    <w:abstractNumId w:val="30"/>
  </w:num>
  <w:num w:numId="25" w16cid:durableId="1195462052">
    <w:abstractNumId w:val="35"/>
  </w:num>
  <w:num w:numId="26" w16cid:durableId="1482579769">
    <w:abstractNumId w:val="20"/>
  </w:num>
  <w:num w:numId="27" w16cid:durableId="378360193">
    <w:abstractNumId w:val="1"/>
  </w:num>
  <w:num w:numId="28" w16cid:durableId="830484864">
    <w:abstractNumId w:val="23"/>
  </w:num>
  <w:num w:numId="29" w16cid:durableId="14784532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05137622">
    <w:abstractNumId w:val="10"/>
  </w:num>
  <w:num w:numId="31" w16cid:durableId="2043968643">
    <w:abstractNumId w:val="2"/>
  </w:num>
  <w:num w:numId="32" w16cid:durableId="824663133">
    <w:abstractNumId w:val="0"/>
  </w:num>
  <w:num w:numId="33" w16cid:durableId="1274937811">
    <w:abstractNumId w:val="9"/>
  </w:num>
  <w:num w:numId="34" w16cid:durableId="867108180">
    <w:abstractNumId w:val="33"/>
  </w:num>
  <w:num w:numId="35" w16cid:durableId="405881670">
    <w:abstractNumId w:val="29"/>
  </w:num>
  <w:num w:numId="36" w16cid:durableId="1608540086">
    <w:abstractNumId w:val="22"/>
  </w:num>
  <w:num w:numId="37" w16cid:durableId="724991500">
    <w:abstractNumId w:val="19"/>
  </w:num>
  <w:num w:numId="38" w16cid:durableId="700739336">
    <w:abstractNumId w:val="14"/>
  </w:num>
  <w:num w:numId="39" w16cid:durableId="1345984014">
    <w:abstractNumId w:val="4"/>
  </w:num>
  <w:num w:numId="40" w16cid:durableId="13970493">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ús Casado Rodríguez">
    <w15:presenceInfo w15:providerId="None" w15:userId="Jesús Casado Rodríg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102"/>
    <w:rsid w:val="000008F3"/>
    <w:rsid w:val="00012E61"/>
    <w:rsid w:val="000136CA"/>
    <w:rsid w:val="00020D09"/>
    <w:rsid w:val="00022E92"/>
    <w:rsid w:val="000258B4"/>
    <w:rsid w:val="000264F8"/>
    <w:rsid w:val="00052C93"/>
    <w:rsid w:val="000536AA"/>
    <w:rsid w:val="00053D92"/>
    <w:rsid w:val="00054784"/>
    <w:rsid w:val="00055BC5"/>
    <w:rsid w:val="00061BB1"/>
    <w:rsid w:val="0007019A"/>
    <w:rsid w:val="00070A2A"/>
    <w:rsid w:val="00073CF0"/>
    <w:rsid w:val="00076EC9"/>
    <w:rsid w:val="00077B97"/>
    <w:rsid w:val="00082CE9"/>
    <w:rsid w:val="00085F41"/>
    <w:rsid w:val="00090AAD"/>
    <w:rsid w:val="00092E2D"/>
    <w:rsid w:val="00094B27"/>
    <w:rsid w:val="000B27AE"/>
    <w:rsid w:val="000C30FC"/>
    <w:rsid w:val="000C321C"/>
    <w:rsid w:val="000C59E9"/>
    <w:rsid w:val="000C730C"/>
    <w:rsid w:val="000D1EBB"/>
    <w:rsid w:val="000D3CEF"/>
    <w:rsid w:val="000D496C"/>
    <w:rsid w:val="000E1D2D"/>
    <w:rsid w:val="000E759E"/>
    <w:rsid w:val="000F59E5"/>
    <w:rsid w:val="000F6AD8"/>
    <w:rsid w:val="000F6C23"/>
    <w:rsid w:val="000F6D79"/>
    <w:rsid w:val="001005A1"/>
    <w:rsid w:val="00111D58"/>
    <w:rsid w:val="00111FFA"/>
    <w:rsid w:val="00114F24"/>
    <w:rsid w:val="001256C3"/>
    <w:rsid w:val="00126564"/>
    <w:rsid w:val="001361AD"/>
    <w:rsid w:val="00144142"/>
    <w:rsid w:val="0015741D"/>
    <w:rsid w:val="00160E6D"/>
    <w:rsid w:val="00162C9E"/>
    <w:rsid w:val="0017264B"/>
    <w:rsid w:val="00172870"/>
    <w:rsid w:val="001741FA"/>
    <w:rsid w:val="00174372"/>
    <w:rsid w:val="00184027"/>
    <w:rsid w:val="001964E2"/>
    <w:rsid w:val="00197557"/>
    <w:rsid w:val="001A2F19"/>
    <w:rsid w:val="001B151B"/>
    <w:rsid w:val="001B1AC2"/>
    <w:rsid w:val="001B322D"/>
    <w:rsid w:val="001B3B10"/>
    <w:rsid w:val="001B3E59"/>
    <w:rsid w:val="001B5EAC"/>
    <w:rsid w:val="001B5F14"/>
    <w:rsid w:val="001C0CB5"/>
    <w:rsid w:val="001C17FD"/>
    <w:rsid w:val="001C201E"/>
    <w:rsid w:val="001C2567"/>
    <w:rsid w:val="001C3AA4"/>
    <w:rsid w:val="001D4B56"/>
    <w:rsid w:val="001D4CF5"/>
    <w:rsid w:val="001D7ABA"/>
    <w:rsid w:val="001E0356"/>
    <w:rsid w:val="001E0417"/>
    <w:rsid w:val="001E09EE"/>
    <w:rsid w:val="001E3249"/>
    <w:rsid w:val="001E4A37"/>
    <w:rsid w:val="001F04A6"/>
    <w:rsid w:val="001F43A2"/>
    <w:rsid w:val="002049E6"/>
    <w:rsid w:val="00206D68"/>
    <w:rsid w:val="002078C3"/>
    <w:rsid w:val="00210D4F"/>
    <w:rsid w:val="00216075"/>
    <w:rsid w:val="00222078"/>
    <w:rsid w:val="0022566D"/>
    <w:rsid w:val="00226A88"/>
    <w:rsid w:val="00227964"/>
    <w:rsid w:val="00234116"/>
    <w:rsid w:val="00251511"/>
    <w:rsid w:val="00261597"/>
    <w:rsid w:val="00276746"/>
    <w:rsid w:val="00277122"/>
    <w:rsid w:val="00277CB8"/>
    <w:rsid w:val="00281BF6"/>
    <w:rsid w:val="00282AE1"/>
    <w:rsid w:val="00287461"/>
    <w:rsid w:val="00287AE9"/>
    <w:rsid w:val="00291894"/>
    <w:rsid w:val="0029244B"/>
    <w:rsid w:val="00294C20"/>
    <w:rsid w:val="00295151"/>
    <w:rsid w:val="002952C0"/>
    <w:rsid w:val="00297C7A"/>
    <w:rsid w:val="002A0E05"/>
    <w:rsid w:val="002A50E6"/>
    <w:rsid w:val="002A6E53"/>
    <w:rsid w:val="002B2E12"/>
    <w:rsid w:val="002B30AD"/>
    <w:rsid w:val="002B3AEE"/>
    <w:rsid w:val="002B764F"/>
    <w:rsid w:val="002C476A"/>
    <w:rsid w:val="002C5367"/>
    <w:rsid w:val="002C6B0C"/>
    <w:rsid w:val="002C6B0F"/>
    <w:rsid w:val="002D7F1E"/>
    <w:rsid w:val="002E0E7B"/>
    <w:rsid w:val="002E18A4"/>
    <w:rsid w:val="002E200F"/>
    <w:rsid w:val="002E4B97"/>
    <w:rsid w:val="002F2405"/>
    <w:rsid w:val="002F30B2"/>
    <w:rsid w:val="002F6629"/>
    <w:rsid w:val="002F74BD"/>
    <w:rsid w:val="003006A3"/>
    <w:rsid w:val="0030078F"/>
    <w:rsid w:val="0030566C"/>
    <w:rsid w:val="00305D2E"/>
    <w:rsid w:val="003121B9"/>
    <w:rsid w:val="00314985"/>
    <w:rsid w:val="003202B2"/>
    <w:rsid w:val="00322ACF"/>
    <w:rsid w:val="003232CD"/>
    <w:rsid w:val="0033050F"/>
    <w:rsid w:val="00331A0A"/>
    <w:rsid w:val="00331F40"/>
    <w:rsid w:val="00334892"/>
    <w:rsid w:val="003358B0"/>
    <w:rsid w:val="00340E79"/>
    <w:rsid w:val="003422EF"/>
    <w:rsid w:val="00342C50"/>
    <w:rsid w:val="00343BD3"/>
    <w:rsid w:val="00355DF9"/>
    <w:rsid w:val="00356D2E"/>
    <w:rsid w:val="00361D9B"/>
    <w:rsid w:val="00364B0E"/>
    <w:rsid w:val="00381F5F"/>
    <w:rsid w:val="00384568"/>
    <w:rsid w:val="0039271D"/>
    <w:rsid w:val="00397156"/>
    <w:rsid w:val="003A0D12"/>
    <w:rsid w:val="003A1A61"/>
    <w:rsid w:val="003A59F8"/>
    <w:rsid w:val="003A657D"/>
    <w:rsid w:val="003B0B81"/>
    <w:rsid w:val="003B4610"/>
    <w:rsid w:val="003B693D"/>
    <w:rsid w:val="003C14E7"/>
    <w:rsid w:val="003C1970"/>
    <w:rsid w:val="003D04C4"/>
    <w:rsid w:val="003D1072"/>
    <w:rsid w:val="003D4C47"/>
    <w:rsid w:val="003E3582"/>
    <w:rsid w:val="003F1A7D"/>
    <w:rsid w:val="003F30AC"/>
    <w:rsid w:val="00404133"/>
    <w:rsid w:val="0040501B"/>
    <w:rsid w:val="00407676"/>
    <w:rsid w:val="00407E36"/>
    <w:rsid w:val="00411CCF"/>
    <w:rsid w:val="00417F8D"/>
    <w:rsid w:val="00425B15"/>
    <w:rsid w:val="00430F14"/>
    <w:rsid w:val="00432CB9"/>
    <w:rsid w:val="0043610C"/>
    <w:rsid w:val="00441F9A"/>
    <w:rsid w:val="0044306B"/>
    <w:rsid w:val="004466CE"/>
    <w:rsid w:val="004469FF"/>
    <w:rsid w:val="004576EC"/>
    <w:rsid w:val="00460381"/>
    <w:rsid w:val="004607E3"/>
    <w:rsid w:val="004625A1"/>
    <w:rsid w:val="00464018"/>
    <w:rsid w:val="0047025C"/>
    <w:rsid w:val="004814A1"/>
    <w:rsid w:val="00483969"/>
    <w:rsid w:val="00484B98"/>
    <w:rsid w:val="00485454"/>
    <w:rsid w:val="00490114"/>
    <w:rsid w:val="00497E37"/>
    <w:rsid w:val="004A05E3"/>
    <w:rsid w:val="004A0761"/>
    <w:rsid w:val="004A18A8"/>
    <w:rsid w:val="004A3000"/>
    <w:rsid w:val="004A3780"/>
    <w:rsid w:val="004B2293"/>
    <w:rsid w:val="004C2AEA"/>
    <w:rsid w:val="004C665C"/>
    <w:rsid w:val="004D0684"/>
    <w:rsid w:val="004D3D66"/>
    <w:rsid w:val="004D6902"/>
    <w:rsid w:val="004E01EE"/>
    <w:rsid w:val="004E1AF3"/>
    <w:rsid w:val="004E390C"/>
    <w:rsid w:val="004E5414"/>
    <w:rsid w:val="004E7888"/>
    <w:rsid w:val="004F0F46"/>
    <w:rsid w:val="004F1F5E"/>
    <w:rsid w:val="004F243F"/>
    <w:rsid w:val="004F3B5A"/>
    <w:rsid w:val="004F4815"/>
    <w:rsid w:val="0050285F"/>
    <w:rsid w:val="005045F3"/>
    <w:rsid w:val="005100FE"/>
    <w:rsid w:val="00513D3A"/>
    <w:rsid w:val="00516B9F"/>
    <w:rsid w:val="00521FB3"/>
    <w:rsid w:val="00523F7F"/>
    <w:rsid w:val="00533A72"/>
    <w:rsid w:val="0053515F"/>
    <w:rsid w:val="0053745E"/>
    <w:rsid w:val="00540D73"/>
    <w:rsid w:val="005436EF"/>
    <w:rsid w:val="005462FF"/>
    <w:rsid w:val="00546B94"/>
    <w:rsid w:val="005500E7"/>
    <w:rsid w:val="005548FA"/>
    <w:rsid w:val="00554B54"/>
    <w:rsid w:val="005552DC"/>
    <w:rsid w:val="0055583B"/>
    <w:rsid w:val="0056143E"/>
    <w:rsid w:val="00567247"/>
    <w:rsid w:val="00577B7F"/>
    <w:rsid w:val="005828D8"/>
    <w:rsid w:val="00584080"/>
    <w:rsid w:val="00590BA3"/>
    <w:rsid w:val="00593613"/>
    <w:rsid w:val="00593C27"/>
    <w:rsid w:val="00595295"/>
    <w:rsid w:val="00595713"/>
    <w:rsid w:val="00595777"/>
    <w:rsid w:val="005A2763"/>
    <w:rsid w:val="005A27CB"/>
    <w:rsid w:val="005A4AC4"/>
    <w:rsid w:val="005A4EC8"/>
    <w:rsid w:val="005B38F6"/>
    <w:rsid w:val="005B3C7C"/>
    <w:rsid w:val="005C2999"/>
    <w:rsid w:val="005C4EEF"/>
    <w:rsid w:val="005C6800"/>
    <w:rsid w:val="005D2BC9"/>
    <w:rsid w:val="005D3131"/>
    <w:rsid w:val="005D3934"/>
    <w:rsid w:val="005D3A02"/>
    <w:rsid w:val="005D63B1"/>
    <w:rsid w:val="005E1BC6"/>
    <w:rsid w:val="005E2C89"/>
    <w:rsid w:val="005E30A6"/>
    <w:rsid w:val="005E468A"/>
    <w:rsid w:val="005E75C3"/>
    <w:rsid w:val="005F72BC"/>
    <w:rsid w:val="006013E1"/>
    <w:rsid w:val="00612C91"/>
    <w:rsid w:val="00612E82"/>
    <w:rsid w:val="00614D3C"/>
    <w:rsid w:val="00615423"/>
    <w:rsid w:val="00622D62"/>
    <w:rsid w:val="00623F80"/>
    <w:rsid w:val="006247B2"/>
    <w:rsid w:val="00624E24"/>
    <w:rsid w:val="00625965"/>
    <w:rsid w:val="006277DB"/>
    <w:rsid w:val="00631886"/>
    <w:rsid w:val="0064231C"/>
    <w:rsid w:val="0065078D"/>
    <w:rsid w:val="0065148D"/>
    <w:rsid w:val="00660DE7"/>
    <w:rsid w:val="00665BF2"/>
    <w:rsid w:val="00670DB7"/>
    <w:rsid w:val="006726B6"/>
    <w:rsid w:val="006755DA"/>
    <w:rsid w:val="0067670C"/>
    <w:rsid w:val="0068170D"/>
    <w:rsid w:val="00684CAB"/>
    <w:rsid w:val="00685CB1"/>
    <w:rsid w:val="00685E17"/>
    <w:rsid w:val="006B0718"/>
    <w:rsid w:val="006C2BA8"/>
    <w:rsid w:val="006E3C48"/>
    <w:rsid w:val="006E3EE3"/>
    <w:rsid w:val="006F05CB"/>
    <w:rsid w:val="006F4611"/>
    <w:rsid w:val="006F5083"/>
    <w:rsid w:val="00704AB8"/>
    <w:rsid w:val="007112CE"/>
    <w:rsid w:val="007117AB"/>
    <w:rsid w:val="00712DFF"/>
    <w:rsid w:val="00713860"/>
    <w:rsid w:val="00714000"/>
    <w:rsid w:val="00720F61"/>
    <w:rsid w:val="007210CB"/>
    <w:rsid w:val="00722C69"/>
    <w:rsid w:val="007316B6"/>
    <w:rsid w:val="00733547"/>
    <w:rsid w:val="00736722"/>
    <w:rsid w:val="00741FA0"/>
    <w:rsid w:val="0075696B"/>
    <w:rsid w:val="00757239"/>
    <w:rsid w:val="00771222"/>
    <w:rsid w:val="0077465F"/>
    <w:rsid w:val="007800B6"/>
    <w:rsid w:val="00780F70"/>
    <w:rsid w:val="007878BD"/>
    <w:rsid w:val="00796014"/>
    <w:rsid w:val="007A1E66"/>
    <w:rsid w:val="007A2EFD"/>
    <w:rsid w:val="007A4AAF"/>
    <w:rsid w:val="007A79B5"/>
    <w:rsid w:val="007B1845"/>
    <w:rsid w:val="007B18E0"/>
    <w:rsid w:val="007B434B"/>
    <w:rsid w:val="007B4DE0"/>
    <w:rsid w:val="007C0BFA"/>
    <w:rsid w:val="007C19C0"/>
    <w:rsid w:val="007C5B3C"/>
    <w:rsid w:val="007C66E7"/>
    <w:rsid w:val="007C6D7F"/>
    <w:rsid w:val="007D1774"/>
    <w:rsid w:val="007D5D2B"/>
    <w:rsid w:val="007D67B3"/>
    <w:rsid w:val="007D6AE1"/>
    <w:rsid w:val="007E1FA3"/>
    <w:rsid w:val="007E2508"/>
    <w:rsid w:val="007E4241"/>
    <w:rsid w:val="007F16EF"/>
    <w:rsid w:val="007F2A22"/>
    <w:rsid w:val="007F388F"/>
    <w:rsid w:val="007F53C2"/>
    <w:rsid w:val="00801EF0"/>
    <w:rsid w:val="00805659"/>
    <w:rsid w:val="008129CC"/>
    <w:rsid w:val="00813B74"/>
    <w:rsid w:val="00815180"/>
    <w:rsid w:val="00816C62"/>
    <w:rsid w:val="00825224"/>
    <w:rsid w:val="0082690A"/>
    <w:rsid w:val="00832C5D"/>
    <w:rsid w:val="0083512F"/>
    <w:rsid w:val="008352DA"/>
    <w:rsid w:val="00861160"/>
    <w:rsid w:val="008622D1"/>
    <w:rsid w:val="00863516"/>
    <w:rsid w:val="00867401"/>
    <w:rsid w:val="008707A3"/>
    <w:rsid w:val="008728E1"/>
    <w:rsid w:val="008729C5"/>
    <w:rsid w:val="00872F35"/>
    <w:rsid w:val="0087690B"/>
    <w:rsid w:val="00880278"/>
    <w:rsid w:val="008807ED"/>
    <w:rsid w:val="00881D37"/>
    <w:rsid w:val="008822A5"/>
    <w:rsid w:val="008848D9"/>
    <w:rsid w:val="00891B18"/>
    <w:rsid w:val="00893E0E"/>
    <w:rsid w:val="00894881"/>
    <w:rsid w:val="00896F02"/>
    <w:rsid w:val="008A0522"/>
    <w:rsid w:val="008A3E73"/>
    <w:rsid w:val="008B2168"/>
    <w:rsid w:val="008B2B8E"/>
    <w:rsid w:val="008B5740"/>
    <w:rsid w:val="008C2F93"/>
    <w:rsid w:val="008C5203"/>
    <w:rsid w:val="008D3511"/>
    <w:rsid w:val="008E1D20"/>
    <w:rsid w:val="008E1D5C"/>
    <w:rsid w:val="008E3BFA"/>
    <w:rsid w:val="008E60E0"/>
    <w:rsid w:val="008E6687"/>
    <w:rsid w:val="008F33D4"/>
    <w:rsid w:val="00902142"/>
    <w:rsid w:val="00904119"/>
    <w:rsid w:val="0090559B"/>
    <w:rsid w:val="0091079C"/>
    <w:rsid w:val="00921BE0"/>
    <w:rsid w:val="00924139"/>
    <w:rsid w:val="00925D0B"/>
    <w:rsid w:val="00927C2B"/>
    <w:rsid w:val="009304BB"/>
    <w:rsid w:val="009403FD"/>
    <w:rsid w:val="00943136"/>
    <w:rsid w:val="00956C42"/>
    <w:rsid w:val="0097436F"/>
    <w:rsid w:val="00974EB7"/>
    <w:rsid w:val="009821CD"/>
    <w:rsid w:val="00985488"/>
    <w:rsid w:val="0098684B"/>
    <w:rsid w:val="009869CB"/>
    <w:rsid w:val="00987ABC"/>
    <w:rsid w:val="009969D4"/>
    <w:rsid w:val="009A0989"/>
    <w:rsid w:val="009A31FF"/>
    <w:rsid w:val="009A39CF"/>
    <w:rsid w:val="009A697D"/>
    <w:rsid w:val="009B3A4A"/>
    <w:rsid w:val="009B5C53"/>
    <w:rsid w:val="009B66F5"/>
    <w:rsid w:val="009C0950"/>
    <w:rsid w:val="009C4D2F"/>
    <w:rsid w:val="009D113F"/>
    <w:rsid w:val="009D74B7"/>
    <w:rsid w:val="009D74E8"/>
    <w:rsid w:val="009E3798"/>
    <w:rsid w:val="009E5085"/>
    <w:rsid w:val="00A00D2C"/>
    <w:rsid w:val="00A057A4"/>
    <w:rsid w:val="00A065A4"/>
    <w:rsid w:val="00A069BD"/>
    <w:rsid w:val="00A06C08"/>
    <w:rsid w:val="00A11010"/>
    <w:rsid w:val="00A11608"/>
    <w:rsid w:val="00A16A6C"/>
    <w:rsid w:val="00A20E38"/>
    <w:rsid w:val="00A25270"/>
    <w:rsid w:val="00A26270"/>
    <w:rsid w:val="00A442BC"/>
    <w:rsid w:val="00A54F15"/>
    <w:rsid w:val="00A55D8F"/>
    <w:rsid w:val="00A67686"/>
    <w:rsid w:val="00A67FFB"/>
    <w:rsid w:val="00A70D92"/>
    <w:rsid w:val="00A72CE7"/>
    <w:rsid w:val="00A7414A"/>
    <w:rsid w:val="00A75F73"/>
    <w:rsid w:val="00A77BF5"/>
    <w:rsid w:val="00A82AC8"/>
    <w:rsid w:val="00A94211"/>
    <w:rsid w:val="00A95005"/>
    <w:rsid w:val="00A96C1D"/>
    <w:rsid w:val="00AA04EB"/>
    <w:rsid w:val="00AA0920"/>
    <w:rsid w:val="00AA291F"/>
    <w:rsid w:val="00AB43A4"/>
    <w:rsid w:val="00AB7D05"/>
    <w:rsid w:val="00AC5CF7"/>
    <w:rsid w:val="00AD4BC1"/>
    <w:rsid w:val="00AE01CD"/>
    <w:rsid w:val="00AE2FAF"/>
    <w:rsid w:val="00AE5059"/>
    <w:rsid w:val="00AF0558"/>
    <w:rsid w:val="00AF0B03"/>
    <w:rsid w:val="00AF245B"/>
    <w:rsid w:val="00AF27A2"/>
    <w:rsid w:val="00AF2B27"/>
    <w:rsid w:val="00AF5559"/>
    <w:rsid w:val="00AF6622"/>
    <w:rsid w:val="00B00BE9"/>
    <w:rsid w:val="00B04E09"/>
    <w:rsid w:val="00B10CB3"/>
    <w:rsid w:val="00B17A2B"/>
    <w:rsid w:val="00B221EE"/>
    <w:rsid w:val="00B222A9"/>
    <w:rsid w:val="00B36692"/>
    <w:rsid w:val="00B4125E"/>
    <w:rsid w:val="00B43C96"/>
    <w:rsid w:val="00B461F4"/>
    <w:rsid w:val="00B4744A"/>
    <w:rsid w:val="00B526CD"/>
    <w:rsid w:val="00B611FA"/>
    <w:rsid w:val="00B61B1B"/>
    <w:rsid w:val="00B6515C"/>
    <w:rsid w:val="00B70A4A"/>
    <w:rsid w:val="00B72608"/>
    <w:rsid w:val="00B7370B"/>
    <w:rsid w:val="00B752A2"/>
    <w:rsid w:val="00B764A1"/>
    <w:rsid w:val="00B76564"/>
    <w:rsid w:val="00B7757B"/>
    <w:rsid w:val="00B8156E"/>
    <w:rsid w:val="00B860E8"/>
    <w:rsid w:val="00B87B4B"/>
    <w:rsid w:val="00B87BCB"/>
    <w:rsid w:val="00B90C95"/>
    <w:rsid w:val="00B95168"/>
    <w:rsid w:val="00B96E62"/>
    <w:rsid w:val="00BA09B4"/>
    <w:rsid w:val="00BA2EB2"/>
    <w:rsid w:val="00BA46B0"/>
    <w:rsid w:val="00BA54D3"/>
    <w:rsid w:val="00BA57EF"/>
    <w:rsid w:val="00BB0F6F"/>
    <w:rsid w:val="00BB32C8"/>
    <w:rsid w:val="00BB62D2"/>
    <w:rsid w:val="00BC628D"/>
    <w:rsid w:val="00BD7B14"/>
    <w:rsid w:val="00BE21C2"/>
    <w:rsid w:val="00BF4450"/>
    <w:rsid w:val="00C000FC"/>
    <w:rsid w:val="00C00B93"/>
    <w:rsid w:val="00C12E71"/>
    <w:rsid w:val="00C14ED0"/>
    <w:rsid w:val="00C172F1"/>
    <w:rsid w:val="00C22B83"/>
    <w:rsid w:val="00C31A7E"/>
    <w:rsid w:val="00C35566"/>
    <w:rsid w:val="00C357CA"/>
    <w:rsid w:val="00C43EFF"/>
    <w:rsid w:val="00C61A44"/>
    <w:rsid w:val="00C62421"/>
    <w:rsid w:val="00C70EAF"/>
    <w:rsid w:val="00C723E0"/>
    <w:rsid w:val="00C80AFC"/>
    <w:rsid w:val="00C81DB0"/>
    <w:rsid w:val="00C8785C"/>
    <w:rsid w:val="00C87B45"/>
    <w:rsid w:val="00C974A2"/>
    <w:rsid w:val="00C97FEB"/>
    <w:rsid w:val="00CA2C56"/>
    <w:rsid w:val="00CA54B4"/>
    <w:rsid w:val="00CA5B84"/>
    <w:rsid w:val="00CA671B"/>
    <w:rsid w:val="00CA674A"/>
    <w:rsid w:val="00CA6756"/>
    <w:rsid w:val="00CA75CC"/>
    <w:rsid w:val="00CB6799"/>
    <w:rsid w:val="00CB74E2"/>
    <w:rsid w:val="00CE3F5C"/>
    <w:rsid w:val="00CF0F31"/>
    <w:rsid w:val="00CF219F"/>
    <w:rsid w:val="00CF2EB8"/>
    <w:rsid w:val="00CF3F03"/>
    <w:rsid w:val="00CF3F2E"/>
    <w:rsid w:val="00D00E30"/>
    <w:rsid w:val="00D05DA0"/>
    <w:rsid w:val="00D061E9"/>
    <w:rsid w:val="00D13BBF"/>
    <w:rsid w:val="00D164B2"/>
    <w:rsid w:val="00D16DE3"/>
    <w:rsid w:val="00D1731D"/>
    <w:rsid w:val="00D17651"/>
    <w:rsid w:val="00D2386C"/>
    <w:rsid w:val="00D27146"/>
    <w:rsid w:val="00D30E15"/>
    <w:rsid w:val="00D31FDC"/>
    <w:rsid w:val="00D328ED"/>
    <w:rsid w:val="00D338BE"/>
    <w:rsid w:val="00D35631"/>
    <w:rsid w:val="00D35D8D"/>
    <w:rsid w:val="00D36E5A"/>
    <w:rsid w:val="00D37ED8"/>
    <w:rsid w:val="00D37F1A"/>
    <w:rsid w:val="00D446C9"/>
    <w:rsid w:val="00D44A15"/>
    <w:rsid w:val="00D47C7B"/>
    <w:rsid w:val="00D51D5D"/>
    <w:rsid w:val="00D54223"/>
    <w:rsid w:val="00D54617"/>
    <w:rsid w:val="00D54D9F"/>
    <w:rsid w:val="00D56B90"/>
    <w:rsid w:val="00D670FB"/>
    <w:rsid w:val="00D675BE"/>
    <w:rsid w:val="00D70505"/>
    <w:rsid w:val="00D70EA7"/>
    <w:rsid w:val="00D72DDD"/>
    <w:rsid w:val="00D74FBC"/>
    <w:rsid w:val="00D81143"/>
    <w:rsid w:val="00D824E0"/>
    <w:rsid w:val="00D83200"/>
    <w:rsid w:val="00D83955"/>
    <w:rsid w:val="00D85848"/>
    <w:rsid w:val="00D8708A"/>
    <w:rsid w:val="00D91363"/>
    <w:rsid w:val="00D97559"/>
    <w:rsid w:val="00DB077C"/>
    <w:rsid w:val="00DB5DD4"/>
    <w:rsid w:val="00DB6581"/>
    <w:rsid w:val="00DC15B9"/>
    <w:rsid w:val="00DD2E47"/>
    <w:rsid w:val="00DE215D"/>
    <w:rsid w:val="00DE274A"/>
    <w:rsid w:val="00DE2C9E"/>
    <w:rsid w:val="00DE5599"/>
    <w:rsid w:val="00DE79A3"/>
    <w:rsid w:val="00DF28E3"/>
    <w:rsid w:val="00DF4864"/>
    <w:rsid w:val="00DF4953"/>
    <w:rsid w:val="00DF7C31"/>
    <w:rsid w:val="00E0253E"/>
    <w:rsid w:val="00E02CC3"/>
    <w:rsid w:val="00E12AD2"/>
    <w:rsid w:val="00E131CC"/>
    <w:rsid w:val="00E15C65"/>
    <w:rsid w:val="00E26A1A"/>
    <w:rsid w:val="00E27D86"/>
    <w:rsid w:val="00E41F9F"/>
    <w:rsid w:val="00E44DE6"/>
    <w:rsid w:val="00E531E5"/>
    <w:rsid w:val="00E53B05"/>
    <w:rsid w:val="00E60084"/>
    <w:rsid w:val="00E6163F"/>
    <w:rsid w:val="00E64335"/>
    <w:rsid w:val="00E6580C"/>
    <w:rsid w:val="00E67B3B"/>
    <w:rsid w:val="00E67F4A"/>
    <w:rsid w:val="00E72CE1"/>
    <w:rsid w:val="00E83554"/>
    <w:rsid w:val="00E867CA"/>
    <w:rsid w:val="00E90102"/>
    <w:rsid w:val="00E94B3B"/>
    <w:rsid w:val="00E94D92"/>
    <w:rsid w:val="00E96985"/>
    <w:rsid w:val="00EA7F5C"/>
    <w:rsid w:val="00EB0D01"/>
    <w:rsid w:val="00EB348A"/>
    <w:rsid w:val="00EC2482"/>
    <w:rsid w:val="00EC573D"/>
    <w:rsid w:val="00ED14FD"/>
    <w:rsid w:val="00ED755E"/>
    <w:rsid w:val="00EE0BCB"/>
    <w:rsid w:val="00EF046D"/>
    <w:rsid w:val="00EF41B9"/>
    <w:rsid w:val="00F10B92"/>
    <w:rsid w:val="00F110AF"/>
    <w:rsid w:val="00F14BDD"/>
    <w:rsid w:val="00F20AE3"/>
    <w:rsid w:val="00F21BE3"/>
    <w:rsid w:val="00F3666D"/>
    <w:rsid w:val="00F46CD7"/>
    <w:rsid w:val="00F47E6A"/>
    <w:rsid w:val="00F5342E"/>
    <w:rsid w:val="00F535AD"/>
    <w:rsid w:val="00F623B8"/>
    <w:rsid w:val="00F71B08"/>
    <w:rsid w:val="00F728CF"/>
    <w:rsid w:val="00F74D9F"/>
    <w:rsid w:val="00F76E84"/>
    <w:rsid w:val="00F83B1B"/>
    <w:rsid w:val="00F857D5"/>
    <w:rsid w:val="00F872FD"/>
    <w:rsid w:val="00F879EE"/>
    <w:rsid w:val="00F9074A"/>
    <w:rsid w:val="00F920C4"/>
    <w:rsid w:val="00F94B64"/>
    <w:rsid w:val="00F95BBE"/>
    <w:rsid w:val="00F96592"/>
    <w:rsid w:val="00FA11A2"/>
    <w:rsid w:val="00FA50C4"/>
    <w:rsid w:val="00FA74A9"/>
    <w:rsid w:val="00FB7907"/>
    <w:rsid w:val="00FC339E"/>
    <w:rsid w:val="00FC427B"/>
    <w:rsid w:val="00FC5048"/>
    <w:rsid w:val="00FC6BD1"/>
    <w:rsid w:val="00FD1964"/>
    <w:rsid w:val="00FD63C1"/>
    <w:rsid w:val="00FE11F8"/>
    <w:rsid w:val="00FE7B09"/>
    <w:rsid w:val="00FF540F"/>
    <w:rsid w:val="00FF542D"/>
    <w:rsid w:val="00FF7B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9779C"/>
  <w15:chartTrackingRefBased/>
  <w15:docId w15:val="{0E9E1713-CBC5-405F-904F-6FFA5B84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B98"/>
    <w:pPr>
      <w:jc w:val="both"/>
    </w:pPr>
    <w:rPr>
      <w:rFonts w:ascii="LM Roman 10" w:hAnsi="LM Roman 10"/>
    </w:rPr>
  </w:style>
  <w:style w:type="paragraph" w:styleId="Ttulo1">
    <w:name w:val="heading 1"/>
    <w:basedOn w:val="Normal"/>
    <w:next w:val="Normal"/>
    <w:link w:val="Ttulo1Car"/>
    <w:uiPriority w:val="9"/>
    <w:qFormat/>
    <w:rsid w:val="005A4EC8"/>
    <w:pPr>
      <w:keepNext/>
      <w:numPr>
        <w:numId w:val="1"/>
      </w:numPr>
      <w:spacing w:before="240" w:after="240"/>
      <w:outlineLvl w:val="0"/>
    </w:pPr>
    <w:rPr>
      <w:rFonts w:eastAsiaTheme="majorEastAsia" w:cstheme="majorBidi"/>
      <w:b/>
      <w:sz w:val="26"/>
      <w:szCs w:val="26"/>
    </w:rPr>
  </w:style>
  <w:style w:type="paragraph" w:styleId="Ttulo2">
    <w:name w:val="heading 2"/>
    <w:basedOn w:val="Normal"/>
    <w:next w:val="Normal"/>
    <w:link w:val="Ttulo2Car"/>
    <w:uiPriority w:val="9"/>
    <w:unhideWhenUsed/>
    <w:qFormat/>
    <w:rsid w:val="005A4EC8"/>
    <w:pPr>
      <w:keepNext/>
      <w:keepLines/>
      <w:numPr>
        <w:ilvl w:val="1"/>
        <w:numId w:val="1"/>
      </w:numPr>
      <w:spacing w:before="40" w:after="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5A4EC8"/>
    <w:pPr>
      <w:keepNext/>
      <w:keepLines/>
      <w:numPr>
        <w:ilvl w:val="2"/>
        <w:numId w:val="1"/>
      </w:numPr>
      <w:spacing w:before="40" w:after="0"/>
      <w:outlineLvl w:val="2"/>
    </w:pPr>
    <w:rPr>
      <w:rFonts w:eastAsiaTheme="majorEastAsia" w:cstheme="majorBidi"/>
      <w:b/>
      <w:color w:val="767171" w:themeColor="background2" w:themeShade="80"/>
      <w:szCs w:val="24"/>
    </w:rPr>
  </w:style>
  <w:style w:type="paragraph" w:styleId="Ttulo4">
    <w:name w:val="heading 4"/>
    <w:basedOn w:val="Normal"/>
    <w:next w:val="Normal"/>
    <w:link w:val="Ttulo4Car"/>
    <w:uiPriority w:val="9"/>
    <w:unhideWhenUsed/>
    <w:qFormat/>
    <w:rsid w:val="005A4EC8"/>
    <w:pPr>
      <w:keepNext/>
      <w:keepLines/>
      <w:numPr>
        <w:ilvl w:val="3"/>
        <w:numId w:val="1"/>
      </w:numPr>
      <w:spacing w:before="40" w:after="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unhideWhenUsed/>
    <w:qFormat/>
    <w:rsid w:val="005A4EC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E505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E505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E50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E50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link w:val="TDC1Car"/>
    <w:autoRedefine/>
    <w:uiPriority w:val="39"/>
    <w:rsid w:val="00F110AF"/>
    <w:pPr>
      <w:tabs>
        <w:tab w:val="left" w:pos="284"/>
        <w:tab w:val="right" w:leader="dot" w:pos="9064"/>
      </w:tabs>
      <w:spacing w:before="120" w:after="0" w:line="276" w:lineRule="auto"/>
      <w:ind w:right="141"/>
      <w:outlineLvl w:val="0"/>
    </w:pPr>
    <w:rPr>
      <w:noProof/>
      <w:szCs w:val="26"/>
    </w:rPr>
  </w:style>
  <w:style w:type="character" w:customStyle="1" w:styleId="TDC1Car">
    <w:name w:val="TDC 1 Car"/>
    <w:link w:val="TDC1"/>
    <w:uiPriority w:val="39"/>
    <w:rsid w:val="00F110AF"/>
    <w:rPr>
      <w:noProof/>
      <w:szCs w:val="26"/>
    </w:rPr>
  </w:style>
  <w:style w:type="paragraph" w:styleId="Ttulo">
    <w:name w:val="Title"/>
    <w:basedOn w:val="Normal"/>
    <w:next w:val="Normal"/>
    <w:link w:val="TtuloCar"/>
    <w:uiPriority w:val="10"/>
    <w:qFormat/>
    <w:rsid w:val="00484B98"/>
    <w:pPr>
      <w:spacing w:after="0" w:line="240" w:lineRule="auto"/>
      <w:contextualSpacing/>
    </w:pPr>
    <w:rPr>
      <w:rFonts w:eastAsiaTheme="majorEastAsia" w:cstheme="majorHAnsi"/>
      <w:b/>
      <w:spacing w:val="-10"/>
      <w:kern w:val="28"/>
      <w:sz w:val="30"/>
      <w:szCs w:val="30"/>
    </w:rPr>
  </w:style>
  <w:style w:type="character" w:customStyle="1" w:styleId="TtuloCar">
    <w:name w:val="Título Car"/>
    <w:basedOn w:val="Fuentedeprrafopredeter"/>
    <w:link w:val="Ttulo"/>
    <w:uiPriority w:val="10"/>
    <w:rsid w:val="00484B98"/>
    <w:rPr>
      <w:rFonts w:ascii="LM Roman 10" w:eastAsiaTheme="majorEastAsia" w:hAnsi="LM Roman 10" w:cstheme="majorHAnsi"/>
      <w:b/>
      <w:spacing w:val="-10"/>
      <w:kern w:val="28"/>
      <w:sz w:val="30"/>
      <w:szCs w:val="30"/>
    </w:rPr>
  </w:style>
  <w:style w:type="character" w:customStyle="1" w:styleId="Ttulo1Car">
    <w:name w:val="Título 1 Car"/>
    <w:basedOn w:val="Fuentedeprrafopredeter"/>
    <w:link w:val="Ttulo1"/>
    <w:uiPriority w:val="9"/>
    <w:rsid w:val="005A4EC8"/>
    <w:rPr>
      <w:rFonts w:ascii="LM Roman 10" w:eastAsiaTheme="majorEastAsia" w:hAnsi="LM Roman 10" w:cstheme="majorBidi"/>
      <w:b/>
      <w:sz w:val="26"/>
      <w:szCs w:val="26"/>
    </w:rPr>
  </w:style>
  <w:style w:type="character" w:customStyle="1" w:styleId="Ttulo2Car">
    <w:name w:val="Título 2 Car"/>
    <w:basedOn w:val="Fuentedeprrafopredeter"/>
    <w:link w:val="Ttulo2"/>
    <w:uiPriority w:val="9"/>
    <w:rsid w:val="005A4EC8"/>
    <w:rPr>
      <w:rFonts w:ascii="LM Roman 10" w:eastAsiaTheme="majorEastAsia" w:hAnsi="LM Roman 10" w:cstheme="majorBidi"/>
      <w:b/>
      <w:sz w:val="24"/>
      <w:szCs w:val="26"/>
    </w:rPr>
  </w:style>
  <w:style w:type="character" w:customStyle="1" w:styleId="Ttulo3Car">
    <w:name w:val="Título 3 Car"/>
    <w:basedOn w:val="Fuentedeprrafopredeter"/>
    <w:link w:val="Ttulo3"/>
    <w:uiPriority w:val="9"/>
    <w:rsid w:val="005A4EC8"/>
    <w:rPr>
      <w:rFonts w:ascii="LM Roman 10" w:eastAsiaTheme="majorEastAsia" w:hAnsi="LM Roman 10" w:cstheme="majorBidi"/>
      <w:b/>
      <w:color w:val="767171" w:themeColor="background2" w:themeShade="80"/>
      <w:szCs w:val="24"/>
    </w:rPr>
  </w:style>
  <w:style w:type="character" w:customStyle="1" w:styleId="Ttulo4Car">
    <w:name w:val="Título 4 Car"/>
    <w:basedOn w:val="Fuentedeprrafopredeter"/>
    <w:link w:val="Ttulo4"/>
    <w:uiPriority w:val="9"/>
    <w:rsid w:val="005A4EC8"/>
    <w:rPr>
      <w:rFonts w:ascii="LM Roman 10" w:eastAsiaTheme="majorEastAsia" w:hAnsi="LM Roman 10" w:cstheme="majorBidi"/>
      <w:i/>
      <w:iCs/>
      <w:color w:val="2E74B5" w:themeColor="accent1" w:themeShade="BF"/>
    </w:rPr>
  </w:style>
  <w:style w:type="character" w:customStyle="1" w:styleId="Ttulo5Car">
    <w:name w:val="Título 5 Car"/>
    <w:basedOn w:val="Fuentedeprrafopredeter"/>
    <w:link w:val="Ttulo5"/>
    <w:uiPriority w:val="9"/>
    <w:rsid w:val="005A4EC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E505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E505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E505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E5059"/>
    <w:rPr>
      <w:rFonts w:asciiTheme="majorHAnsi" w:eastAsiaTheme="majorEastAsia" w:hAnsiTheme="majorHAnsi" w:cstheme="majorBidi"/>
      <w:i/>
      <w:iCs/>
      <w:color w:val="272727" w:themeColor="text1" w:themeTint="D8"/>
      <w:sz w:val="21"/>
      <w:szCs w:val="21"/>
    </w:rPr>
  </w:style>
  <w:style w:type="paragraph" w:customStyle="1" w:styleId="ndice">
    <w:name w:val="Índice"/>
    <w:basedOn w:val="Ttulo1"/>
    <w:link w:val="ndiceCar"/>
    <w:qFormat/>
    <w:rsid w:val="00484B98"/>
    <w:pPr>
      <w:numPr>
        <w:numId w:val="0"/>
      </w:numPr>
      <w:ind w:left="432" w:hanging="432"/>
    </w:pPr>
  </w:style>
  <w:style w:type="character" w:styleId="Hipervnculo">
    <w:name w:val="Hyperlink"/>
    <w:basedOn w:val="Fuentedeprrafopredeter"/>
    <w:uiPriority w:val="99"/>
    <w:unhideWhenUsed/>
    <w:rsid w:val="00E96985"/>
    <w:rPr>
      <w:color w:val="0563C1" w:themeColor="hyperlink"/>
      <w:u w:val="single"/>
    </w:rPr>
  </w:style>
  <w:style w:type="character" w:customStyle="1" w:styleId="ndiceCar">
    <w:name w:val="Índice Car"/>
    <w:basedOn w:val="Ttulo1Car"/>
    <w:link w:val="ndice"/>
    <w:rsid w:val="00484B98"/>
    <w:rPr>
      <w:rFonts w:ascii="LM Roman 10" w:eastAsiaTheme="majorEastAsia" w:hAnsi="LM Roman 10" w:cstheme="majorBidi"/>
      <w:b/>
      <w:sz w:val="26"/>
      <w:szCs w:val="26"/>
    </w:rPr>
  </w:style>
  <w:style w:type="paragraph" w:styleId="TDC2">
    <w:name w:val="toc 2"/>
    <w:basedOn w:val="Normal"/>
    <w:next w:val="Normal"/>
    <w:autoRedefine/>
    <w:uiPriority w:val="39"/>
    <w:unhideWhenUsed/>
    <w:rsid w:val="00E96985"/>
    <w:pPr>
      <w:spacing w:after="100"/>
      <w:ind w:left="220"/>
    </w:pPr>
    <w:rPr>
      <w:sz w:val="21"/>
    </w:rPr>
  </w:style>
  <w:style w:type="paragraph" w:styleId="TDC3">
    <w:name w:val="toc 3"/>
    <w:basedOn w:val="Normal"/>
    <w:next w:val="Normal"/>
    <w:autoRedefine/>
    <w:uiPriority w:val="39"/>
    <w:unhideWhenUsed/>
    <w:rsid w:val="00E96985"/>
    <w:pPr>
      <w:spacing w:after="100"/>
      <w:ind w:left="440"/>
    </w:pPr>
    <w:rPr>
      <w:sz w:val="20"/>
    </w:rPr>
  </w:style>
  <w:style w:type="table" w:styleId="Tablaconcuadrcula">
    <w:name w:val="Table Grid"/>
    <w:basedOn w:val="Tablanormal"/>
    <w:uiPriority w:val="39"/>
    <w:rsid w:val="00312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s">
    <w:name w:val="Tablas"/>
    <w:basedOn w:val="Normal"/>
    <w:link w:val="TablasCar"/>
    <w:qFormat/>
    <w:rsid w:val="000F6C23"/>
    <w:pPr>
      <w:spacing w:after="0" w:line="240" w:lineRule="auto"/>
      <w:jc w:val="left"/>
    </w:pPr>
    <w:rPr>
      <w:sz w:val="20"/>
    </w:rPr>
  </w:style>
  <w:style w:type="paragraph" w:styleId="Descripcin">
    <w:name w:val="caption"/>
    <w:aliases w:val="Epígrafe"/>
    <w:next w:val="Normal"/>
    <w:link w:val="DescripcinCar"/>
    <w:unhideWhenUsed/>
    <w:qFormat/>
    <w:rsid w:val="008B2B8E"/>
    <w:pPr>
      <w:spacing w:after="200" w:line="240" w:lineRule="auto"/>
      <w:ind w:left="284" w:right="424"/>
      <w:jc w:val="center"/>
    </w:pPr>
    <w:rPr>
      <w:rFonts w:ascii="LM Roman 10" w:hAnsi="LM Roman 10"/>
      <w:bCs/>
      <w:iCs/>
      <w:sz w:val="20"/>
      <w:szCs w:val="18"/>
    </w:rPr>
  </w:style>
  <w:style w:type="character" w:customStyle="1" w:styleId="TablasCar">
    <w:name w:val="Tablas Car"/>
    <w:basedOn w:val="Fuentedeprrafopredeter"/>
    <w:link w:val="Tablas"/>
    <w:rsid w:val="000F6C23"/>
    <w:rPr>
      <w:sz w:val="20"/>
    </w:rPr>
  </w:style>
  <w:style w:type="paragraph" w:styleId="Prrafodelista">
    <w:name w:val="List Paragraph"/>
    <w:basedOn w:val="Normal"/>
    <w:uiPriority w:val="34"/>
    <w:qFormat/>
    <w:rsid w:val="00A55D8F"/>
    <w:pPr>
      <w:ind w:left="720"/>
      <w:contextualSpacing/>
    </w:pPr>
  </w:style>
  <w:style w:type="character" w:styleId="Textodelmarcadordeposicin">
    <w:name w:val="Placeholder Text"/>
    <w:basedOn w:val="Fuentedeprrafopredeter"/>
    <w:uiPriority w:val="99"/>
    <w:semiHidden/>
    <w:rsid w:val="0022566D"/>
    <w:rPr>
      <w:color w:val="808080"/>
    </w:rPr>
  </w:style>
  <w:style w:type="character" w:customStyle="1" w:styleId="DescripcinCar">
    <w:name w:val="Descripción Car"/>
    <w:aliases w:val="Epígrafe Car"/>
    <w:basedOn w:val="Fuentedeprrafopredeter"/>
    <w:link w:val="Descripcin"/>
    <w:rsid w:val="008B2B8E"/>
    <w:rPr>
      <w:rFonts w:ascii="LM Roman 10" w:hAnsi="LM Roman 10"/>
      <w:bCs/>
      <w:iCs/>
      <w:sz w:val="20"/>
      <w:szCs w:val="18"/>
    </w:rPr>
  </w:style>
  <w:style w:type="paragraph" w:styleId="Encabezado">
    <w:name w:val="header"/>
    <w:basedOn w:val="Normal"/>
    <w:link w:val="EncabezadoCar"/>
    <w:uiPriority w:val="99"/>
    <w:unhideWhenUsed/>
    <w:rsid w:val="00CF21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219F"/>
  </w:style>
  <w:style w:type="paragraph" w:styleId="Piedepgina">
    <w:name w:val="footer"/>
    <w:basedOn w:val="Normal"/>
    <w:link w:val="PiedepginaCar"/>
    <w:uiPriority w:val="99"/>
    <w:unhideWhenUsed/>
    <w:rsid w:val="00CF21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219F"/>
  </w:style>
  <w:style w:type="paragraph" w:customStyle="1" w:styleId="Ecuaciones">
    <w:name w:val="Ecuaciones"/>
    <w:basedOn w:val="Normal"/>
    <w:link w:val="EcuacionesCar"/>
    <w:qFormat/>
    <w:rsid w:val="00AC5CF7"/>
    <w:pPr>
      <w:jc w:val="center"/>
    </w:pPr>
    <w:rPr>
      <w:rFonts w:ascii="Cambria Math" w:hAnsi="Cambria Math"/>
      <w:i/>
      <w:sz w:val="20"/>
    </w:rPr>
  </w:style>
  <w:style w:type="character" w:customStyle="1" w:styleId="EcuacionesCar">
    <w:name w:val="Ecuaciones Car"/>
    <w:basedOn w:val="Fuentedeprrafopredeter"/>
    <w:link w:val="Ecuaciones"/>
    <w:rsid w:val="00AC5CF7"/>
    <w:rPr>
      <w:rFonts w:ascii="Cambria Math" w:hAnsi="Cambria Math"/>
      <w:i/>
      <w:sz w:val="20"/>
    </w:rPr>
  </w:style>
  <w:style w:type="paragraph" w:styleId="NormalWeb">
    <w:name w:val="Normal (Web)"/>
    <w:basedOn w:val="Normal"/>
    <w:uiPriority w:val="99"/>
    <w:semiHidden/>
    <w:unhideWhenUsed/>
    <w:rsid w:val="00082CE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082CE9"/>
    <w:rPr>
      <w:i/>
      <w:iCs/>
    </w:rPr>
  </w:style>
  <w:style w:type="character" w:customStyle="1" w:styleId="mi">
    <w:name w:val="mi"/>
    <w:basedOn w:val="Fuentedeprrafopredeter"/>
    <w:rsid w:val="00082CE9"/>
  </w:style>
  <w:style w:type="character" w:customStyle="1" w:styleId="mo">
    <w:name w:val="mo"/>
    <w:basedOn w:val="Fuentedeprrafopredeter"/>
    <w:rsid w:val="00082CE9"/>
  </w:style>
  <w:style w:type="character" w:customStyle="1" w:styleId="mjxassistivemathml">
    <w:name w:val="mjx_assistive_mathml"/>
    <w:basedOn w:val="Fuentedeprrafopredeter"/>
    <w:rsid w:val="00082CE9"/>
  </w:style>
  <w:style w:type="character" w:customStyle="1" w:styleId="mn">
    <w:name w:val="mn"/>
    <w:basedOn w:val="Fuentedeprrafopredeter"/>
    <w:rsid w:val="00082CE9"/>
  </w:style>
  <w:style w:type="paragraph" w:styleId="Subttulo">
    <w:name w:val="Subtitle"/>
    <w:basedOn w:val="Normal"/>
    <w:next w:val="Normal"/>
    <w:link w:val="SubttuloCar"/>
    <w:uiPriority w:val="11"/>
    <w:qFormat/>
    <w:rsid w:val="00484B98"/>
    <w:pPr>
      <w:numPr>
        <w:ilvl w:val="1"/>
      </w:numPr>
    </w:pPr>
    <w:rPr>
      <w:rFonts w:eastAsiaTheme="minorEastAsia"/>
      <w:color w:val="5A5A5A" w:themeColor="text1" w:themeTint="A5"/>
      <w:spacing w:val="15"/>
      <w:sz w:val="26"/>
    </w:rPr>
  </w:style>
  <w:style w:type="character" w:customStyle="1" w:styleId="SubttuloCar">
    <w:name w:val="Subtítulo Car"/>
    <w:basedOn w:val="Fuentedeprrafopredeter"/>
    <w:link w:val="Subttulo"/>
    <w:uiPriority w:val="11"/>
    <w:rsid w:val="00484B98"/>
    <w:rPr>
      <w:rFonts w:ascii="LM Roman 10" w:eastAsiaTheme="minorEastAsia" w:hAnsi="LM Roman 10"/>
      <w:color w:val="5A5A5A" w:themeColor="text1" w:themeTint="A5"/>
      <w:spacing w:val="15"/>
      <w:sz w:val="26"/>
    </w:rPr>
  </w:style>
  <w:style w:type="character" w:styleId="Mencinsinresolver">
    <w:name w:val="Unresolved Mention"/>
    <w:basedOn w:val="Fuentedeprrafopredeter"/>
    <w:uiPriority w:val="99"/>
    <w:semiHidden/>
    <w:unhideWhenUsed/>
    <w:rsid w:val="00E90102"/>
    <w:rPr>
      <w:color w:val="605E5C"/>
      <w:shd w:val="clear" w:color="auto" w:fill="E1DFDD"/>
    </w:rPr>
  </w:style>
  <w:style w:type="character" w:customStyle="1" w:styleId="hgkelc">
    <w:name w:val="hgkelc"/>
    <w:basedOn w:val="Fuentedeprrafopredeter"/>
    <w:rsid w:val="003E3582"/>
  </w:style>
  <w:style w:type="character" w:customStyle="1" w:styleId="acopre">
    <w:name w:val="acopre"/>
    <w:basedOn w:val="Fuentedeprrafopredeter"/>
    <w:rsid w:val="006C2BA8"/>
  </w:style>
  <w:style w:type="character" w:styleId="Textoennegrita">
    <w:name w:val="Strong"/>
    <w:basedOn w:val="Fuentedeprrafopredeter"/>
    <w:uiPriority w:val="22"/>
    <w:qFormat/>
    <w:rsid w:val="00334892"/>
    <w:rPr>
      <w:b/>
      <w:bCs/>
    </w:rPr>
  </w:style>
  <w:style w:type="character" w:styleId="Refdecomentario">
    <w:name w:val="annotation reference"/>
    <w:basedOn w:val="Fuentedeprrafopredeter"/>
    <w:uiPriority w:val="99"/>
    <w:semiHidden/>
    <w:unhideWhenUsed/>
    <w:rsid w:val="00A11010"/>
    <w:rPr>
      <w:sz w:val="16"/>
      <w:szCs w:val="16"/>
    </w:rPr>
  </w:style>
  <w:style w:type="paragraph" w:styleId="Textocomentario">
    <w:name w:val="annotation text"/>
    <w:basedOn w:val="Normal"/>
    <w:link w:val="TextocomentarioCar"/>
    <w:uiPriority w:val="99"/>
    <w:semiHidden/>
    <w:unhideWhenUsed/>
    <w:rsid w:val="00A1101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1010"/>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A11010"/>
    <w:rPr>
      <w:b/>
      <w:bCs/>
    </w:rPr>
  </w:style>
  <w:style w:type="character" w:customStyle="1" w:styleId="AsuntodelcomentarioCar">
    <w:name w:val="Asunto del comentario Car"/>
    <w:basedOn w:val="TextocomentarioCar"/>
    <w:link w:val="Asuntodelcomentario"/>
    <w:uiPriority w:val="99"/>
    <w:semiHidden/>
    <w:rsid w:val="00A11010"/>
    <w:rPr>
      <w:rFonts w:ascii="LM Roman 10" w:hAnsi="LM Roman 10"/>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683">
      <w:bodyDiv w:val="1"/>
      <w:marLeft w:val="0"/>
      <w:marRight w:val="0"/>
      <w:marTop w:val="0"/>
      <w:marBottom w:val="0"/>
      <w:divBdr>
        <w:top w:val="none" w:sz="0" w:space="0" w:color="auto"/>
        <w:left w:val="none" w:sz="0" w:space="0" w:color="auto"/>
        <w:bottom w:val="none" w:sz="0" w:space="0" w:color="auto"/>
        <w:right w:val="none" w:sz="0" w:space="0" w:color="auto"/>
      </w:divBdr>
    </w:div>
    <w:div w:id="605502925">
      <w:bodyDiv w:val="1"/>
      <w:marLeft w:val="0"/>
      <w:marRight w:val="0"/>
      <w:marTop w:val="0"/>
      <w:marBottom w:val="0"/>
      <w:divBdr>
        <w:top w:val="none" w:sz="0" w:space="0" w:color="auto"/>
        <w:left w:val="none" w:sz="0" w:space="0" w:color="auto"/>
        <w:bottom w:val="none" w:sz="0" w:space="0" w:color="auto"/>
        <w:right w:val="none" w:sz="0" w:space="0" w:color="auto"/>
      </w:divBdr>
      <w:divsChild>
        <w:div w:id="596438">
          <w:marLeft w:val="0"/>
          <w:marRight w:val="0"/>
          <w:marTop w:val="0"/>
          <w:marBottom w:val="0"/>
          <w:divBdr>
            <w:top w:val="none" w:sz="0" w:space="0" w:color="auto"/>
            <w:left w:val="none" w:sz="0" w:space="0" w:color="auto"/>
            <w:bottom w:val="none" w:sz="0" w:space="0" w:color="auto"/>
            <w:right w:val="none" w:sz="0" w:space="0" w:color="auto"/>
          </w:divBdr>
        </w:div>
      </w:divsChild>
    </w:div>
    <w:div w:id="1102995936">
      <w:bodyDiv w:val="1"/>
      <w:marLeft w:val="0"/>
      <w:marRight w:val="0"/>
      <w:marTop w:val="0"/>
      <w:marBottom w:val="0"/>
      <w:divBdr>
        <w:top w:val="none" w:sz="0" w:space="0" w:color="auto"/>
        <w:left w:val="none" w:sz="0" w:space="0" w:color="auto"/>
        <w:bottom w:val="none" w:sz="0" w:space="0" w:color="auto"/>
        <w:right w:val="none" w:sz="0" w:space="0" w:color="auto"/>
      </w:divBdr>
    </w:div>
    <w:div w:id="1409811573">
      <w:bodyDiv w:val="1"/>
      <w:marLeft w:val="0"/>
      <w:marRight w:val="0"/>
      <w:marTop w:val="0"/>
      <w:marBottom w:val="0"/>
      <w:divBdr>
        <w:top w:val="none" w:sz="0" w:space="0" w:color="auto"/>
        <w:left w:val="none" w:sz="0" w:space="0" w:color="auto"/>
        <w:bottom w:val="none" w:sz="0" w:space="0" w:color="auto"/>
        <w:right w:val="none" w:sz="0" w:space="0" w:color="auto"/>
      </w:divBdr>
      <w:divsChild>
        <w:div w:id="1708602364">
          <w:marLeft w:val="0"/>
          <w:marRight w:val="0"/>
          <w:marTop w:val="0"/>
          <w:marBottom w:val="0"/>
          <w:divBdr>
            <w:top w:val="none" w:sz="0" w:space="0" w:color="auto"/>
            <w:left w:val="none" w:sz="0" w:space="0" w:color="auto"/>
            <w:bottom w:val="none" w:sz="0" w:space="0" w:color="auto"/>
            <w:right w:val="none" w:sz="0" w:space="0" w:color="auto"/>
          </w:divBdr>
        </w:div>
      </w:divsChild>
    </w:div>
    <w:div w:id="1680623209">
      <w:bodyDiv w:val="1"/>
      <w:marLeft w:val="0"/>
      <w:marRight w:val="0"/>
      <w:marTop w:val="0"/>
      <w:marBottom w:val="0"/>
      <w:divBdr>
        <w:top w:val="none" w:sz="0" w:space="0" w:color="auto"/>
        <w:left w:val="none" w:sz="0" w:space="0" w:color="auto"/>
        <w:bottom w:val="none" w:sz="0" w:space="0" w:color="auto"/>
        <w:right w:val="none" w:sz="0" w:space="0" w:color="auto"/>
      </w:divBdr>
    </w:div>
    <w:div w:id="1711105512">
      <w:bodyDiv w:val="1"/>
      <w:marLeft w:val="0"/>
      <w:marRight w:val="0"/>
      <w:marTop w:val="0"/>
      <w:marBottom w:val="0"/>
      <w:divBdr>
        <w:top w:val="none" w:sz="0" w:space="0" w:color="auto"/>
        <w:left w:val="none" w:sz="0" w:space="0" w:color="auto"/>
        <w:bottom w:val="none" w:sz="0" w:space="0" w:color="auto"/>
        <w:right w:val="none" w:sz="0" w:space="0" w:color="auto"/>
      </w:divBdr>
      <w:divsChild>
        <w:div w:id="557862830">
          <w:marLeft w:val="0"/>
          <w:marRight w:val="0"/>
          <w:marTop w:val="0"/>
          <w:marBottom w:val="0"/>
          <w:divBdr>
            <w:top w:val="none" w:sz="0" w:space="0" w:color="auto"/>
            <w:left w:val="none" w:sz="0" w:space="0" w:color="auto"/>
            <w:bottom w:val="none" w:sz="0" w:space="0" w:color="auto"/>
            <w:right w:val="none" w:sz="0" w:space="0" w:color="auto"/>
          </w:divBdr>
        </w:div>
      </w:divsChild>
    </w:div>
    <w:div w:id="1827822709">
      <w:bodyDiv w:val="1"/>
      <w:marLeft w:val="0"/>
      <w:marRight w:val="0"/>
      <w:marTop w:val="0"/>
      <w:marBottom w:val="0"/>
      <w:divBdr>
        <w:top w:val="none" w:sz="0" w:space="0" w:color="auto"/>
        <w:left w:val="none" w:sz="0" w:space="0" w:color="auto"/>
        <w:bottom w:val="none" w:sz="0" w:space="0" w:color="auto"/>
        <w:right w:val="none" w:sz="0" w:space="0" w:color="auto"/>
      </w:divBdr>
      <w:divsChild>
        <w:div w:id="1027558148">
          <w:marLeft w:val="0"/>
          <w:marRight w:val="0"/>
          <w:marTop w:val="0"/>
          <w:marBottom w:val="0"/>
          <w:divBdr>
            <w:top w:val="none" w:sz="0" w:space="0" w:color="auto"/>
            <w:left w:val="none" w:sz="0" w:space="0" w:color="auto"/>
            <w:bottom w:val="none" w:sz="0" w:space="0" w:color="auto"/>
            <w:right w:val="none" w:sz="0" w:space="0" w:color="auto"/>
          </w:divBdr>
        </w:div>
      </w:divsChild>
    </w:div>
    <w:div w:id="1948847273">
      <w:bodyDiv w:val="1"/>
      <w:marLeft w:val="0"/>
      <w:marRight w:val="0"/>
      <w:marTop w:val="0"/>
      <w:marBottom w:val="0"/>
      <w:divBdr>
        <w:top w:val="none" w:sz="0" w:space="0" w:color="auto"/>
        <w:left w:val="none" w:sz="0" w:space="0" w:color="auto"/>
        <w:bottom w:val="none" w:sz="0" w:space="0" w:color="auto"/>
        <w:right w:val="none" w:sz="0" w:space="0" w:color="auto"/>
      </w:divBdr>
      <w:divsChild>
        <w:div w:id="1243030867">
          <w:marLeft w:val="0"/>
          <w:marRight w:val="0"/>
          <w:marTop w:val="0"/>
          <w:marBottom w:val="0"/>
          <w:divBdr>
            <w:top w:val="none" w:sz="0" w:space="0" w:color="auto"/>
            <w:left w:val="none" w:sz="0" w:space="0" w:color="auto"/>
            <w:bottom w:val="none" w:sz="0" w:space="0" w:color="auto"/>
            <w:right w:val="none" w:sz="0" w:space="0" w:color="auto"/>
          </w:divBdr>
        </w:div>
      </w:divsChild>
    </w:div>
    <w:div w:id="2009792981">
      <w:bodyDiv w:val="1"/>
      <w:marLeft w:val="0"/>
      <w:marRight w:val="0"/>
      <w:marTop w:val="0"/>
      <w:marBottom w:val="0"/>
      <w:divBdr>
        <w:top w:val="none" w:sz="0" w:space="0" w:color="auto"/>
        <w:left w:val="none" w:sz="0" w:space="0" w:color="auto"/>
        <w:bottom w:val="none" w:sz="0" w:space="0" w:color="auto"/>
        <w:right w:val="none" w:sz="0" w:space="0" w:color="auto"/>
      </w:divBdr>
      <w:divsChild>
        <w:div w:id="187473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693\Documents\Plantillas%20personalizadas%20de%20Office\Informe%20de%20resultad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FE78E-7A32-45D0-93B7-2B63AA6CE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resultados.dotx</Template>
  <TotalTime>1739</TotalTime>
  <Pages>13</Pages>
  <Words>3757</Words>
  <Characters>21419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Universidad de Cantabria</Company>
  <LinksUpToDate>false</LinksUpToDate>
  <CharactersWithSpaces>25126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CASADO RODRIGUEZ, JESUS</dc:creator>
  <cp:keywords/>
  <dc:description/>
  <cp:lastModifiedBy>Jesús Casado Rodríguez</cp:lastModifiedBy>
  <cp:revision>101</cp:revision>
  <dcterms:created xsi:type="dcterms:W3CDTF">2020-10-13T18:40:00Z</dcterms:created>
  <dcterms:modified xsi:type="dcterms:W3CDTF">2022-04-24T18:11:00Z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dbeb398a-189a-33d0-ad7f-185bcc1250f6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