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0B8412" w14:textId="28B5A83D" w:rsidR="006B1957" w:rsidRDefault="00A810DE" w:rsidP="00DA626B">
      <w:pPr>
        <w:spacing w:after="0" w:line="480" w:lineRule="auto"/>
        <w:rPr>
          <w:rFonts w:ascii="Times New Roman" w:hAnsi="Times New Roman"/>
          <w:b/>
          <w:color w:val="000000"/>
          <w:sz w:val="24"/>
          <w:szCs w:val="24"/>
          <w:lang w:val="en-GB"/>
        </w:rPr>
      </w:pPr>
      <w:r>
        <w:rPr>
          <w:rFonts w:ascii="Times New Roman" w:hAnsi="Times New Roman"/>
          <w:b/>
          <w:color w:val="000000"/>
          <w:sz w:val="24"/>
          <w:szCs w:val="24"/>
          <w:lang w:val="en-GB"/>
        </w:rPr>
        <w:t>Authors</w:t>
      </w:r>
    </w:p>
    <w:p w14:paraId="2AEB4B1C" w14:textId="71CCDCB9" w:rsidR="00DC250C" w:rsidRDefault="00DC250C" w:rsidP="00DC250C">
      <w:pPr>
        <w:spacing w:after="120" w:line="480" w:lineRule="auto"/>
        <w:jc w:val="both"/>
        <w:rPr>
          <w:rFonts w:ascii="Times New Roman" w:hAnsi="Times New Roman"/>
          <w:iCs/>
          <w:sz w:val="24"/>
          <w:szCs w:val="24"/>
          <w:lang w:val="en-GB"/>
        </w:rPr>
      </w:pPr>
      <w:r w:rsidRPr="001345E1">
        <w:rPr>
          <w:rFonts w:ascii="Times New Roman" w:hAnsi="Times New Roman"/>
          <w:bCs/>
          <w:color w:val="000000"/>
          <w:sz w:val="24"/>
          <w:szCs w:val="24"/>
          <w:lang w:val="en-GB"/>
        </w:rPr>
        <w:t xml:space="preserve">Casado-Rodríguez, Jesús, </w:t>
      </w:r>
      <w:r w:rsidRPr="00A810DE">
        <w:rPr>
          <w:rFonts w:ascii="Times New Roman" w:hAnsi="Times New Roman"/>
          <w:iCs/>
          <w:sz w:val="24"/>
          <w:szCs w:val="24"/>
          <w:lang w:val="en-GB"/>
        </w:rPr>
        <w:t xml:space="preserve">European Commission Joint Research Centre, </w:t>
      </w:r>
      <w:proofErr w:type="spellStart"/>
      <w:r w:rsidRPr="00A810DE">
        <w:rPr>
          <w:rFonts w:ascii="Times New Roman" w:hAnsi="Times New Roman"/>
          <w:iCs/>
          <w:sz w:val="24"/>
          <w:szCs w:val="24"/>
          <w:lang w:val="en-GB"/>
        </w:rPr>
        <w:t>Ispra</w:t>
      </w:r>
      <w:proofErr w:type="spellEnd"/>
      <w:r w:rsidRPr="00A810DE">
        <w:rPr>
          <w:rFonts w:ascii="Times New Roman" w:hAnsi="Times New Roman"/>
          <w:iCs/>
          <w:sz w:val="24"/>
          <w:szCs w:val="24"/>
          <w:lang w:val="en-GB"/>
        </w:rPr>
        <w:t>, Italy</w:t>
      </w:r>
    </w:p>
    <w:p w14:paraId="5B3C88EF" w14:textId="5E33229C" w:rsidR="00DC250C" w:rsidRDefault="00DC250C" w:rsidP="00DC250C">
      <w:pPr>
        <w:spacing w:after="120" w:line="480" w:lineRule="auto"/>
        <w:jc w:val="both"/>
        <w:rPr>
          <w:rFonts w:ascii="Times New Roman" w:hAnsi="Times New Roman"/>
          <w:iCs/>
          <w:sz w:val="24"/>
          <w:szCs w:val="24"/>
          <w:lang w:val="en-GB"/>
        </w:rPr>
      </w:pPr>
      <w:r w:rsidRPr="00DC250C">
        <w:rPr>
          <w:rFonts w:ascii="Times New Roman" w:hAnsi="Times New Roman"/>
          <w:iCs/>
          <w:sz w:val="24"/>
          <w:szCs w:val="24"/>
          <w:lang w:val="en-GB"/>
        </w:rPr>
        <w:t xml:space="preserve">Grimaldi, Stefania, European Commission Joint Research </w:t>
      </w:r>
      <w:r>
        <w:rPr>
          <w:rFonts w:ascii="Times New Roman" w:hAnsi="Times New Roman"/>
          <w:iCs/>
          <w:sz w:val="24"/>
          <w:szCs w:val="24"/>
          <w:lang w:val="en-GB"/>
        </w:rPr>
        <w:t xml:space="preserve">Centre, </w:t>
      </w:r>
      <w:proofErr w:type="spellStart"/>
      <w:r>
        <w:rPr>
          <w:rFonts w:ascii="Times New Roman" w:hAnsi="Times New Roman"/>
          <w:iCs/>
          <w:sz w:val="24"/>
          <w:szCs w:val="24"/>
          <w:lang w:val="en-GB"/>
        </w:rPr>
        <w:t>Ispra</w:t>
      </w:r>
      <w:proofErr w:type="spellEnd"/>
      <w:r>
        <w:rPr>
          <w:rFonts w:ascii="Times New Roman" w:hAnsi="Times New Roman"/>
          <w:iCs/>
          <w:sz w:val="24"/>
          <w:szCs w:val="24"/>
          <w:lang w:val="en-GB"/>
        </w:rPr>
        <w:t>, Italy</w:t>
      </w:r>
    </w:p>
    <w:p w14:paraId="6AC3964F" w14:textId="5642D1D9" w:rsidR="00DC250C" w:rsidRPr="00DC250C" w:rsidRDefault="00DC250C" w:rsidP="00DC250C">
      <w:pPr>
        <w:spacing w:after="120" w:line="480" w:lineRule="auto"/>
        <w:jc w:val="both"/>
        <w:rPr>
          <w:rFonts w:ascii="Times New Roman" w:hAnsi="Times New Roman"/>
          <w:iCs/>
          <w:sz w:val="24"/>
          <w:szCs w:val="24"/>
          <w:lang w:val="en-GB"/>
        </w:rPr>
      </w:pPr>
      <w:proofErr w:type="spellStart"/>
      <w:r>
        <w:rPr>
          <w:rFonts w:ascii="Times New Roman" w:hAnsi="Times New Roman"/>
          <w:iCs/>
          <w:sz w:val="24"/>
          <w:szCs w:val="24"/>
          <w:lang w:val="en-GB"/>
        </w:rPr>
        <w:t>Salamon</w:t>
      </w:r>
      <w:proofErr w:type="spellEnd"/>
      <w:r>
        <w:rPr>
          <w:rFonts w:ascii="Times New Roman" w:hAnsi="Times New Roman"/>
          <w:iCs/>
          <w:sz w:val="24"/>
          <w:szCs w:val="24"/>
          <w:lang w:val="en-GB"/>
        </w:rPr>
        <w:t xml:space="preserve">, Peter, European Commission Joint Research Centre, </w:t>
      </w:r>
      <w:proofErr w:type="spellStart"/>
      <w:r>
        <w:rPr>
          <w:rFonts w:ascii="Times New Roman" w:hAnsi="Times New Roman"/>
          <w:iCs/>
          <w:sz w:val="24"/>
          <w:szCs w:val="24"/>
          <w:lang w:val="en-GB"/>
        </w:rPr>
        <w:t>Ispra</w:t>
      </w:r>
      <w:proofErr w:type="spellEnd"/>
      <w:r>
        <w:rPr>
          <w:rFonts w:ascii="Times New Roman" w:hAnsi="Times New Roman"/>
          <w:iCs/>
          <w:sz w:val="24"/>
          <w:szCs w:val="24"/>
          <w:lang w:val="en-GB"/>
        </w:rPr>
        <w:t>, Italy</w:t>
      </w:r>
    </w:p>
    <w:p w14:paraId="49096CAB" w14:textId="5F173C41" w:rsidR="00FE12B1" w:rsidRPr="00CA18A2" w:rsidRDefault="00FE12B1" w:rsidP="00AF3472">
      <w:pPr>
        <w:spacing w:after="0" w:line="480" w:lineRule="auto"/>
        <w:rPr>
          <w:rFonts w:ascii="Times New Roman" w:eastAsia="Arial" w:hAnsi="Times New Roman"/>
          <w:sz w:val="24"/>
          <w:szCs w:val="24"/>
          <w:lang w:val="en-GB"/>
        </w:rPr>
      </w:pPr>
      <w:r w:rsidRPr="60FB6146">
        <w:rPr>
          <w:rFonts w:ascii="Times New Roman" w:hAnsi="Times New Roman"/>
          <w:b/>
          <w:bCs/>
          <w:color w:val="000000" w:themeColor="text1"/>
          <w:sz w:val="24"/>
          <w:szCs w:val="24"/>
          <w:lang w:val="en-GB"/>
        </w:rPr>
        <w:t>2.a</w:t>
      </w:r>
      <w:r w:rsidR="009F0FF3" w:rsidRPr="60FB6146">
        <w:rPr>
          <w:rFonts w:ascii="Times New Roman" w:hAnsi="Times New Roman"/>
          <w:b/>
          <w:bCs/>
          <w:color w:val="000000" w:themeColor="text1"/>
          <w:sz w:val="24"/>
          <w:szCs w:val="24"/>
          <w:lang w:val="en-GB"/>
        </w:rPr>
        <w:t>.</w:t>
      </w:r>
      <w:r w:rsidRPr="60FB6146">
        <w:rPr>
          <w:rFonts w:ascii="Times New Roman" w:hAnsi="Times New Roman"/>
          <w:b/>
          <w:bCs/>
          <w:color w:val="000000" w:themeColor="text1"/>
          <w:sz w:val="24"/>
          <w:szCs w:val="24"/>
          <w:lang w:val="en-GB"/>
        </w:rPr>
        <w:t>1</w:t>
      </w:r>
      <w:r w:rsidR="009F0FF3" w:rsidRPr="60FB6146">
        <w:rPr>
          <w:rFonts w:ascii="Times New Roman" w:hAnsi="Times New Roman"/>
          <w:b/>
          <w:bCs/>
          <w:color w:val="000000" w:themeColor="text1"/>
          <w:sz w:val="24"/>
          <w:szCs w:val="24"/>
          <w:lang w:val="en-GB"/>
        </w:rPr>
        <w:t xml:space="preserve"> </w:t>
      </w:r>
      <w:r w:rsidR="00DC250C" w:rsidRPr="60FB6146">
        <w:rPr>
          <w:rFonts w:ascii="Times New Roman" w:hAnsi="Times New Roman"/>
          <w:b/>
          <w:bCs/>
          <w:color w:val="000000" w:themeColor="text1"/>
          <w:sz w:val="24"/>
          <w:szCs w:val="24"/>
          <w:lang w:val="en-GB"/>
        </w:rPr>
        <w:t>River discharge and runoff</w:t>
      </w:r>
      <w:r w:rsidR="00AF3472" w:rsidRPr="60FB6146">
        <w:rPr>
          <w:rFonts w:ascii="Times New Roman" w:hAnsi="Times New Roman"/>
          <w:b/>
          <w:bCs/>
          <w:color w:val="000000" w:themeColor="text1"/>
          <w:sz w:val="24"/>
          <w:szCs w:val="24"/>
          <w:lang w:val="en-GB"/>
        </w:rPr>
        <w:t xml:space="preserve"> - </w:t>
      </w:r>
      <w:r w:rsidR="00DC250C" w:rsidRPr="60FB6146">
        <w:rPr>
          <w:rFonts w:ascii="Times New Roman" w:eastAsia="Arial" w:hAnsi="Times New Roman"/>
          <w:sz w:val="24"/>
          <w:szCs w:val="24"/>
          <w:lang w:val="en-GB"/>
        </w:rPr>
        <w:t xml:space="preserve">J. Casado-Rodríguez, S. Grimaldi, P. </w:t>
      </w:r>
      <w:proofErr w:type="spellStart"/>
      <w:r w:rsidR="00DC250C" w:rsidRPr="60FB6146">
        <w:rPr>
          <w:rFonts w:ascii="Times New Roman" w:eastAsia="Arial" w:hAnsi="Times New Roman"/>
          <w:sz w:val="24"/>
          <w:szCs w:val="24"/>
          <w:lang w:val="en-GB"/>
        </w:rPr>
        <w:t>Salamon</w:t>
      </w:r>
      <w:proofErr w:type="spellEnd"/>
    </w:p>
    <w:p w14:paraId="1B802767" w14:textId="40EB58C2" w:rsidR="00961713" w:rsidRPr="001345E1" w:rsidRDefault="001345E1" w:rsidP="00DA626B">
      <w:pPr>
        <w:spacing w:after="0" w:line="480" w:lineRule="auto"/>
        <w:rPr>
          <w:rFonts w:ascii="Times New Roman" w:hAnsi="Times New Roman"/>
          <w:sz w:val="24"/>
          <w:szCs w:val="24"/>
          <w:lang w:val="en-GB"/>
        </w:rPr>
      </w:pPr>
      <w:r w:rsidRPr="60FB6146">
        <w:rPr>
          <w:rFonts w:ascii="Times New Roman" w:hAnsi="Times New Roman"/>
          <w:sz w:val="24"/>
          <w:szCs w:val="24"/>
          <w:lang w:val="en-GB"/>
        </w:rPr>
        <w:t xml:space="preserve">From the </w:t>
      </w:r>
      <w:r w:rsidR="00DA3474" w:rsidRPr="60FB6146">
        <w:rPr>
          <w:rFonts w:ascii="Times New Roman" w:hAnsi="Times New Roman"/>
          <w:sz w:val="24"/>
          <w:szCs w:val="24"/>
          <w:lang w:val="en-GB"/>
        </w:rPr>
        <w:t>perspective</w:t>
      </w:r>
      <w:r w:rsidRPr="60FB6146">
        <w:rPr>
          <w:rFonts w:ascii="Times New Roman" w:hAnsi="Times New Roman"/>
          <w:sz w:val="24"/>
          <w:szCs w:val="24"/>
          <w:lang w:val="en-GB"/>
        </w:rPr>
        <w:t xml:space="preserve"> of river discharge and runoff, 2024 was another dry year, </w:t>
      </w:r>
      <w:r w:rsidR="00DA3474" w:rsidRPr="60FB6146">
        <w:rPr>
          <w:rFonts w:ascii="Times New Roman" w:hAnsi="Times New Roman"/>
          <w:sz w:val="24"/>
          <w:szCs w:val="24"/>
          <w:lang w:val="en-GB"/>
        </w:rPr>
        <w:t>continuing</w:t>
      </w:r>
      <w:r w:rsidRPr="60FB6146">
        <w:rPr>
          <w:rFonts w:ascii="Times New Roman" w:hAnsi="Times New Roman"/>
          <w:sz w:val="24"/>
          <w:szCs w:val="24"/>
          <w:lang w:val="en-GB"/>
        </w:rPr>
        <w:t xml:space="preserve"> a </w:t>
      </w:r>
      <w:r w:rsidR="00DA3474" w:rsidRPr="60FB6146">
        <w:rPr>
          <w:rFonts w:ascii="Times New Roman" w:hAnsi="Times New Roman"/>
          <w:sz w:val="24"/>
          <w:szCs w:val="24"/>
          <w:lang w:val="en-GB"/>
        </w:rPr>
        <w:t xml:space="preserve">trend of </w:t>
      </w:r>
      <w:r w:rsidR="002E1D44">
        <w:rPr>
          <w:rFonts w:ascii="Times New Roman" w:hAnsi="Times New Roman"/>
          <w:sz w:val="24"/>
          <w:szCs w:val="24"/>
          <w:lang w:val="en-GB"/>
        </w:rPr>
        <w:t>six</w:t>
      </w:r>
      <w:r w:rsidR="00DA3474" w:rsidRPr="60FB6146">
        <w:rPr>
          <w:rFonts w:ascii="Times New Roman" w:hAnsi="Times New Roman"/>
          <w:sz w:val="24"/>
          <w:szCs w:val="24"/>
          <w:lang w:val="en-GB"/>
        </w:rPr>
        <w:t xml:space="preserve"> consecutive</w:t>
      </w:r>
      <w:r w:rsidRPr="60FB6146">
        <w:rPr>
          <w:rFonts w:ascii="Times New Roman" w:hAnsi="Times New Roman"/>
          <w:sz w:val="24"/>
          <w:szCs w:val="24"/>
          <w:lang w:val="en-GB"/>
        </w:rPr>
        <w:t xml:space="preserve"> years with </w:t>
      </w:r>
      <w:r w:rsidR="00DA3474" w:rsidRPr="60FB6146">
        <w:rPr>
          <w:rFonts w:ascii="Times New Roman" w:hAnsi="Times New Roman"/>
          <w:sz w:val="24"/>
          <w:szCs w:val="24"/>
          <w:lang w:val="en-GB"/>
        </w:rPr>
        <w:t>below-</w:t>
      </w:r>
      <w:r w:rsidRPr="60FB6146">
        <w:rPr>
          <w:rFonts w:ascii="Times New Roman" w:hAnsi="Times New Roman"/>
          <w:sz w:val="24"/>
          <w:szCs w:val="24"/>
          <w:lang w:val="en-GB"/>
        </w:rPr>
        <w:t xml:space="preserve">normal </w:t>
      </w:r>
      <w:r w:rsidR="004410BE" w:rsidRPr="60FB6146">
        <w:rPr>
          <w:rFonts w:ascii="Times New Roman" w:hAnsi="Times New Roman"/>
          <w:sz w:val="24"/>
          <w:szCs w:val="24"/>
          <w:lang w:val="en-GB"/>
        </w:rPr>
        <w:t xml:space="preserve">global </w:t>
      </w:r>
      <w:r w:rsidRPr="60FB6146">
        <w:rPr>
          <w:rFonts w:ascii="Times New Roman" w:hAnsi="Times New Roman"/>
          <w:sz w:val="24"/>
          <w:szCs w:val="24"/>
          <w:lang w:val="en-GB"/>
        </w:rPr>
        <w:t xml:space="preserve">river discharge and </w:t>
      </w:r>
      <w:r w:rsidR="008D3BB2">
        <w:rPr>
          <w:rFonts w:ascii="Times New Roman" w:hAnsi="Times New Roman"/>
          <w:sz w:val="24"/>
          <w:szCs w:val="24"/>
          <w:lang w:val="en-GB"/>
        </w:rPr>
        <w:t>four</w:t>
      </w:r>
      <w:r w:rsidRPr="60FB6146">
        <w:rPr>
          <w:rFonts w:ascii="Times New Roman" w:hAnsi="Times New Roman"/>
          <w:sz w:val="24"/>
          <w:szCs w:val="24"/>
          <w:lang w:val="en-GB"/>
        </w:rPr>
        <w:t xml:space="preserve"> years </w:t>
      </w:r>
      <w:r w:rsidR="00DA3474" w:rsidRPr="60FB6146">
        <w:rPr>
          <w:rFonts w:ascii="Times New Roman" w:hAnsi="Times New Roman"/>
          <w:sz w:val="24"/>
          <w:szCs w:val="24"/>
          <w:lang w:val="en-GB"/>
        </w:rPr>
        <w:t>of below-normal</w:t>
      </w:r>
      <w:r w:rsidRPr="60FB6146">
        <w:rPr>
          <w:rFonts w:ascii="Times New Roman" w:hAnsi="Times New Roman"/>
          <w:sz w:val="24"/>
          <w:szCs w:val="24"/>
          <w:lang w:val="en-GB"/>
        </w:rPr>
        <w:t xml:space="preserve"> global runoff. The </w:t>
      </w:r>
      <w:r w:rsidR="00DA3474" w:rsidRPr="60FB6146">
        <w:rPr>
          <w:rFonts w:ascii="Times New Roman" w:hAnsi="Times New Roman"/>
          <w:sz w:val="24"/>
          <w:szCs w:val="24"/>
          <w:lang w:val="en-GB"/>
        </w:rPr>
        <w:t>primary</w:t>
      </w:r>
      <w:r w:rsidRPr="60FB6146">
        <w:rPr>
          <w:rFonts w:ascii="Times New Roman" w:hAnsi="Times New Roman"/>
          <w:sz w:val="24"/>
          <w:szCs w:val="24"/>
          <w:lang w:val="en-GB"/>
        </w:rPr>
        <w:t xml:space="preserve"> driver of this global p</w:t>
      </w:r>
      <w:r w:rsidR="00DA3474" w:rsidRPr="60FB6146">
        <w:rPr>
          <w:rFonts w:ascii="Times New Roman" w:hAnsi="Times New Roman"/>
          <w:sz w:val="24"/>
          <w:szCs w:val="24"/>
          <w:lang w:val="en-GB"/>
        </w:rPr>
        <w:t>attern</w:t>
      </w:r>
      <w:r w:rsidRPr="60FB6146">
        <w:rPr>
          <w:rFonts w:ascii="Times New Roman" w:hAnsi="Times New Roman"/>
          <w:sz w:val="24"/>
          <w:szCs w:val="24"/>
          <w:lang w:val="en-GB"/>
        </w:rPr>
        <w:t xml:space="preserve"> was a </w:t>
      </w:r>
      <w:r w:rsidR="00E343B3" w:rsidRPr="60FB6146">
        <w:rPr>
          <w:rFonts w:ascii="Times New Roman" w:hAnsi="Times New Roman"/>
          <w:sz w:val="24"/>
          <w:szCs w:val="24"/>
          <w:lang w:val="en-GB"/>
        </w:rPr>
        <w:t>record-breaking</w:t>
      </w:r>
      <w:r w:rsidRPr="60FB6146">
        <w:rPr>
          <w:rFonts w:ascii="Times New Roman" w:hAnsi="Times New Roman"/>
          <w:sz w:val="24"/>
          <w:szCs w:val="24"/>
          <w:lang w:val="en-GB"/>
        </w:rPr>
        <w:t xml:space="preserve"> drought in the Amazon </w:t>
      </w:r>
      <w:r w:rsidR="00E343B3" w:rsidRPr="60FB6146">
        <w:rPr>
          <w:rFonts w:ascii="Times New Roman" w:hAnsi="Times New Roman"/>
          <w:sz w:val="24"/>
          <w:szCs w:val="24"/>
          <w:lang w:val="en-GB"/>
        </w:rPr>
        <w:t xml:space="preserve">and La Plata </w:t>
      </w:r>
      <w:r w:rsidRPr="60FB6146">
        <w:rPr>
          <w:rFonts w:ascii="Times New Roman" w:hAnsi="Times New Roman"/>
          <w:sz w:val="24"/>
          <w:szCs w:val="24"/>
          <w:lang w:val="en-GB"/>
        </w:rPr>
        <w:t>basin</w:t>
      </w:r>
      <w:r w:rsidR="00E343B3" w:rsidRPr="60FB6146">
        <w:rPr>
          <w:rFonts w:ascii="Times New Roman" w:hAnsi="Times New Roman"/>
          <w:sz w:val="24"/>
          <w:szCs w:val="24"/>
          <w:lang w:val="en-GB"/>
        </w:rPr>
        <w:t>s</w:t>
      </w:r>
      <w:r w:rsidRPr="60FB6146">
        <w:rPr>
          <w:rFonts w:ascii="Times New Roman" w:hAnsi="Times New Roman"/>
          <w:sz w:val="24"/>
          <w:szCs w:val="24"/>
          <w:lang w:val="en-GB"/>
        </w:rPr>
        <w:t xml:space="preserve"> </w:t>
      </w:r>
      <w:r w:rsidRPr="60FB6146">
        <w:rPr>
          <w:rFonts w:ascii="Times New Roman" w:hAnsi="Times New Roman"/>
          <w:sz w:val="24"/>
          <w:szCs w:val="24"/>
          <w:lang w:val="en-GB"/>
        </w:rPr>
        <w:fldChar w:fldCharType="begin" w:fldLock="1"/>
      </w:r>
      <w:r w:rsidR="005E0AC6">
        <w:rPr>
          <w:rFonts w:ascii="Times New Roman" w:hAnsi="Times New Roman"/>
          <w:sz w:val="24"/>
          <w:szCs w:val="24"/>
          <w:lang w:val="en-GB"/>
        </w:rPr>
        <w:instrText>ADDIN CSL_CITATION {"citationItems":[{"id":"ITEM-1","itemData":{"DOI":"10.2760/9524487","ISBN":"978-92-68-23189-0","ISSN":"1831-9424","abstract":"EUR 40168 service. It aims to provide evidence-based scientific support to the European policymaking process. The contents of this publication do not necessarily reflect the position or opinion of the European Commission. Neither the European Commission nor any person acting on behalf of the Commission is responsible for the use that might be made of this publication. For information on the methodology and quality underlying the data used in this publication for which the source is neither Eurostat nor other Commission services, users should contact the referenced source. The designations employed and the presentation of material on the maps do not imply the expression of any opinion whatsoever on the part of the European Union concerning the legal status of any country, territory, city or area or of its authorities, or concerning the delimitation of its frontiers or boundaries.","author":[{"dropping-particle":"","family":"Toreti","given":"A","non-dropping-particle":"","parse-names":false,"suffix":""},{"dropping-particle":"","family":"Bavera","given":"D","non-dropping-particle":"","parse-names":false,"suffix":""},{"dropping-particle":"","family":"Acosta Navarro","given":"J","non-dropping-particle":"","parse-names":false,"suffix":""},{"dropping-particle":"","family":"Acquafresca","given":"L","non-dropping-particle":"","parse-names":false,"suffix":""},{"dropping-particle":"","family":"Barbosa","given":"P","non-dropping-particle":"","parse-names":false,"suffix":""},{"dropping-particle":"","family":"Jager","given":"A","non-dropping-particle":"De","parse-names":false,"suffix":""},{"dropping-particle":"","family":"Ficchì","given":"A","non-dropping-particle":"","parse-names":false,"suffix":""},{"dropping-particle":"","family":"Fioravanti","given":"G","non-dropping-particle":"","parse-names":false,"suffix":""},{"dropping-particle":"","family":"Grimaldi","given":"S","non-dropping-particle":"","parse-names":false,"suffix":""},{"dropping-particle":"","family":"Hrast Essenfelder","given":"A","non-dropping-particle":"","parse-names":false,"suffix":""},{"dropping-particle":"","family":"Magni","given":"D","non-dropping-particle":"","parse-names":false,"suffix":""},{"dropping-particle":"","family":"Mccormick","given":"N","non-dropping-particle":"","parse-names":false,"suffix":""},{"dropping-particle":"","family":"Salamon","given":"P","non-dropping-particle":"","parse-names":false,"suffix":""},{"dropping-particle":"","family":"Toreti","given":"A","non-dropping-particle":"","parse-names":false,"suffix":""}],"id":"ITEM-1","issued":{"date-parts":[["2024","12"]]},"title":"Drought in the Amazon and the La Plata basins","type":"report"},"uris":["http://www.mendeley.com/documents/?uuid=af119b2c-779d-3e82-98bb-c9b82358f3da"]}],"mendeley":{"formattedCitation":"(Toreti, Bavera, Acosta Navarro, Acquafresca, Barbosa, et al., 2024)","plainTextFormattedCitation":"(Toreti, Bavera, Acosta Navarro, Acquafresca, Barbosa, et al., 2024)","previouslyFormattedCitation":"(Toreti, Bavera, Navarro, Acquafresca, Barbosa, et al., 2024)"},"properties":{"noteIndex":0},"schema":"https://github.com/citation-style-language/schema/raw/master/csl-citation.json"}</w:instrText>
      </w:r>
      <w:r w:rsidRPr="60FB6146">
        <w:rPr>
          <w:rFonts w:ascii="Times New Roman" w:hAnsi="Times New Roman"/>
          <w:sz w:val="24"/>
          <w:szCs w:val="24"/>
          <w:lang w:val="en-GB"/>
        </w:rPr>
        <w:fldChar w:fldCharType="separate"/>
      </w:r>
      <w:r w:rsidR="005E0AC6" w:rsidRPr="005E0AC6">
        <w:rPr>
          <w:rFonts w:ascii="Times New Roman" w:hAnsi="Times New Roman"/>
          <w:noProof/>
          <w:sz w:val="24"/>
          <w:szCs w:val="24"/>
          <w:lang w:val="en-GB"/>
        </w:rPr>
        <w:t>(Toreti, Bavera, Acosta Navarro, Acquafresca, Barbosa, et al., 2024)</w:t>
      </w:r>
      <w:r w:rsidRPr="60FB6146">
        <w:rPr>
          <w:rFonts w:ascii="Times New Roman" w:hAnsi="Times New Roman"/>
          <w:sz w:val="24"/>
          <w:szCs w:val="24"/>
          <w:lang w:val="en-GB"/>
        </w:rPr>
        <w:fldChar w:fldCharType="end"/>
      </w:r>
      <w:r w:rsidRPr="60FB6146">
        <w:rPr>
          <w:rFonts w:ascii="Times New Roman" w:hAnsi="Times New Roman"/>
          <w:sz w:val="24"/>
          <w:szCs w:val="24"/>
          <w:lang w:val="en-GB"/>
        </w:rPr>
        <w:t>.</w:t>
      </w:r>
    </w:p>
    <w:p w14:paraId="0A0065AA" w14:textId="3451F18E" w:rsidR="00945BEF" w:rsidRDefault="00DA3474" w:rsidP="00DA626B">
      <w:pPr>
        <w:spacing w:after="0" w:line="480" w:lineRule="auto"/>
        <w:rPr>
          <w:rFonts w:ascii="Times New Roman" w:hAnsi="Times New Roman"/>
          <w:sz w:val="24"/>
          <w:szCs w:val="24"/>
          <w:lang w:val="en-GB"/>
        </w:rPr>
      </w:pPr>
      <w:r w:rsidRPr="61B29520">
        <w:rPr>
          <w:rFonts w:ascii="Times New Roman" w:hAnsi="Times New Roman"/>
          <w:sz w:val="24"/>
          <w:szCs w:val="24"/>
          <w:lang w:val="en-GB"/>
        </w:rPr>
        <w:t xml:space="preserve">Globally, </w:t>
      </w:r>
      <w:r w:rsidRPr="004639CE">
        <w:rPr>
          <w:rFonts w:ascii="Times New Roman" w:hAnsi="Times New Roman"/>
          <w:iCs/>
          <w:sz w:val="24"/>
          <w:szCs w:val="24"/>
          <w:lang w:val="en-GB"/>
        </w:rPr>
        <w:t>r</w:t>
      </w:r>
      <w:r w:rsidR="001345E1" w:rsidRPr="004639CE">
        <w:rPr>
          <w:rFonts w:ascii="Times New Roman" w:hAnsi="Times New Roman"/>
          <w:sz w:val="24"/>
          <w:szCs w:val="24"/>
          <w:lang w:val="en-GB"/>
        </w:rPr>
        <w:t>u</w:t>
      </w:r>
      <w:r w:rsidR="001345E1" w:rsidRPr="61B29520">
        <w:rPr>
          <w:rFonts w:ascii="Times New Roman" w:hAnsi="Times New Roman"/>
          <w:sz w:val="24"/>
          <w:szCs w:val="24"/>
          <w:lang w:val="en-GB"/>
        </w:rPr>
        <w:t xml:space="preserve">noff in 2024 </w:t>
      </w:r>
      <w:r w:rsidRPr="61B29520">
        <w:rPr>
          <w:rFonts w:ascii="Times New Roman" w:hAnsi="Times New Roman"/>
          <w:sz w:val="24"/>
          <w:szCs w:val="24"/>
          <w:lang w:val="en-GB"/>
        </w:rPr>
        <w:t>exhibited</w:t>
      </w:r>
      <w:r w:rsidR="004F25B0" w:rsidRPr="61B29520">
        <w:rPr>
          <w:rFonts w:ascii="Times New Roman" w:hAnsi="Times New Roman"/>
          <w:sz w:val="24"/>
          <w:szCs w:val="24"/>
          <w:lang w:val="en-GB"/>
        </w:rPr>
        <w:t xml:space="preserve"> a negative anomaly</w:t>
      </w:r>
      <w:r w:rsidR="004639CE">
        <w:rPr>
          <w:rFonts w:ascii="Times New Roman" w:hAnsi="Times New Roman"/>
          <w:sz w:val="24"/>
          <w:szCs w:val="24"/>
          <w:lang w:val="en-GB"/>
        </w:rPr>
        <w:t xml:space="preserve">, </w:t>
      </w:r>
      <w:r w:rsidRPr="61B29520">
        <w:rPr>
          <w:rFonts w:ascii="Times New Roman" w:hAnsi="Times New Roman"/>
          <w:sz w:val="24"/>
          <w:szCs w:val="24"/>
          <w:lang w:val="en-GB"/>
        </w:rPr>
        <w:t xml:space="preserve">indicating </w:t>
      </w:r>
      <w:r w:rsidR="00A437F9" w:rsidRPr="61B29520">
        <w:rPr>
          <w:rFonts w:ascii="Times New Roman" w:hAnsi="Times New Roman"/>
          <w:sz w:val="24"/>
          <w:szCs w:val="24"/>
          <w:lang w:val="en-GB"/>
        </w:rPr>
        <w:t>drier</w:t>
      </w:r>
      <w:r w:rsidRPr="61B29520">
        <w:rPr>
          <w:rFonts w:ascii="Times New Roman" w:hAnsi="Times New Roman"/>
          <w:sz w:val="24"/>
          <w:szCs w:val="24"/>
          <w:lang w:val="en-GB"/>
        </w:rPr>
        <w:t>-</w:t>
      </w:r>
      <w:r w:rsidR="00A437F9" w:rsidRPr="61B29520">
        <w:rPr>
          <w:rFonts w:ascii="Times New Roman" w:hAnsi="Times New Roman"/>
          <w:sz w:val="24"/>
          <w:szCs w:val="24"/>
          <w:lang w:val="en-GB"/>
        </w:rPr>
        <w:t>than</w:t>
      </w:r>
      <w:r w:rsidRPr="61B29520">
        <w:rPr>
          <w:rFonts w:ascii="Times New Roman" w:hAnsi="Times New Roman"/>
          <w:sz w:val="24"/>
          <w:szCs w:val="24"/>
          <w:lang w:val="en-GB"/>
        </w:rPr>
        <w:t>-</w:t>
      </w:r>
      <w:r w:rsidR="00A437F9" w:rsidRPr="61B29520">
        <w:rPr>
          <w:rFonts w:ascii="Times New Roman" w:hAnsi="Times New Roman"/>
          <w:sz w:val="24"/>
          <w:szCs w:val="24"/>
          <w:lang w:val="en-GB"/>
        </w:rPr>
        <w:t>usual conditions</w:t>
      </w:r>
      <w:r w:rsidR="004639CE">
        <w:rPr>
          <w:rFonts w:ascii="Times New Roman" w:hAnsi="Times New Roman"/>
          <w:sz w:val="24"/>
          <w:szCs w:val="24"/>
          <w:lang w:val="en-GB"/>
        </w:rPr>
        <w:t xml:space="preserve"> </w:t>
      </w:r>
      <w:r w:rsidR="004639CE" w:rsidRPr="61B29520">
        <w:rPr>
          <w:rFonts w:ascii="Times New Roman" w:hAnsi="Times New Roman"/>
          <w:sz w:val="24"/>
          <w:szCs w:val="24"/>
          <w:lang w:val="en-GB"/>
        </w:rPr>
        <w:t>(Figure 2.a.1.1)</w:t>
      </w:r>
      <w:r w:rsidR="004F25B0" w:rsidRPr="61B29520">
        <w:rPr>
          <w:rFonts w:ascii="Times New Roman" w:hAnsi="Times New Roman"/>
          <w:sz w:val="24"/>
          <w:szCs w:val="24"/>
          <w:lang w:val="en-GB"/>
        </w:rPr>
        <w:t xml:space="preserve">. However, this </w:t>
      </w:r>
      <w:r w:rsidR="00BF79DB" w:rsidRPr="61B29520">
        <w:rPr>
          <w:rFonts w:ascii="Times New Roman" w:hAnsi="Times New Roman"/>
          <w:sz w:val="24"/>
          <w:szCs w:val="24"/>
          <w:lang w:val="en-GB"/>
        </w:rPr>
        <w:t>anomaly was not as pronounced</w:t>
      </w:r>
      <w:r w:rsidR="004F25B0" w:rsidRPr="61B29520">
        <w:rPr>
          <w:rFonts w:ascii="Times New Roman" w:hAnsi="Times New Roman"/>
          <w:sz w:val="24"/>
          <w:szCs w:val="24"/>
          <w:lang w:val="en-GB"/>
        </w:rPr>
        <w:t xml:space="preserve"> as in 2023</w:t>
      </w:r>
      <w:r w:rsidR="00BF79DB" w:rsidRPr="61B29520">
        <w:rPr>
          <w:rFonts w:ascii="Times New Roman" w:hAnsi="Times New Roman"/>
          <w:sz w:val="24"/>
          <w:szCs w:val="24"/>
          <w:lang w:val="en-GB"/>
        </w:rPr>
        <w:t xml:space="preserve">, which remains </w:t>
      </w:r>
      <w:r w:rsidR="004F25B0" w:rsidRPr="61B29520">
        <w:rPr>
          <w:rFonts w:ascii="Times New Roman" w:hAnsi="Times New Roman"/>
          <w:sz w:val="24"/>
          <w:szCs w:val="24"/>
          <w:lang w:val="en-GB"/>
        </w:rPr>
        <w:t>the driest year in the time series</w:t>
      </w:r>
      <w:r w:rsidR="00BF79DB" w:rsidRPr="61B29520">
        <w:rPr>
          <w:rFonts w:ascii="Times New Roman" w:hAnsi="Times New Roman"/>
          <w:sz w:val="24"/>
          <w:szCs w:val="24"/>
          <w:lang w:val="en-GB"/>
        </w:rPr>
        <w:t>. A shift</w:t>
      </w:r>
      <w:r w:rsidR="004F25B0" w:rsidRPr="61B29520">
        <w:rPr>
          <w:rFonts w:ascii="Times New Roman" w:hAnsi="Times New Roman"/>
          <w:sz w:val="24"/>
          <w:szCs w:val="24"/>
          <w:lang w:val="en-GB"/>
        </w:rPr>
        <w:t xml:space="preserve"> towards normal</w:t>
      </w:r>
      <w:r w:rsidR="00BF79DB" w:rsidRPr="61B29520">
        <w:rPr>
          <w:rFonts w:ascii="Times New Roman" w:hAnsi="Times New Roman"/>
          <w:sz w:val="24"/>
          <w:szCs w:val="24"/>
          <w:lang w:val="en-GB"/>
        </w:rPr>
        <w:t xml:space="preserve"> conditions was observed</w:t>
      </w:r>
      <w:r w:rsidR="004F25B0" w:rsidRPr="61B29520">
        <w:rPr>
          <w:rFonts w:ascii="Times New Roman" w:hAnsi="Times New Roman"/>
          <w:sz w:val="24"/>
          <w:szCs w:val="24"/>
          <w:lang w:val="en-GB"/>
        </w:rPr>
        <w:t xml:space="preserve">, </w:t>
      </w:r>
      <w:r w:rsidR="00BF79DB" w:rsidRPr="61B29520">
        <w:rPr>
          <w:rFonts w:ascii="Times New Roman" w:hAnsi="Times New Roman"/>
          <w:sz w:val="24"/>
          <w:szCs w:val="24"/>
          <w:lang w:val="en-GB"/>
        </w:rPr>
        <w:t>likely associated</w:t>
      </w:r>
      <w:r w:rsidR="004F25B0" w:rsidRPr="61B29520">
        <w:rPr>
          <w:rFonts w:ascii="Times New Roman" w:hAnsi="Times New Roman"/>
          <w:sz w:val="24"/>
          <w:szCs w:val="24"/>
          <w:lang w:val="en-GB"/>
        </w:rPr>
        <w:t xml:space="preserve"> with the transition from El Niño at the beginning of the year to a neutral </w:t>
      </w:r>
      <w:r w:rsidR="00BF79DB" w:rsidRPr="61B29520">
        <w:rPr>
          <w:rFonts w:ascii="Times New Roman" w:hAnsi="Times New Roman"/>
          <w:sz w:val="24"/>
          <w:szCs w:val="24"/>
          <w:lang w:val="en-GB"/>
        </w:rPr>
        <w:t xml:space="preserve">phase </w:t>
      </w:r>
      <w:r w:rsidR="004F25B0" w:rsidRPr="61B29520">
        <w:rPr>
          <w:rFonts w:ascii="Times New Roman" w:hAnsi="Times New Roman"/>
          <w:sz w:val="24"/>
          <w:szCs w:val="24"/>
          <w:lang w:val="en-GB"/>
        </w:rPr>
        <w:t>(</w:t>
      </w:r>
      <w:r w:rsidR="00AA403F">
        <w:rPr>
          <w:rFonts w:ascii="Times New Roman" w:hAnsi="Times New Roman"/>
          <w:sz w:val="24"/>
          <w:szCs w:val="24"/>
          <w:lang w:val="en-GB"/>
        </w:rPr>
        <w:t>Oceanic Niño Index</w:t>
      </w:r>
      <w:r w:rsidR="004F25B0" w:rsidRPr="61B29520">
        <w:rPr>
          <w:rFonts w:ascii="Times New Roman" w:hAnsi="Times New Roman"/>
          <w:sz w:val="24"/>
          <w:szCs w:val="24"/>
          <w:lang w:val="en-GB"/>
        </w:rPr>
        <w:t xml:space="preserve"> in Figure 2.a.1.1). </w:t>
      </w:r>
      <w:r w:rsidR="00BF79DB" w:rsidRPr="61B29520">
        <w:rPr>
          <w:rFonts w:ascii="Times New Roman" w:hAnsi="Times New Roman"/>
          <w:sz w:val="24"/>
          <w:szCs w:val="24"/>
          <w:lang w:val="en-GB"/>
        </w:rPr>
        <w:t xml:space="preserve">Historically, </w:t>
      </w:r>
      <w:r w:rsidR="004F25B0" w:rsidRPr="61B29520">
        <w:rPr>
          <w:rFonts w:ascii="Times New Roman" w:hAnsi="Times New Roman"/>
          <w:sz w:val="24"/>
          <w:szCs w:val="24"/>
          <w:lang w:val="en-GB"/>
        </w:rPr>
        <w:t xml:space="preserve">El Niño </w:t>
      </w:r>
      <w:r w:rsidR="00BF79DB" w:rsidRPr="61B29520">
        <w:rPr>
          <w:rFonts w:ascii="Times New Roman" w:hAnsi="Times New Roman"/>
          <w:sz w:val="24"/>
          <w:szCs w:val="24"/>
          <w:lang w:val="en-GB"/>
        </w:rPr>
        <w:t>is linked to reduced global runoff</w:t>
      </w:r>
      <w:r w:rsidR="004F25B0" w:rsidRPr="61B29520">
        <w:rPr>
          <w:rFonts w:ascii="Times New Roman" w:hAnsi="Times New Roman"/>
          <w:sz w:val="24"/>
          <w:szCs w:val="24"/>
          <w:lang w:val="en-GB"/>
        </w:rPr>
        <w:t xml:space="preserve">. </w:t>
      </w:r>
      <w:r w:rsidR="00BF79DB" w:rsidRPr="61B29520">
        <w:rPr>
          <w:rFonts w:ascii="Times New Roman" w:hAnsi="Times New Roman"/>
          <w:sz w:val="24"/>
          <w:szCs w:val="24"/>
          <w:lang w:val="en-GB"/>
        </w:rPr>
        <w:t>Additionally, 2024 was c</w:t>
      </w:r>
      <w:r w:rsidR="004F25B0" w:rsidRPr="61B29520">
        <w:rPr>
          <w:rFonts w:ascii="Times New Roman" w:hAnsi="Times New Roman"/>
          <w:sz w:val="24"/>
          <w:szCs w:val="24"/>
          <w:lang w:val="en-GB"/>
        </w:rPr>
        <w:t xml:space="preserve">haracterised by an intense negative phase of the Pacific Decadal Oscillation, which showed </w:t>
      </w:r>
      <w:r w:rsidR="00BF79DB" w:rsidRPr="61B29520">
        <w:rPr>
          <w:rFonts w:ascii="Times New Roman" w:hAnsi="Times New Roman"/>
          <w:sz w:val="24"/>
          <w:szCs w:val="24"/>
          <w:lang w:val="en-GB"/>
        </w:rPr>
        <w:t xml:space="preserve">its </w:t>
      </w:r>
      <w:r w:rsidR="004F25B0" w:rsidRPr="61B29520">
        <w:rPr>
          <w:rFonts w:ascii="Times New Roman" w:hAnsi="Times New Roman"/>
          <w:sz w:val="24"/>
          <w:szCs w:val="24"/>
          <w:lang w:val="en-GB"/>
        </w:rPr>
        <w:t xml:space="preserve">lowest values in the </w:t>
      </w:r>
      <w:r w:rsidR="00BF79DB" w:rsidRPr="61B29520">
        <w:rPr>
          <w:rFonts w:ascii="Times New Roman" w:hAnsi="Times New Roman"/>
          <w:sz w:val="24"/>
          <w:szCs w:val="24"/>
          <w:lang w:val="en-GB"/>
        </w:rPr>
        <w:t>study</w:t>
      </w:r>
      <w:r w:rsidR="004F25B0" w:rsidRPr="61B29520">
        <w:rPr>
          <w:rFonts w:ascii="Times New Roman" w:hAnsi="Times New Roman"/>
          <w:sz w:val="24"/>
          <w:szCs w:val="24"/>
          <w:lang w:val="en-GB"/>
        </w:rPr>
        <w:t xml:space="preserve"> period.</w:t>
      </w:r>
      <w:r w:rsidR="00355EEF" w:rsidRPr="61B29520">
        <w:rPr>
          <w:rFonts w:ascii="Times New Roman" w:hAnsi="Times New Roman"/>
          <w:sz w:val="24"/>
          <w:szCs w:val="24"/>
          <w:lang w:val="en-GB"/>
        </w:rPr>
        <w:t xml:space="preserve"> </w:t>
      </w:r>
      <w:r w:rsidR="003E5ECA" w:rsidRPr="61B29520">
        <w:rPr>
          <w:rFonts w:ascii="Times New Roman" w:hAnsi="Times New Roman"/>
          <w:sz w:val="24"/>
          <w:szCs w:val="24"/>
          <w:lang w:val="en-GB"/>
        </w:rPr>
        <w:t xml:space="preserve">Despite </w:t>
      </w:r>
      <w:r w:rsidR="00BF79DB" w:rsidRPr="61B29520">
        <w:rPr>
          <w:rFonts w:ascii="Times New Roman" w:hAnsi="Times New Roman"/>
          <w:sz w:val="24"/>
          <w:szCs w:val="24"/>
          <w:lang w:val="en-GB"/>
        </w:rPr>
        <w:t>this overarching pattern</w:t>
      </w:r>
      <w:r w:rsidR="003E5ECA" w:rsidRPr="61B29520">
        <w:rPr>
          <w:rFonts w:ascii="Times New Roman" w:hAnsi="Times New Roman"/>
          <w:sz w:val="24"/>
          <w:szCs w:val="24"/>
          <w:lang w:val="en-GB"/>
        </w:rPr>
        <w:t xml:space="preserve">, </w:t>
      </w:r>
      <w:r w:rsidR="00BF79DB" w:rsidRPr="61B29520">
        <w:rPr>
          <w:rFonts w:ascii="Times New Roman" w:hAnsi="Times New Roman"/>
          <w:sz w:val="24"/>
          <w:szCs w:val="24"/>
          <w:lang w:val="en-GB"/>
        </w:rPr>
        <w:t>significant regional differences were observed</w:t>
      </w:r>
      <w:r w:rsidR="003E5ECA" w:rsidRPr="61B29520">
        <w:rPr>
          <w:rFonts w:ascii="Times New Roman" w:hAnsi="Times New Roman"/>
          <w:sz w:val="24"/>
          <w:szCs w:val="24"/>
          <w:lang w:val="en-GB"/>
        </w:rPr>
        <w:t xml:space="preserve"> (</w:t>
      </w:r>
      <w:r w:rsidR="00355EEF" w:rsidRPr="61B29520">
        <w:rPr>
          <w:rFonts w:ascii="Times New Roman" w:hAnsi="Times New Roman"/>
          <w:sz w:val="24"/>
          <w:szCs w:val="24"/>
          <w:lang w:val="en-GB"/>
        </w:rPr>
        <w:t>Plate 2.1a</w:t>
      </w:r>
      <w:r w:rsidR="00CB7A34" w:rsidRPr="61B29520">
        <w:rPr>
          <w:rFonts w:ascii="Times New Roman" w:hAnsi="Times New Roman"/>
          <w:sz w:val="24"/>
          <w:szCs w:val="24"/>
          <w:lang w:val="en-GB"/>
        </w:rPr>
        <w:t>)</w:t>
      </w:r>
      <w:r w:rsidR="00355EEF" w:rsidRPr="61B29520">
        <w:rPr>
          <w:rFonts w:ascii="Times New Roman" w:hAnsi="Times New Roman"/>
          <w:sz w:val="24"/>
          <w:szCs w:val="24"/>
          <w:lang w:val="en-GB"/>
        </w:rPr>
        <w:t>. The Amazon</w:t>
      </w:r>
      <w:r w:rsidR="00E343B3" w:rsidRPr="61B29520">
        <w:rPr>
          <w:rFonts w:ascii="Times New Roman" w:hAnsi="Times New Roman"/>
          <w:sz w:val="24"/>
          <w:szCs w:val="24"/>
          <w:lang w:val="en-GB"/>
        </w:rPr>
        <w:t>, La Plata</w:t>
      </w:r>
      <w:r w:rsidR="00355EEF" w:rsidRPr="61B29520">
        <w:rPr>
          <w:rFonts w:ascii="Times New Roman" w:hAnsi="Times New Roman"/>
          <w:sz w:val="24"/>
          <w:szCs w:val="24"/>
          <w:lang w:val="en-GB"/>
        </w:rPr>
        <w:t xml:space="preserve"> and Congo basins experienced an extremely dry year</w:t>
      </w:r>
      <w:r w:rsidR="00CB7A34" w:rsidRPr="61B29520">
        <w:rPr>
          <w:rFonts w:ascii="Times New Roman" w:hAnsi="Times New Roman"/>
          <w:sz w:val="24"/>
          <w:szCs w:val="24"/>
          <w:lang w:val="en-GB"/>
        </w:rPr>
        <w:t xml:space="preserve"> </w:t>
      </w:r>
      <w:r w:rsidRPr="61B29520">
        <w:rPr>
          <w:rFonts w:ascii="Times New Roman" w:hAnsi="Times New Roman"/>
          <w:sz w:val="24"/>
          <w:szCs w:val="24"/>
          <w:lang w:val="en-GB"/>
        </w:rPr>
        <w:fldChar w:fldCharType="begin" w:fldLock="1"/>
      </w:r>
      <w:r w:rsidR="005E0AC6">
        <w:rPr>
          <w:rFonts w:ascii="Times New Roman" w:hAnsi="Times New Roman"/>
          <w:sz w:val="24"/>
          <w:szCs w:val="24"/>
          <w:lang w:val="en-GB"/>
        </w:rPr>
        <w:instrText>ADDIN CSL_CITATION {"citationItems":[{"id":"ITEM-1","itemData":{"DOI":"10.2760/9524487","ISBN":"978-92-68-23189-0","ISSN":"1831-9424","abstract":"EUR 40168 service. It aims to provide evidence-based scientific support to the European policymaking process. The contents of this publication do not necessarily reflect the position or opinion of the European Commission. Neither the European Commission nor any person acting on behalf of the Commission is responsible for the use that might be made of this publication. For information on the methodology and quality underlying the data used in this publication for which the source is neither Eurostat nor other Commission services, users should contact the referenced source. The designations employed and the presentation of material on the maps do not imply the expression of any opinion whatsoever on the part of the European Union concerning the legal status of any country, territory, city or area or of its authorities, or concerning the delimitation of its frontiers or boundaries.","author":[{"dropping-particle":"","family":"Toreti","given":"A","non-dropping-particle":"","parse-names":false,"suffix":""},{"dropping-particle":"","family":"Bavera","given":"D","non-dropping-particle":"","parse-names":false,"suffix":""},{"dropping-particle":"","family":"Acosta Navarro","given":"J","non-dropping-particle":"","parse-names":false,"suffix":""},{"dropping-particle":"","family":"Acquafresca","given":"L","non-dropping-particle":"","parse-names":false,"suffix":""},{"dropping-particle":"","family":"Barbosa","given":"P","non-dropping-particle":"","parse-names":false,"suffix":""},{"dropping-particle":"","family":"Jager","given":"A","non-dropping-particle":"De","parse-names":false,"suffix":""},{"dropping-particle":"","family":"Ficchì","given":"A","non-dropping-particle":"","parse-names":false,"suffix":""},{"dropping-particle":"","family":"Fioravanti","given":"G","non-dropping-particle":"","parse-names":false,"suffix":""},{"dropping-particle":"","family":"Grimaldi","given":"S","non-dropping-particle":"","parse-names":false,"suffix":""},{"dropping-particle":"","family":"Hrast Essenfelder","given":"A","non-dropping-particle":"","parse-names":false,"suffix":""},{"dropping-particle":"","family":"Magni","given":"D","non-dropping-particle":"","parse-names":false,"suffix":""},{"dropping-particle":"","family":"Mccormick","given":"N","non-dropping-particle":"","parse-names":false,"suffix":""},{"dropping-particle":"","family":"Salamon","given":"P","non-dropping-particle":"","parse-names":false,"suffix":""},{"dropping-particle":"","family":"Toreti","given":"A","non-dropping-particle":"","parse-names":false,"suffix":""}],"id":"ITEM-1","issued":{"date-parts":[["2024","12"]]},"title":"Drought in the Amazon and the La Plata basins","type":"report"},"uris":["http://www.mendeley.com/documents/?uuid=af119b2c-779d-3e82-98bb-c9b82358f3da"]}],"mendeley":{"formattedCitation":"(Toreti, Bavera, Acosta Navarro, Acquafresca, Barbosa, et al., 2024)","plainTextFormattedCitation":"(Toreti, Bavera, Acosta Navarro, Acquafresca, Barbosa, et al., 2024)","previouslyFormattedCitation":"(Toreti, Bavera, Navarro, Acquafresca, Barbosa, et al., 2024)"},"properties":{"noteIndex":0},"schema":"https://github.com/citation-style-language/schema/raw/master/csl-citation.json"}</w:instrText>
      </w:r>
      <w:r w:rsidRPr="61B29520">
        <w:rPr>
          <w:rFonts w:ascii="Times New Roman" w:hAnsi="Times New Roman"/>
          <w:sz w:val="24"/>
          <w:szCs w:val="24"/>
          <w:lang w:val="en-GB"/>
        </w:rPr>
        <w:fldChar w:fldCharType="separate"/>
      </w:r>
      <w:r w:rsidR="005E0AC6" w:rsidRPr="005E0AC6">
        <w:rPr>
          <w:rFonts w:ascii="Times New Roman" w:hAnsi="Times New Roman"/>
          <w:noProof/>
          <w:sz w:val="24"/>
          <w:szCs w:val="24"/>
          <w:lang w:val="en-GB"/>
        </w:rPr>
        <w:t>(Toreti, Bavera, Acosta Navarro, Acquafresca, Barbosa, et al., 2024)</w:t>
      </w:r>
      <w:r w:rsidRPr="61B29520">
        <w:rPr>
          <w:rFonts w:ascii="Times New Roman" w:hAnsi="Times New Roman"/>
          <w:sz w:val="24"/>
          <w:szCs w:val="24"/>
          <w:lang w:val="en-GB"/>
        </w:rPr>
        <w:fldChar w:fldCharType="end"/>
      </w:r>
      <w:r w:rsidR="00355EEF" w:rsidRPr="61B29520">
        <w:rPr>
          <w:rFonts w:ascii="Times New Roman" w:hAnsi="Times New Roman"/>
          <w:sz w:val="24"/>
          <w:szCs w:val="24"/>
          <w:lang w:val="en-GB"/>
        </w:rPr>
        <w:t xml:space="preserve">. The anomaly in the Congo is partially </w:t>
      </w:r>
      <w:r w:rsidR="00BF79DB" w:rsidRPr="61B29520">
        <w:rPr>
          <w:rFonts w:ascii="Times New Roman" w:hAnsi="Times New Roman"/>
          <w:sz w:val="24"/>
          <w:szCs w:val="24"/>
          <w:lang w:val="en-GB"/>
        </w:rPr>
        <w:t>attributed to</w:t>
      </w:r>
      <w:r w:rsidR="00355EEF" w:rsidRPr="61B29520">
        <w:rPr>
          <w:rFonts w:ascii="Times New Roman" w:hAnsi="Times New Roman"/>
          <w:sz w:val="24"/>
          <w:szCs w:val="24"/>
          <w:lang w:val="en-GB"/>
        </w:rPr>
        <w:t xml:space="preserve"> a </w:t>
      </w:r>
      <w:r w:rsidR="00BF79DB" w:rsidRPr="61B29520">
        <w:rPr>
          <w:rFonts w:ascii="Times New Roman" w:hAnsi="Times New Roman"/>
          <w:sz w:val="24"/>
          <w:szCs w:val="24"/>
          <w:lang w:val="en-GB"/>
        </w:rPr>
        <w:t>negative</w:t>
      </w:r>
      <w:r w:rsidR="00355EEF" w:rsidRPr="61B29520">
        <w:rPr>
          <w:rFonts w:ascii="Times New Roman" w:hAnsi="Times New Roman"/>
          <w:sz w:val="24"/>
          <w:szCs w:val="24"/>
          <w:lang w:val="en-GB"/>
        </w:rPr>
        <w:t xml:space="preserve"> trend in the ERA5 precipitation </w:t>
      </w:r>
      <w:r w:rsidR="00BF79DB" w:rsidRPr="61B29520">
        <w:rPr>
          <w:rFonts w:ascii="Times New Roman" w:hAnsi="Times New Roman"/>
          <w:sz w:val="24"/>
          <w:szCs w:val="24"/>
          <w:lang w:val="en-GB"/>
        </w:rPr>
        <w:t>over this region</w:t>
      </w:r>
      <w:r w:rsidR="00945BEF" w:rsidRPr="61B29520">
        <w:rPr>
          <w:rFonts w:ascii="Times New Roman" w:hAnsi="Times New Roman"/>
          <w:sz w:val="24"/>
          <w:szCs w:val="24"/>
          <w:lang w:val="en-GB"/>
        </w:rPr>
        <w:t xml:space="preserve"> </w:t>
      </w:r>
      <w:r w:rsidRPr="61B29520">
        <w:rPr>
          <w:rFonts w:ascii="Times New Roman" w:hAnsi="Times New Roman"/>
          <w:sz w:val="24"/>
          <w:szCs w:val="24"/>
          <w:lang w:val="en-GB"/>
        </w:rPr>
        <w:fldChar w:fldCharType="begin" w:fldLock="1"/>
      </w:r>
      <w:r w:rsidRPr="61B29520">
        <w:rPr>
          <w:rFonts w:ascii="Times New Roman" w:hAnsi="Times New Roman"/>
          <w:sz w:val="24"/>
          <w:szCs w:val="24"/>
          <w:lang w:val="en-GB"/>
        </w:rPr>
        <w:instrText>ADDIN CSL_CITATION {"citationItems":[{"id":"ITEM-1","itemData":{"DOI":"10.1002/qj.4351","ISSN":"1477870X","abstract":"A key aim of climate monitoring is to place the current conditions of climate variables, such as surface air temperature and precipitation, in their historical context. In Europe, a leading provider of this information is the Copernicus Climate Change Service (C3S), which is implemented by the European Centre for Medium-Range Weather Forecasts (ECMWF) on behalf of the European Commission. To undertake this activity in close-to-real time, C3S predominantly uses the ECMWF ERA5 reanalysis, and ERA5 precipitation is widely used as a proxy for observed precipitation for hydrological monitoring. However, for there to be confidence in the ERA5 data, it is essential to evaluate its ability to capture observed precipitation. In this study, we therefore evaluate ERA5 precipitation against observations globally to inform C3S monitoring activities and the broader climate science community. Using 24 hr precipitation observations at 5,637 stations from 2001 to 2020, results show that the smallest ERA5 random errors occur in the winter Extratropics and the largest ERA5 errors are in the Tropics. The errors grow in the summer Extratropics and the errors in the Tropics move with the intertropical convergence zone. These findings are mirrored in the stable equitable error in probability space (SEEPS) score, with the SEEPS signifying that ERA5 is more able to discriminate between different precipitation events in the Extratropics. In general, an ERA5 wet bias is also found. The assessment of annual maximum 1 day (RX1) precipitation accumulations and four extreme events shows that ERA5 cannot model the highest observed precipitation totals but that it can generally capture their locations and patterns. Furthermore, an evaluation of monthly precipitation corroborated that ERA5 is more skilful in the Extratropics. These results imply that users can have confidence in ERA5 precipitation in extratropical regions, and therefore it is recommended that ERA5 is mostly used for extratropical precipitation monitoring.","author":[{"dropping-particle":"","family":"Lavers","given":"David A.","non-dropping-particle":"","parse-names":false,"suffix":""},{"dropping-particle":"","family":"Simmons","given":"Adrian","non-dropping-particle":"","parse-names":false,"suffix":""},{"dropping-particle":"","family":"Vamborg","given":"Freja","non-dropping-particle":"","parse-names":false,"suffix":""},{"dropping-particle":"","family":"Rodwell","given":"Mark J.","non-dropping-particle":"","parse-names":false,"suffix":""}],"container-title":"Quarterly Journal of the Royal Meteorological Society","id":"ITEM-1","issue":"748","issued":{"date-parts":[["2022","10","1"]]},"page":"3152-3165","publisher":"John Wiley and Sons Ltd","title":"An evaluation of ERA5 precipitation for climate monitoring","type":"article-journal","volume":"148"},"uris":["http://www.mendeley.com/documents/?uuid=11f4702c-afe7-3f33-8acc-3b4ee7009e41"]},{"id":"ITEM-2","itemData":{"DOI":"10.1016/j.ecolind.2024.112481","ISSN":"1470160X","abstract":"ERA5 (European Centre for Medium-Range Weather Forecasts Reanalysis Fifth Generation) is a significant dataset in climate reanalysis. Conducting a global-scale accuracy assessment and spatiotemporal distribution characteristic study of its temperature and precipitation data is crucial for gaining in-depth understanding of extreme climate changes. This study, based on CRU TS v4.04 (Climatic Research Unit Time-Series version 4.04) gridded data, employs multiple statistical indicators and detection metrics to assess the accuracy of the ERA5 temperature and precipitation dataset at a monthly scale over the past 70 years. Additionally, it utilizes Empirical Orthogonal Functions (EOF) to explore its spatiotemporal distribution characteristics. The results indicate that: (1) ERA5 demonstrates good consistency in most regions globally; however, the influence of uneven station density distribution results in weaker correlation in areas with sparse station density. (2) The accuracy of ERA5 data exhibits certain differences between the two periods (1950–1979, 1979–2019); with the overall performance of ERA5 temperature data near the Earth's surface being better than that of precipitation data. (3) ERA5 precipitation data in the mid and low latitudes of the Southern and Northern Hemispheres exhibit characteristics of positive–negative distribution, while temperature data show an opposite distribution in the Northern and Southern Hemispheres (with a predominant pattern of warmer temperatures in the north and colder temperatures in the south). Additionally, the typical patterns for both variables occur in January and July each year. The above study will provide reference and insights for future climate change prediction and adaptation efforts.","author":[{"dropping-particle":"","family":"Liu","given":"Ronghua","non-dropping-particle":"","parse-names":false,"suffix":""},{"dropping-particle":"","family":"Zhang","given":"Xiaolei","non-dropping-particle":"","parse-names":false,"suffix":""},{"dropping-particle":"","family":"Wang","given":"Wei","non-dropping-particle":"","parse-names":false,"suffix":""},{"dropping-particle":"","family":"Wang","given":"Yun","non-dropping-particle":"","parse-names":false,"suffix":""},{"dropping-particle":"","family":"Liu","given":"Huageng","non-dropping-particle":"","parse-names":false,"suffix":""},{"dropping-particle":"","family":"Ma","given":"Meihong","non-dropping-particle":"","parse-names":false,"suffix":""},{"dropping-particle":"","family":"Tang","given":"Guoqiang","non-dropping-particle":"","parse-names":false,"suffix":""}],"container-title":"Ecological Indicators","id":"ITEM-2","issued":{"date-parts":[["2024","9","1"]]},"publisher":"Elsevier B.V.","title":"Global-scale ERA5 product precipitation and temperature evaluation","type":"article-journal","volume":"166"},"uris":["http://www.mendeley.com/documents/?uuid=54408bd5-001e-3e0d-9653-4893647b5cff"]}],"mendeley":{"formattedCitation":"(Lavers et al., 2022; Liu et al., 2024)","plainTextFormattedCitation":"(Lavers et al., 2022; Liu et al., 2024)","previouslyFormattedCitation":"(Lavers et al., 2022; Liu et al., 2024)"},"properties":{"noteIndex":0},"schema":"https://github.com/citation-style-language/schema/raw/master/csl-citation.json"}</w:instrText>
      </w:r>
      <w:r w:rsidRPr="61B29520">
        <w:rPr>
          <w:rFonts w:ascii="Times New Roman" w:hAnsi="Times New Roman"/>
          <w:sz w:val="24"/>
          <w:szCs w:val="24"/>
          <w:lang w:val="en-GB"/>
        </w:rPr>
        <w:fldChar w:fldCharType="separate"/>
      </w:r>
      <w:r w:rsidR="00945BEF" w:rsidRPr="61B29520">
        <w:rPr>
          <w:rFonts w:ascii="Times New Roman" w:hAnsi="Times New Roman"/>
          <w:noProof/>
          <w:sz w:val="24"/>
          <w:szCs w:val="24"/>
          <w:lang w:val="en-GB"/>
        </w:rPr>
        <w:t>(Lavers et al., 2022; Liu et al., 2024)</w:t>
      </w:r>
      <w:r w:rsidRPr="61B29520">
        <w:rPr>
          <w:rFonts w:ascii="Times New Roman" w:hAnsi="Times New Roman"/>
          <w:sz w:val="24"/>
          <w:szCs w:val="24"/>
          <w:lang w:val="en-GB"/>
        </w:rPr>
        <w:fldChar w:fldCharType="end"/>
      </w:r>
      <w:r w:rsidR="00355EEF" w:rsidRPr="61B29520">
        <w:rPr>
          <w:rFonts w:ascii="Times New Roman" w:hAnsi="Times New Roman"/>
          <w:sz w:val="24"/>
          <w:szCs w:val="24"/>
          <w:lang w:val="en-GB"/>
        </w:rPr>
        <w:t xml:space="preserve">. </w:t>
      </w:r>
      <w:r w:rsidR="00BF79DB" w:rsidRPr="61B29520">
        <w:rPr>
          <w:rFonts w:ascii="Times New Roman" w:hAnsi="Times New Roman"/>
          <w:sz w:val="24"/>
          <w:szCs w:val="24"/>
          <w:lang w:val="en-GB"/>
        </w:rPr>
        <w:t>Drought conditions also affected the Atlantic and Pacific coasts of Nort</w:t>
      </w:r>
      <w:r w:rsidR="003A1775" w:rsidRPr="61B29520">
        <w:rPr>
          <w:rFonts w:ascii="Times New Roman" w:hAnsi="Times New Roman"/>
          <w:sz w:val="24"/>
          <w:szCs w:val="24"/>
          <w:lang w:val="en-GB"/>
        </w:rPr>
        <w:t>h</w:t>
      </w:r>
      <w:r w:rsidR="00BF79DB" w:rsidRPr="61B29520">
        <w:rPr>
          <w:rFonts w:ascii="Times New Roman" w:hAnsi="Times New Roman"/>
          <w:sz w:val="24"/>
          <w:szCs w:val="24"/>
          <w:lang w:val="en-GB"/>
        </w:rPr>
        <w:t xml:space="preserve"> America, </w:t>
      </w:r>
      <w:r w:rsidR="005E0AC6">
        <w:rPr>
          <w:rFonts w:ascii="Times New Roman" w:hAnsi="Times New Roman"/>
          <w:sz w:val="24"/>
          <w:szCs w:val="24"/>
          <w:lang w:val="en-GB"/>
        </w:rPr>
        <w:t xml:space="preserve">South-eastern Europe </w:t>
      </w:r>
      <w:r w:rsidR="005E0AC6">
        <w:rPr>
          <w:rFonts w:ascii="Times New Roman" w:hAnsi="Times New Roman"/>
          <w:sz w:val="24"/>
          <w:szCs w:val="24"/>
          <w:lang w:val="en-GB"/>
        </w:rPr>
        <w:fldChar w:fldCharType="begin" w:fldLock="1"/>
      </w:r>
      <w:r w:rsidR="005E0AC6">
        <w:rPr>
          <w:rFonts w:ascii="Times New Roman" w:hAnsi="Times New Roman"/>
          <w:sz w:val="24"/>
          <w:szCs w:val="24"/>
          <w:lang w:val="en-GB"/>
        </w:rPr>
        <w:instrText>ADDIN CSL_CITATION {"citationItems":[{"id":"ITEM-1","itemData":{"DOI":"10.2760/420832","ISBN":"9789268198148","ISSN":"1831-9424","author":[{"dropping-particle":"","family":"Toreti","given":"A","non-dropping-particle":"","parse-names":false,"suffix":""},{"dropping-particle":"","family":"Bavera","given":"D","non-dropping-particle":"","parse-names":false,"suffix":""},{"dropping-particle":"","family":"Acosta Navarro","given":"J","non-dropping-particle":"","parse-names":false,"suffix":""},{"dropping-particle":"","family":"Acquafresca","given":"L","non-dropping-particle":"","parse-names":false,"suffix":""},{"dropping-particle":"","family":"Azas","given":"K","non-dropping-particle":"","parse-names":false,"suffix":""},{"dropping-particle":"","family":"Barbosa","given":"P","non-dropping-particle":"","parse-names":false,"suffix":""},{"dropping-particle":"","family":"Jager","given":"A","non-dropping-particle":"De","parse-names":false,"suffix":""},{"dropping-particle":"","family":"Ficchì","given":"A","non-dropping-particle":"","parse-names":false,"suffix":""},{"dropping-particle":"","family":"Fioravanti","given":"G","non-dropping-particle":"","parse-names":false,"suffix":""},{"dropping-particle":"","family":"Grimaldi","given":"G","non-dropping-particle":"","parse-names":false,"suffix":""},{"dropping-particle":"","family":"Hrast Essenfelder","given":"A","non-dropping-particle":"","parse-names":false,"suffix":""},{"dropping-particle":"","family":"Magni","given":"D","non-dropping-particle":"","parse-names":false,"suffix":""},{"dropping-particle":"","family":"Mccormick","given":"N","non-dropping-particle":"","parse-names":false,"suffix":""},{"dropping-particle":"","family":"Salamon","given":"P","non-dropping-particle":"","parse-names":false,"suffix":""},{"dropping-particle":"","family":"Santos Nunes","given":"S","non-dropping-particle":"","parse-names":false,"suffix":""},{"dropping-particle":"","family":"Volpi","given":"D","non-dropping-particle":"","parse-names":false,"suffix":""}],"id":"ITEM-1","issued":{"date-parts":[["2024"]]},"title":"Drought in Europe July 2024","type":"report"},"uris":["http://www.mendeley.com/documents/?uuid=2795233f-c8cd-39b1-a3da-2ffb00361114"]}],"mendeley":{"formattedCitation":"(Toreti, Bavera, Acosta Navarro, Acquafresca, Azas, et al., 2024)","plainTextFormattedCitation":"(Toreti, Bavera, Acosta Navarro, Acquafresca, Azas, et al., 2024)","previouslyFormattedCitation":"(Toreti, Bavera, Navarro, Acquafresca, Azas, et al., 2024)"},"properties":{"noteIndex":0},"schema":"https://github.com/citation-style-language/schema/raw/master/csl-citation.json"}</w:instrText>
      </w:r>
      <w:r w:rsidR="005E0AC6">
        <w:rPr>
          <w:rFonts w:ascii="Times New Roman" w:hAnsi="Times New Roman"/>
          <w:sz w:val="24"/>
          <w:szCs w:val="24"/>
          <w:lang w:val="en-GB"/>
        </w:rPr>
        <w:fldChar w:fldCharType="separate"/>
      </w:r>
      <w:r w:rsidR="005E0AC6" w:rsidRPr="005E0AC6">
        <w:rPr>
          <w:rFonts w:ascii="Times New Roman" w:hAnsi="Times New Roman"/>
          <w:noProof/>
          <w:sz w:val="24"/>
          <w:szCs w:val="24"/>
          <w:lang w:val="en-GB"/>
        </w:rPr>
        <w:t>(Toreti, Bavera, Acosta Navarro, Acquafresca, Azas, et al., 2024)</w:t>
      </w:r>
      <w:r w:rsidR="005E0AC6">
        <w:rPr>
          <w:rFonts w:ascii="Times New Roman" w:hAnsi="Times New Roman"/>
          <w:sz w:val="24"/>
          <w:szCs w:val="24"/>
          <w:lang w:val="en-GB"/>
        </w:rPr>
        <w:fldChar w:fldCharType="end"/>
      </w:r>
      <w:r w:rsidR="005E0AC6">
        <w:rPr>
          <w:rFonts w:ascii="Times New Roman" w:hAnsi="Times New Roman"/>
          <w:sz w:val="24"/>
          <w:szCs w:val="24"/>
          <w:lang w:val="en-GB"/>
        </w:rPr>
        <w:t xml:space="preserve">, </w:t>
      </w:r>
      <w:r w:rsidR="00BF79DB" w:rsidRPr="61B29520">
        <w:rPr>
          <w:rFonts w:ascii="Times New Roman" w:hAnsi="Times New Roman"/>
          <w:sz w:val="24"/>
          <w:szCs w:val="24"/>
          <w:lang w:val="en-GB"/>
        </w:rPr>
        <w:t>Southeast Asia, and parts of Siberia</w:t>
      </w:r>
      <w:r w:rsidR="00355EEF" w:rsidRPr="61B29520">
        <w:rPr>
          <w:rFonts w:ascii="Times New Roman" w:hAnsi="Times New Roman"/>
          <w:sz w:val="24"/>
          <w:szCs w:val="24"/>
          <w:lang w:val="en-GB"/>
        </w:rPr>
        <w:t xml:space="preserve">. </w:t>
      </w:r>
      <w:r w:rsidR="002F24A6" w:rsidRPr="61B29520">
        <w:rPr>
          <w:rFonts w:ascii="Times New Roman" w:hAnsi="Times New Roman"/>
          <w:sz w:val="24"/>
          <w:szCs w:val="24"/>
          <w:lang w:val="en-GB"/>
        </w:rPr>
        <w:t>Conversely</w:t>
      </w:r>
      <w:r w:rsidR="00355EEF" w:rsidRPr="61B29520">
        <w:rPr>
          <w:rFonts w:ascii="Times New Roman" w:hAnsi="Times New Roman"/>
          <w:sz w:val="24"/>
          <w:szCs w:val="24"/>
          <w:lang w:val="en-GB"/>
        </w:rPr>
        <w:t xml:space="preserve">, Central America, Central and Northern </w:t>
      </w:r>
      <w:r w:rsidR="00355EEF" w:rsidRPr="61B29520">
        <w:rPr>
          <w:rFonts w:ascii="Times New Roman" w:hAnsi="Times New Roman"/>
          <w:sz w:val="24"/>
          <w:szCs w:val="24"/>
          <w:lang w:val="en-GB"/>
        </w:rPr>
        <w:lastRenderedPageBreak/>
        <w:t xml:space="preserve">Europe, </w:t>
      </w:r>
      <w:r w:rsidR="002F24A6" w:rsidRPr="61B29520">
        <w:rPr>
          <w:rFonts w:ascii="Times New Roman" w:hAnsi="Times New Roman"/>
          <w:sz w:val="24"/>
          <w:szCs w:val="24"/>
          <w:lang w:val="en-GB"/>
        </w:rPr>
        <w:t>the Indian subcontinent</w:t>
      </w:r>
      <w:r w:rsidR="00355EEF" w:rsidRPr="61B29520">
        <w:rPr>
          <w:rFonts w:ascii="Times New Roman" w:hAnsi="Times New Roman"/>
          <w:sz w:val="24"/>
          <w:szCs w:val="24"/>
          <w:lang w:val="en-GB"/>
        </w:rPr>
        <w:t xml:space="preserve">, the Pacific coast </w:t>
      </w:r>
      <w:r w:rsidR="002F24A6" w:rsidRPr="61B29520">
        <w:rPr>
          <w:rFonts w:ascii="Times New Roman" w:hAnsi="Times New Roman"/>
          <w:sz w:val="24"/>
          <w:szCs w:val="24"/>
          <w:lang w:val="en-GB"/>
        </w:rPr>
        <w:t xml:space="preserve">of Asia </w:t>
      </w:r>
      <w:r w:rsidR="00355EEF" w:rsidRPr="61B29520">
        <w:rPr>
          <w:rFonts w:ascii="Times New Roman" w:hAnsi="Times New Roman"/>
          <w:sz w:val="24"/>
          <w:szCs w:val="24"/>
          <w:lang w:val="en-GB"/>
        </w:rPr>
        <w:t xml:space="preserve">and insular Southeast Asia </w:t>
      </w:r>
      <w:r w:rsidR="00CB51C0" w:rsidRPr="61B29520">
        <w:rPr>
          <w:rFonts w:ascii="Times New Roman" w:hAnsi="Times New Roman"/>
          <w:sz w:val="24"/>
          <w:szCs w:val="24"/>
          <w:lang w:val="en-GB"/>
        </w:rPr>
        <w:t xml:space="preserve">experienced wetter-than-usual </w:t>
      </w:r>
      <w:r w:rsidR="002F24A6" w:rsidRPr="61B29520">
        <w:rPr>
          <w:rFonts w:ascii="Times New Roman" w:hAnsi="Times New Roman"/>
          <w:sz w:val="24"/>
          <w:szCs w:val="24"/>
          <w:lang w:val="en-GB"/>
        </w:rPr>
        <w:t>conditions</w:t>
      </w:r>
      <w:r w:rsidR="00CB51C0" w:rsidRPr="61B29520">
        <w:rPr>
          <w:rFonts w:ascii="Times New Roman" w:hAnsi="Times New Roman"/>
          <w:sz w:val="24"/>
          <w:szCs w:val="24"/>
          <w:lang w:val="en-GB"/>
        </w:rPr>
        <w:t>.</w:t>
      </w:r>
    </w:p>
    <w:p w14:paraId="45AD6466" w14:textId="28404789" w:rsidR="00B22201" w:rsidRDefault="009A2AF3" w:rsidP="00DA626B">
      <w:pPr>
        <w:spacing w:after="0" w:line="480" w:lineRule="auto"/>
        <w:rPr>
          <w:rFonts w:ascii="Times New Roman" w:hAnsi="Times New Roman"/>
          <w:sz w:val="24"/>
          <w:szCs w:val="24"/>
          <w:lang w:val="en-GB"/>
        </w:rPr>
      </w:pPr>
      <w:r w:rsidRPr="61B29520">
        <w:rPr>
          <w:rFonts w:ascii="Times New Roman" w:hAnsi="Times New Roman"/>
          <w:sz w:val="24"/>
          <w:szCs w:val="24"/>
          <w:lang w:val="en-GB"/>
        </w:rPr>
        <w:t>A similar pattern was observed in freshwater</w:t>
      </w:r>
      <w:r w:rsidR="00945BEF" w:rsidRPr="61B29520">
        <w:rPr>
          <w:rFonts w:ascii="Times New Roman" w:hAnsi="Times New Roman"/>
          <w:sz w:val="24"/>
          <w:szCs w:val="24"/>
          <w:lang w:val="en-GB"/>
        </w:rPr>
        <w:t xml:space="preserve"> discharge</w:t>
      </w:r>
      <w:r w:rsidR="00A70CBF" w:rsidRPr="61B29520">
        <w:rPr>
          <w:rFonts w:ascii="Times New Roman" w:hAnsi="Times New Roman"/>
          <w:sz w:val="24"/>
          <w:szCs w:val="24"/>
          <w:lang w:val="en-GB"/>
        </w:rPr>
        <w:t xml:space="preserve"> into the oceans, which</w:t>
      </w:r>
      <w:r w:rsidRPr="61B29520">
        <w:rPr>
          <w:rFonts w:ascii="Times New Roman" w:hAnsi="Times New Roman"/>
          <w:sz w:val="24"/>
          <w:szCs w:val="24"/>
          <w:lang w:val="en-GB"/>
        </w:rPr>
        <w:t xml:space="preserve"> remained below normal overall,</w:t>
      </w:r>
      <w:r w:rsidR="00A70CBF" w:rsidRPr="61B29520">
        <w:rPr>
          <w:rFonts w:ascii="Times New Roman" w:hAnsi="Times New Roman"/>
          <w:sz w:val="24"/>
          <w:szCs w:val="24"/>
          <w:lang w:val="en-GB"/>
        </w:rPr>
        <w:t xml:space="preserve"> though</w:t>
      </w:r>
      <w:r w:rsidR="00945BEF" w:rsidRPr="61B29520">
        <w:rPr>
          <w:rFonts w:ascii="Times New Roman" w:hAnsi="Times New Roman"/>
          <w:sz w:val="24"/>
          <w:szCs w:val="24"/>
          <w:lang w:val="en-GB"/>
        </w:rPr>
        <w:t xml:space="preserve"> </w:t>
      </w:r>
      <w:r w:rsidRPr="61B29520">
        <w:rPr>
          <w:rFonts w:ascii="Times New Roman" w:hAnsi="Times New Roman"/>
          <w:sz w:val="24"/>
          <w:szCs w:val="24"/>
          <w:lang w:val="en-GB"/>
        </w:rPr>
        <w:t>with notable regional variations</w:t>
      </w:r>
      <w:r w:rsidR="00945BEF" w:rsidRPr="61B29520">
        <w:rPr>
          <w:rFonts w:ascii="Times New Roman" w:hAnsi="Times New Roman"/>
          <w:sz w:val="24"/>
          <w:szCs w:val="24"/>
          <w:lang w:val="en-GB"/>
        </w:rPr>
        <w:t xml:space="preserve"> (Figure 2.a.1.2). </w:t>
      </w:r>
      <w:r w:rsidRPr="61B29520">
        <w:rPr>
          <w:rFonts w:ascii="Times New Roman" w:hAnsi="Times New Roman"/>
          <w:sz w:val="24"/>
          <w:szCs w:val="24"/>
          <w:lang w:val="en-GB"/>
        </w:rPr>
        <w:t>D</w:t>
      </w:r>
      <w:r w:rsidR="00945BEF" w:rsidRPr="61B29520">
        <w:rPr>
          <w:rFonts w:ascii="Times New Roman" w:hAnsi="Times New Roman"/>
          <w:sz w:val="24"/>
          <w:szCs w:val="24"/>
          <w:lang w:val="en-GB"/>
        </w:rPr>
        <w:t xml:space="preserve">ischarge into the Arctic was slightly </w:t>
      </w:r>
      <w:r w:rsidRPr="61B29520">
        <w:rPr>
          <w:rFonts w:ascii="Times New Roman" w:hAnsi="Times New Roman"/>
          <w:sz w:val="24"/>
          <w:szCs w:val="24"/>
          <w:lang w:val="en-GB"/>
        </w:rPr>
        <w:t>below</w:t>
      </w:r>
      <w:r w:rsidR="00945BEF" w:rsidRPr="61B29520">
        <w:rPr>
          <w:rFonts w:ascii="Times New Roman" w:hAnsi="Times New Roman"/>
          <w:sz w:val="24"/>
          <w:szCs w:val="24"/>
          <w:lang w:val="en-GB"/>
        </w:rPr>
        <w:t xml:space="preserve"> normal, particularly in </w:t>
      </w:r>
      <w:r w:rsidRPr="61B29520">
        <w:rPr>
          <w:rFonts w:ascii="Times New Roman" w:hAnsi="Times New Roman"/>
          <w:sz w:val="24"/>
          <w:szCs w:val="24"/>
          <w:lang w:val="en-GB"/>
        </w:rPr>
        <w:t>s</w:t>
      </w:r>
      <w:r w:rsidR="00945BEF" w:rsidRPr="61B29520">
        <w:rPr>
          <w:rFonts w:ascii="Times New Roman" w:hAnsi="Times New Roman"/>
          <w:sz w:val="24"/>
          <w:szCs w:val="24"/>
          <w:lang w:val="en-GB"/>
        </w:rPr>
        <w:t>ummer</w:t>
      </w:r>
      <w:r w:rsidR="00A70CBF" w:rsidRPr="61B29520">
        <w:rPr>
          <w:rFonts w:ascii="Times New Roman" w:hAnsi="Times New Roman"/>
          <w:sz w:val="24"/>
          <w:szCs w:val="24"/>
          <w:lang w:val="en-GB"/>
        </w:rPr>
        <w:t xml:space="preserve">. The Mackenzie and Nelson rivers (North America), and the Lena river (Asia) </w:t>
      </w:r>
      <w:r w:rsidRPr="61B29520">
        <w:rPr>
          <w:rFonts w:ascii="Times New Roman" w:hAnsi="Times New Roman"/>
          <w:sz w:val="24"/>
          <w:szCs w:val="24"/>
          <w:lang w:val="en-GB"/>
        </w:rPr>
        <w:t>experienced low</w:t>
      </w:r>
      <w:r w:rsidR="00A70CBF" w:rsidRPr="61B29520">
        <w:rPr>
          <w:rFonts w:ascii="Times New Roman" w:hAnsi="Times New Roman"/>
          <w:sz w:val="24"/>
          <w:szCs w:val="24"/>
          <w:lang w:val="en-GB"/>
        </w:rPr>
        <w:t xml:space="preserve"> discharge, whereas the Ob river (Asia) </w:t>
      </w:r>
      <w:r w:rsidRPr="61B29520">
        <w:rPr>
          <w:rFonts w:ascii="Times New Roman" w:hAnsi="Times New Roman"/>
          <w:sz w:val="24"/>
          <w:szCs w:val="24"/>
          <w:lang w:val="en-GB"/>
        </w:rPr>
        <w:t>exhibited above-normal discharge</w:t>
      </w:r>
      <w:r w:rsidR="00945BEF" w:rsidRPr="61B29520">
        <w:rPr>
          <w:rFonts w:ascii="Times New Roman" w:hAnsi="Times New Roman"/>
          <w:sz w:val="24"/>
          <w:szCs w:val="24"/>
          <w:lang w:val="en-GB"/>
        </w:rPr>
        <w:t xml:space="preserve">. The Atlantic basin </w:t>
      </w:r>
      <w:r w:rsidRPr="61B29520">
        <w:rPr>
          <w:rFonts w:ascii="Times New Roman" w:hAnsi="Times New Roman"/>
          <w:sz w:val="24"/>
          <w:szCs w:val="24"/>
          <w:lang w:val="en-GB"/>
        </w:rPr>
        <w:t>faced severe</w:t>
      </w:r>
      <w:r w:rsidR="00945BEF" w:rsidRPr="61B29520">
        <w:rPr>
          <w:rFonts w:ascii="Times New Roman" w:hAnsi="Times New Roman"/>
          <w:sz w:val="24"/>
          <w:szCs w:val="24"/>
          <w:lang w:val="en-GB"/>
        </w:rPr>
        <w:t xml:space="preserve"> drought</w:t>
      </w:r>
      <w:r w:rsidRPr="61B29520">
        <w:rPr>
          <w:rFonts w:ascii="Times New Roman" w:hAnsi="Times New Roman"/>
          <w:sz w:val="24"/>
          <w:szCs w:val="24"/>
          <w:lang w:val="en-GB"/>
        </w:rPr>
        <w:t xml:space="preserve"> conditions</w:t>
      </w:r>
      <w:r w:rsidR="00945BEF" w:rsidRPr="61B29520">
        <w:rPr>
          <w:rFonts w:ascii="Times New Roman" w:hAnsi="Times New Roman"/>
          <w:sz w:val="24"/>
          <w:szCs w:val="24"/>
          <w:lang w:val="en-GB"/>
        </w:rPr>
        <w:t>, with the lowest discharge in the series</w:t>
      </w:r>
      <w:r w:rsidRPr="61B29520">
        <w:rPr>
          <w:rFonts w:ascii="Times New Roman" w:hAnsi="Times New Roman"/>
          <w:sz w:val="24"/>
          <w:szCs w:val="24"/>
          <w:lang w:val="en-GB"/>
        </w:rPr>
        <w:t>. Negative anomalies</w:t>
      </w:r>
      <w:r w:rsidR="00945BEF" w:rsidRPr="61B29520">
        <w:rPr>
          <w:rFonts w:ascii="Times New Roman" w:hAnsi="Times New Roman"/>
          <w:sz w:val="24"/>
          <w:szCs w:val="24"/>
          <w:lang w:val="en-GB"/>
        </w:rPr>
        <w:t xml:space="preserve"> persisted throughout the year, </w:t>
      </w:r>
      <w:r w:rsidRPr="61B29520">
        <w:rPr>
          <w:rFonts w:ascii="Times New Roman" w:hAnsi="Times New Roman"/>
          <w:sz w:val="24"/>
          <w:szCs w:val="24"/>
          <w:lang w:val="en-GB"/>
        </w:rPr>
        <w:t>intensifying during winter</w:t>
      </w:r>
      <w:r w:rsidR="00945BEF" w:rsidRPr="61B29520">
        <w:rPr>
          <w:rFonts w:ascii="Times New Roman" w:hAnsi="Times New Roman"/>
          <w:sz w:val="24"/>
          <w:szCs w:val="24"/>
          <w:lang w:val="en-GB"/>
        </w:rPr>
        <w:t xml:space="preserve"> when El Niño was present</w:t>
      </w:r>
      <w:r w:rsidR="00A70CBF" w:rsidRPr="61B29520">
        <w:rPr>
          <w:rFonts w:ascii="Times New Roman" w:hAnsi="Times New Roman"/>
          <w:sz w:val="24"/>
          <w:szCs w:val="24"/>
          <w:lang w:val="en-GB"/>
        </w:rPr>
        <w:t>. Major rivers</w:t>
      </w:r>
      <w:r w:rsidR="00335447" w:rsidRPr="61B29520">
        <w:rPr>
          <w:rFonts w:ascii="Times New Roman" w:hAnsi="Times New Roman"/>
          <w:sz w:val="24"/>
          <w:szCs w:val="24"/>
          <w:lang w:val="en-GB"/>
        </w:rPr>
        <w:t xml:space="preserve">, including </w:t>
      </w:r>
      <w:r w:rsidR="00DE07F9" w:rsidRPr="61B29520">
        <w:rPr>
          <w:rFonts w:ascii="Times New Roman" w:hAnsi="Times New Roman"/>
          <w:sz w:val="24"/>
          <w:szCs w:val="24"/>
          <w:lang w:val="en-GB"/>
        </w:rPr>
        <w:t>the Amazon, Paran</w:t>
      </w:r>
      <w:r w:rsidR="00335447" w:rsidRPr="61B29520">
        <w:rPr>
          <w:rFonts w:ascii="Times New Roman" w:hAnsi="Times New Roman"/>
          <w:sz w:val="24"/>
          <w:szCs w:val="24"/>
          <w:lang w:val="en-GB"/>
        </w:rPr>
        <w:t>á</w:t>
      </w:r>
      <w:r w:rsidR="00A70CBF" w:rsidRPr="61B29520">
        <w:rPr>
          <w:rFonts w:ascii="Times New Roman" w:hAnsi="Times New Roman"/>
          <w:sz w:val="24"/>
          <w:szCs w:val="24"/>
          <w:lang w:val="en-GB"/>
        </w:rPr>
        <w:t xml:space="preserve"> and</w:t>
      </w:r>
      <w:r w:rsidR="00DE07F9" w:rsidRPr="61B29520">
        <w:rPr>
          <w:rFonts w:ascii="Times New Roman" w:hAnsi="Times New Roman"/>
          <w:sz w:val="24"/>
          <w:szCs w:val="24"/>
          <w:lang w:val="en-GB"/>
        </w:rPr>
        <w:t xml:space="preserve"> Mississippi</w:t>
      </w:r>
      <w:r w:rsidR="00A70CBF" w:rsidRPr="61B29520">
        <w:rPr>
          <w:rFonts w:ascii="Times New Roman" w:hAnsi="Times New Roman"/>
          <w:sz w:val="24"/>
          <w:szCs w:val="24"/>
          <w:lang w:val="en-GB"/>
        </w:rPr>
        <w:t xml:space="preserve"> (America)</w:t>
      </w:r>
      <w:r w:rsidR="00DE07F9" w:rsidRPr="61B29520">
        <w:rPr>
          <w:rFonts w:ascii="Times New Roman" w:hAnsi="Times New Roman"/>
          <w:sz w:val="24"/>
          <w:szCs w:val="24"/>
          <w:lang w:val="en-GB"/>
        </w:rPr>
        <w:t xml:space="preserve">, </w:t>
      </w:r>
      <w:r w:rsidR="00A70CBF" w:rsidRPr="61B29520">
        <w:rPr>
          <w:rFonts w:ascii="Times New Roman" w:hAnsi="Times New Roman"/>
          <w:sz w:val="24"/>
          <w:szCs w:val="24"/>
          <w:lang w:val="en-GB"/>
        </w:rPr>
        <w:t>a</w:t>
      </w:r>
      <w:r w:rsidR="00335447" w:rsidRPr="61B29520">
        <w:rPr>
          <w:rFonts w:ascii="Times New Roman" w:hAnsi="Times New Roman"/>
          <w:sz w:val="24"/>
          <w:szCs w:val="24"/>
          <w:lang w:val="en-GB"/>
        </w:rPr>
        <w:t>s well as the</w:t>
      </w:r>
      <w:r w:rsidR="00A70CBF" w:rsidRPr="61B29520">
        <w:rPr>
          <w:rFonts w:ascii="Times New Roman" w:hAnsi="Times New Roman"/>
          <w:sz w:val="24"/>
          <w:szCs w:val="24"/>
          <w:lang w:val="en-GB"/>
        </w:rPr>
        <w:t xml:space="preserve"> </w:t>
      </w:r>
      <w:r w:rsidR="00DE07F9" w:rsidRPr="61B29520">
        <w:rPr>
          <w:rFonts w:ascii="Times New Roman" w:hAnsi="Times New Roman"/>
          <w:sz w:val="24"/>
          <w:szCs w:val="24"/>
          <w:lang w:val="en-GB"/>
        </w:rPr>
        <w:t xml:space="preserve">Congo and Nile </w:t>
      </w:r>
      <w:r w:rsidR="00A70CBF" w:rsidRPr="61B29520">
        <w:rPr>
          <w:rFonts w:ascii="Times New Roman" w:hAnsi="Times New Roman"/>
          <w:sz w:val="24"/>
          <w:szCs w:val="24"/>
          <w:lang w:val="en-GB"/>
        </w:rPr>
        <w:t>(Africa)</w:t>
      </w:r>
      <w:r w:rsidR="00335447" w:rsidRPr="61B29520">
        <w:rPr>
          <w:rFonts w:ascii="Times New Roman" w:hAnsi="Times New Roman"/>
          <w:sz w:val="24"/>
          <w:szCs w:val="24"/>
          <w:lang w:val="en-GB"/>
        </w:rPr>
        <w:t>,</w:t>
      </w:r>
      <w:r w:rsidR="00A70CBF" w:rsidRPr="61B29520">
        <w:rPr>
          <w:rFonts w:ascii="Times New Roman" w:hAnsi="Times New Roman"/>
          <w:sz w:val="24"/>
          <w:szCs w:val="24"/>
          <w:lang w:val="en-GB"/>
        </w:rPr>
        <w:t xml:space="preserve"> </w:t>
      </w:r>
      <w:r w:rsidR="00DE07F9" w:rsidRPr="61B29520">
        <w:rPr>
          <w:rFonts w:ascii="Times New Roman" w:hAnsi="Times New Roman"/>
          <w:sz w:val="24"/>
          <w:szCs w:val="24"/>
          <w:lang w:val="en-GB"/>
        </w:rPr>
        <w:t>had low discharge</w:t>
      </w:r>
      <w:bookmarkStart w:id="0" w:name="_GoBack"/>
      <w:bookmarkEnd w:id="0"/>
      <w:r w:rsidR="00F97738" w:rsidRPr="61B29520">
        <w:rPr>
          <w:rFonts w:ascii="Times New Roman" w:hAnsi="Times New Roman"/>
          <w:sz w:val="24"/>
          <w:szCs w:val="24"/>
          <w:lang w:val="en-GB"/>
        </w:rPr>
        <w:t xml:space="preserve">. </w:t>
      </w:r>
      <w:r w:rsidR="00335447" w:rsidRPr="61B29520">
        <w:rPr>
          <w:rFonts w:ascii="Times New Roman" w:hAnsi="Times New Roman"/>
          <w:sz w:val="24"/>
          <w:szCs w:val="24"/>
          <w:lang w:val="en-GB"/>
        </w:rPr>
        <w:t>A</w:t>
      </w:r>
      <w:r w:rsidR="00F97738" w:rsidRPr="61B29520">
        <w:rPr>
          <w:rFonts w:ascii="Times New Roman" w:hAnsi="Times New Roman"/>
          <w:sz w:val="24"/>
          <w:szCs w:val="24"/>
          <w:lang w:val="en-GB"/>
        </w:rPr>
        <w:t xml:space="preserve">n exception </w:t>
      </w:r>
      <w:r w:rsidR="00335447" w:rsidRPr="61B29520">
        <w:rPr>
          <w:rFonts w:ascii="Times New Roman" w:hAnsi="Times New Roman"/>
          <w:sz w:val="24"/>
          <w:szCs w:val="24"/>
          <w:lang w:val="en-GB"/>
        </w:rPr>
        <w:t>to this trend was the flooding that</w:t>
      </w:r>
      <w:r w:rsidR="00F97738" w:rsidRPr="61B29520">
        <w:rPr>
          <w:rFonts w:ascii="Times New Roman" w:hAnsi="Times New Roman"/>
          <w:sz w:val="24"/>
          <w:szCs w:val="24"/>
          <w:lang w:val="en-GB"/>
        </w:rPr>
        <w:t xml:space="preserve"> affected Rio Grande Do Sul</w:t>
      </w:r>
      <w:r w:rsidR="00E70EE1">
        <w:rPr>
          <w:rFonts w:ascii="Times New Roman" w:hAnsi="Times New Roman"/>
          <w:sz w:val="24"/>
          <w:szCs w:val="24"/>
          <w:lang w:val="en-GB"/>
        </w:rPr>
        <w:t xml:space="preserve"> (</w:t>
      </w:r>
      <w:r w:rsidR="00335447" w:rsidRPr="61B29520">
        <w:rPr>
          <w:rFonts w:ascii="Times New Roman" w:hAnsi="Times New Roman"/>
          <w:sz w:val="24"/>
          <w:szCs w:val="24"/>
          <w:lang w:val="en-GB"/>
        </w:rPr>
        <w:t>Brazil</w:t>
      </w:r>
      <w:r w:rsidR="00E70EE1">
        <w:rPr>
          <w:rFonts w:ascii="Times New Roman" w:hAnsi="Times New Roman"/>
          <w:sz w:val="24"/>
          <w:szCs w:val="24"/>
          <w:lang w:val="en-GB"/>
        </w:rPr>
        <w:t>) in late April</w:t>
      </w:r>
      <w:r w:rsidR="00335447" w:rsidRPr="61B29520">
        <w:rPr>
          <w:rFonts w:ascii="Times New Roman" w:hAnsi="Times New Roman"/>
          <w:sz w:val="24"/>
          <w:szCs w:val="24"/>
          <w:lang w:val="en-GB"/>
        </w:rPr>
        <w:t xml:space="preserve"> </w:t>
      </w:r>
      <w:r w:rsidRPr="61B29520">
        <w:rPr>
          <w:rFonts w:ascii="Times New Roman" w:hAnsi="Times New Roman"/>
          <w:sz w:val="24"/>
          <w:szCs w:val="24"/>
          <w:lang w:val="en-GB"/>
        </w:rPr>
        <w:fldChar w:fldCharType="begin" w:fldLock="1"/>
      </w:r>
      <w:r w:rsidR="005E0AC6">
        <w:rPr>
          <w:rFonts w:ascii="Times New Roman" w:hAnsi="Times New Roman"/>
          <w:sz w:val="24"/>
          <w:szCs w:val="24"/>
          <w:lang w:val="en-GB"/>
        </w:rPr>
        <w:instrText>ADDIN CSL_CITATION {"citationItems":[{"id":"ITEM-1","itemData":{"author":[{"dropping-particle":"","family":"Dijk","given":"Van","non-dropping-particle":"","parse-names":false,"suffix":""},{"dropping-particle":"","family":"Beck","given":"H E","non-dropping-particle":"","parse-names":false,"suffix":""},{"dropping-particle":"","family":"Boergens","given":"E","non-dropping-particle":"","parse-names":false,"suffix":""},{"dropping-particle":"","family":"Jeu","given":"R A M","non-dropping-particle":"De","parse-names":false,"suffix":""},{"dropping-particle":"","family":"Dorigo","given":"W A","non-dropping-particle":"","parse-names":false,"suffix":""},{"dropping-particle":"","family":"Edirisinghe","given":"C","non-dropping-particle":"","parse-names":false,"suffix":""},{"dropping-particle":"","family":"Forootan","given":"E","non-dropping-particle":"","parse-names":false,"suffix":""},{"dropping-particle":"","family":"Guo","given":"E","non-dropping-particle":"","parse-names":false,"suffix":""},{"dropping-particle":"","family":"Güntner","given":"A","non-dropping-particle":"","parse-names":false,"suffix":""},{"dropping-particle":"","family":"Hou","given":"J","non-dropping-particle":"","parse-names":false,"suffix":""},{"dropping-particle":"","family":"Mehrnegar","given":"N","non-dropping-particle":"","parse-names":false,"suffix":""},{"dropping-particle":"","family":"Mo","given":"S","non-dropping-particle":"","parse-names":false,"suffix":""},{"dropping-particle":"","family":"Preimesberger","given":"W","non-dropping-particle":"","parse-names":false,"suffix":""},{"dropping-particle":"","family":"Rahman","given":"J","non-dropping-particle":"","parse-names":false,"suffix":""},{"dropping-particle":"","family":"Larraondo","given":"P Rozas","non-dropping-particle":"","parse-names":false,"suffix":""}],"id":"ITEM-1","issued":{"date-parts":[["2025"]]},"title":"Global Water Monitor 2024, Summary Report","type":"report"},"uris":["http://www.mendeley.com/documents/?uuid=45324fe4-9ccd-335c-8b11-fecae1e6fd99"]}],"mendeley":{"formattedCitation":"(Dijk et al., 2025)","plainTextFormattedCitation":"(Dijk et al., 2025)","previouslyFormattedCitation":"(Dijk et al., 2025)"},"properties":{"noteIndex":0},"schema":"https://github.com/citation-style-language/schema/raw/master/csl-citation.json"}</w:instrText>
      </w:r>
      <w:r w:rsidRPr="61B29520">
        <w:rPr>
          <w:rFonts w:ascii="Times New Roman" w:hAnsi="Times New Roman"/>
          <w:sz w:val="24"/>
          <w:szCs w:val="24"/>
          <w:lang w:val="en-GB"/>
        </w:rPr>
        <w:fldChar w:fldCharType="separate"/>
      </w:r>
      <w:r w:rsidR="00335447" w:rsidRPr="61B29520">
        <w:rPr>
          <w:rFonts w:ascii="Times New Roman" w:hAnsi="Times New Roman"/>
          <w:noProof/>
          <w:sz w:val="24"/>
          <w:szCs w:val="24"/>
          <w:lang w:val="en-GB"/>
        </w:rPr>
        <w:t>(Dijk et al., 2025)</w:t>
      </w:r>
      <w:r w:rsidRPr="61B29520">
        <w:rPr>
          <w:rFonts w:ascii="Times New Roman" w:hAnsi="Times New Roman"/>
          <w:sz w:val="24"/>
          <w:szCs w:val="24"/>
          <w:lang w:val="en-GB"/>
        </w:rPr>
        <w:fldChar w:fldCharType="end"/>
      </w:r>
      <w:r w:rsidR="00945BEF" w:rsidRPr="61B29520">
        <w:rPr>
          <w:rFonts w:ascii="Times New Roman" w:hAnsi="Times New Roman"/>
          <w:sz w:val="24"/>
          <w:szCs w:val="24"/>
          <w:lang w:val="en-GB"/>
        </w:rPr>
        <w:t xml:space="preserve">. </w:t>
      </w:r>
      <w:r w:rsidR="00335447" w:rsidRPr="61B29520">
        <w:rPr>
          <w:rFonts w:ascii="Times New Roman" w:hAnsi="Times New Roman"/>
          <w:sz w:val="24"/>
          <w:szCs w:val="24"/>
          <w:lang w:val="en-GB"/>
        </w:rPr>
        <w:t>In contrast</w:t>
      </w:r>
      <w:r w:rsidR="00945BEF" w:rsidRPr="61B29520">
        <w:rPr>
          <w:rFonts w:ascii="Times New Roman" w:hAnsi="Times New Roman"/>
          <w:sz w:val="24"/>
          <w:szCs w:val="24"/>
          <w:lang w:val="en-GB"/>
        </w:rPr>
        <w:t>, the Indian Ocean experience</w:t>
      </w:r>
      <w:r w:rsidR="00A70CBF" w:rsidRPr="61B29520">
        <w:rPr>
          <w:rFonts w:ascii="Times New Roman" w:hAnsi="Times New Roman"/>
          <w:sz w:val="24"/>
          <w:szCs w:val="24"/>
          <w:lang w:val="en-GB"/>
        </w:rPr>
        <w:t>d</w:t>
      </w:r>
      <w:r w:rsidR="00945BEF" w:rsidRPr="61B29520">
        <w:rPr>
          <w:rFonts w:ascii="Times New Roman" w:hAnsi="Times New Roman"/>
          <w:sz w:val="24"/>
          <w:szCs w:val="24"/>
          <w:lang w:val="en-GB"/>
        </w:rPr>
        <w:t xml:space="preserve"> the highest discharge in the </w:t>
      </w:r>
      <w:r w:rsidR="00335447" w:rsidRPr="61B29520">
        <w:rPr>
          <w:rFonts w:ascii="Times New Roman" w:hAnsi="Times New Roman"/>
          <w:sz w:val="24"/>
          <w:szCs w:val="24"/>
          <w:lang w:val="en-GB"/>
        </w:rPr>
        <w:t xml:space="preserve">time </w:t>
      </w:r>
      <w:r w:rsidR="00945BEF" w:rsidRPr="61B29520">
        <w:rPr>
          <w:rFonts w:ascii="Times New Roman" w:hAnsi="Times New Roman"/>
          <w:sz w:val="24"/>
          <w:szCs w:val="24"/>
          <w:lang w:val="en-GB"/>
        </w:rPr>
        <w:t>series</w:t>
      </w:r>
      <w:r w:rsidR="00335447" w:rsidRPr="61B29520">
        <w:rPr>
          <w:rFonts w:ascii="Times New Roman" w:hAnsi="Times New Roman"/>
          <w:sz w:val="24"/>
          <w:szCs w:val="24"/>
          <w:lang w:val="en-GB"/>
        </w:rPr>
        <w:t xml:space="preserve">, with positive anomalies spanning both </w:t>
      </w:r>
      <w:r w:rsidR="00260658" w:rsidRPr="61B29520">
        <w:rPr>
          <w:rFonts w:ascii="Times New Roman" w:hAnsi="Times New Roman"/>
          <w:sz w:val="24"/>
          <w:szCs w:val="24"/>
          <w:lang w:val="en-GB"/>
        </w:rPr>
        <w:t xml:space="preserve">wet seasons, </w:t>
      </w:r>
      <w:r w:rsidR="00335447" w:rsidRPr="61B29520">
        <w:rPr>
          <w:rFonts w:ascii="Times New Roman" w:hAnsi="Times New Roman"/>
          <w:sz w:val="24"/>
          <w:szCs w:val="24"/>
          <w:lang w:val="en-GB"/>
        </w:rPr>
        <w:t>while values remained normal during dry seasons</w:t>
      </w:r>
      <w:r w:rsidR="00386686" w:rsidRPr="61B29520">
        <w:rPr>
          <w:rFonts w:ascii="Times New Roman" w:hAnsi="Times New Roman"/>
          <w:sz w:val="24"/>
          <w:szCs w:val="24"/>
          <w:lang w:val="en-GB"/>
        </w:rPr>
        <w:t xml:space="preserve">. </w:t>
      </w:r>
      <w:r w:rsidR="00335447" w:rsidRPr="61B29520">
        <w:rPr>
          <w:rFonts w:ascii="Times New Roman" w:hAnsi="Times New Roman"/>
          <w:sz w:val="24"/>
          <w:szCs w:val="24"/>
          <w:lang w:val="en-GB"/>
        </w:rPr>
        <w:t xml:space="preserve">Severe flooding impacted </w:t>
      </w:r>
      <w:r w:rsidR="00386686" w:rsidRPr="61B29520">
        <w:rPr>
          <w:rFonts w:ascii="Times New Roman" w:hAnsi="Times New Roman"/>
          <w:sz w:val="24"/>
          <w:szCs w:val="24"/>
          <w:lang w:val="en-GB"/>
        </w:rPr>
        <w:t xml:space="preserve">Bangladesh in August </w:t>
      </w:r>
      <w:r w:rsidRPr="61B29520">
        <w:rPr>
          <w:rFonts w:ascii="Times New Roman" w:hAnsi="Times New Roman"/>
          <w:sz w:val="24"/>
          <w:szCs w:val="24"/>
          <w:lang w:val="en-GB"/>
        </w:rPr>
        <w:fldChar w:fldCharType="begin" w:fldLock="1"/>
      </w:r>
      <w:r w:rsidRPr="61B29520">
        <w:rPr>
          <w:rFonts w:ascii="Times New Roman" w:hAnsi="Times New Roman"/>
          <w:sz w:val="24"/>
          <w:szCs w:val="24"/>
          <w:lang w:val="en-GB"/>
        </w:rPr>
        <w:instrText>ADDIN CSL_CITATION {"citationItems":[{"id":"ITEM-1","itemData":{"author":[{"dropping-particle":"","family":"Dijk","given":"Van","non-dropping-particle":"","parse-names":false,"suffix":""},{"dropping-particle":"","family":"Beck","given":"H E","non-dropping-particle":"","parse-names":false,"suffix":""},{"dropping-particle":"","family":"Boergens","given":"E","non-dropping-particle":"","parse-names":false,"suffix":""},{"dropping-particle":"","family":"Jeu","given":"R A M","non-dropping-particle":"De","parse-names":false,"suffix":""},{"dropping-particle":"","family":"Dorigo","given":"W A","non-dropping-particle":"","parse-names":false,"suffix":""},{"dropping-particle":"","family":"Edirisinghe","given":"C","non-dropping-particle":"","parse-names":false,"suffix":""},{"dropping-particle":"","family":"Forootan","given":"E","non-dropping-particle":"","parse-names":false,"suffix":""},{"dropping-particle":"","family":"Guo","given":"E","non-dropping-particle":"","parse-names":false,"suffix":""},{"dropping-particle":"","family":"Güntner","given":"A","non-dropping-particle":"","parse-names":false,"suffix":""},{"dropping-particle":"","family":"Hou","given":"J","non-dropping-particle":"","parse-names":false,"suffix":""},{"dropping-particle":"","family":"Mehrnegar","given":"N","non-dropping-particle":"","parse-names":false,"suffix":""},{"dropping-particle":"","family":"Mo","given":"S","non-dropping-particle":"","parse-names":false,"suffix":""},{"dropping-particle":"","family":"Preimesberger","given":"W","non-dropping-particle":"","parse-names":false,"suffix":""},{"dropping-particle":"","family":"Rahman","given":"J","non-dropping-particle":"","parse-names":false,"suffix":""},{"dropping-particle":"","family":"Larraondo","given":"P Rozas","non-dropping-particle":"","parse-names":false,"suffix":""}],"id":"ITEM-1","issued":{"date-parts":[["2025"]]},"title":"Global Water Monitor 2024, Summary Report","type":"report"},"uris":["http://www.mendeley.com/documents/?uuid=45324fe4-9ccd-335c-8b11-fecae1e6fd99"]}],"mendeley":{"formattedCitation":"(Dijk et al., 2025)","plainTextFormattedCitation":"(Dijk et al., 2025)","previouslyFormattedCitation":"(Dijk et al., 2025)"},"properties":{"noteIndex":0},"schema":"https://github.com/citation-style-language/schema/raw/master/csl-citation.json"}</w:instrText>
      </w:r>
      <w:r w:rsidRPr="61B29520">
        <w:rPr>
          <w:rFonts w:ascii="Times New Roman" w:hAnsi="Times New Roman"/>
          <w:sz w:val="24"/>
          <w:szCs w:val="24"/>
          <w:lang w:val="en-GB"/>
        </w:rPr>
        <w:fldChar w:fldCharType="separate"/>
      </w:r>
      <w:r w:rsidR="00386686" w:rsidRPr="61B29520">
        <w:rPr>
          <w:rFonts w:ascii="Times New Roman" w:hAnsi="Times New Roman"/>
          <w:noProof/>
          <w:sz w:val="24"/>
          <w:szCs w:val="24"/>
          <w:lang w:val="en-GB"/>
        </w:rPr>
        <w:t>(Dijk et al., 2025)</w:t>
      </w:r>
      <w:r w:rsidRPr="61B29520">
        <w:rPr>
          <w:rFonts w:ascii="Times New Roman" w:hAnsi="Times New Roman"/>
          <w:sz w:val="24"/>
          <w:szCs w:val="24"/>
          <w:lang w:val="en-GB"/>
        </w:rPr>
        <w:fldChar w:fldCharType="end"/>
      </w:r>
      <w:r w:rsidR="00260658" w:rsidRPr="61B29520">
        <w:rPr>
          <w:rFonts w:ascii="Times New Roman" w:hAnsi="Times New Roman"/>
          <w:sz w:val="24"/>
          <w:szCs w:val="24"/>
          <w:lang w:val="en-GB"/>
        </w:rPr>
        <w:t xml:space="preserve">. The Pacific </w:t>
      </w:r>
      <w:r w:rsidR="00335447" w:rsidRPr="61B29520">
        <w:rPr>
          <w:rFonts w:ascii="Times New Roman" w:hAnsi="Times New Roman"/>
          <w:sz w:val="24"/>
          <w:szCs w:val="24"/>
          <w:lang w:val="en-GB"/>
        </w:rPr>
        <w:t xml:space="preserve">Ocean </w:t>
      </w:r>
      <w:r w:rsidR="00260658" w:rsidRPr="61B29520">
        <w:rPr>
          <w:rFonts w:ascii="Times New Roman" w:hAnsi="Times New Roman"/>
          <w:sz w:val="24"/>
          <w:szCs w:val="24"/>
          <w:lang w:val="en-GB"/>
        </w:rPr>
        <w:t xml:space="preserve">exhibited also </w:t>
      </w:r>
      <w:r w:rsidR="00335447" w:rsidRPr="61B29520">
        <w:rPr>
          <w:rFonts w:ascii="Times New Roman" w:hAnsi="Times New Roman"/>
          <w:sz w:val="24"/>
          <w:szCs w:val="24"/>
          <w:lang w:val="en-GB"/>
        </w:rPr>
        <w:t xml:space="preserve">above-normal </w:t>
      </w:r>
      <w:r w:rsidR="00260658" w:rsidRPr="61B29520">
        <w:rPr>
          <w:rFonts w:ascii="Times New Roman" w:hAnsi="Times New Roman"/>
          <w:sz w:val="24"/>
          <w:szCs w:val="24"/>
          <w:lang w:val="en-GB"/>
        </w:rPr>
        <w:t xml:space="preserve">discharge, with the largest positive anomalies </w:t>
      </w:r>
      <w:r w:rsidR="00335447" w:rsidRPr="61B29520">
        <w:rPr>
          <w:rFonts w:ascii="Times New Roman" w:hAnsi="Times New Roman"/>
          <w:sz w:val="24"/>
          <w:szCs w:val="24"/>
          <w:lang w:val="en-GB"/>
        </w:rPr>
        <w:t>occurring between</w:t>
      </w:r>
      <w:r w:rsidR="00260658" w:rsidRPr="61B29520">
        <w:rPr>
          <w:rFonts w:ascii="Times New Roman" w:hAnsi="Times New Roman"/>
          <w:sz w:val="24"/>
          <w:szCs w:val="24"/>
          <w:lang w:val="en-GB"/>
        </w:rPr>
        <w:t xml:space="preserve"> April </w:t>
      </w:r>
      <w:r w:rsidR="00335447" w:rsidRPr="61B29520">
        <w:rPr>
          <w:rFonts w:ascii="Times New Roman" w:hAnsi="Times New Roman"/>
          <w:sz w:val="24"/>
          <w:szCs w:val="24"/>
          <w:lang w:val="en-GB"/>
        </w:rPr>
        <w:t>and</w:t>
      </w:r>
      <w:r w:rsidR="00260658" w:rsidRPr="61B29520">
        <w:rPr>
          <w:rFonts w:ascii="Times New Roman" w:hAnsi="Times New Roman"/>
          <w:sz w:val="24"/>
          <w:szCs w:val="24"/>
          <w:lang w:val="en-GB"/>
        </w:rPr>
        <w:t xml:space="preserve"> July.</w:t>
      </w:r>
    </w:p>
    <w:p w14:paraId="3A413881" w14:textId="3B70CD94" w:rsidR="003324A2" w:rsidRPr="00920F9F" w:rsidRDefault="00920F9F" w:rsidP="00920F9F">
      <w:pPr>
        <w:spacing w:after="120" w:line="480" w:lineRule="auto"/>
        <w:rPr>
          <w:rFonts w:ascii="Times New Roman" w:eastAsia="Arial" w:hAnsi="Times New Roman"/>
          <w:sz w:val="24"/>
          <w:szCs w:val="24"/>
          <w:lang w:val="en-GB"/>
        </w:rPr>
      </w:pPr>
      <w:r w:rsidRPr="61B29520">
        <w:rPr>
          <w:rFonts w:ascii="Times New Roman" w:eastAsia="Arial" w:hAnsi="Times New Roman"/>
          <w:sz w:val="24"/>
          <w:szCs w:val="24"/>
          <w:lang w:val="en-GB"/>
        </w:rPr>
        <w:t xml:space="preserve">The river discharge and runoff data </w:t>
      </w:r>
      <w:r w:rsidR="00421B84" w:rsidRPr="61B29520">
        <w:rPr>
          <w:rFonts w:ascii="Times New Roman" w:eastAsia="Arial" w:hAnsi="Times New Roman"/>
          <w:sz w:val="24"/>
          <w:szCs w:val="24"/>
          <w:lang w:val="en-GB"/>
        </w:rPr>
        <w:t>used in this analysis derive from the</w:t>
      </w:r>
      <w:r w:rsidRPr="61B29520">
        <w:rPr>
          <w:rFonts w:ascii="Times New Roman" w:eastAsia="Arial" w:hAnsi="Times New Roman"/>
          <w:sz w:val="24"/>
          <w:szCs w:val="24"/>
          <w:lang w:val="en-GB"/>
        </w:rPr>
        <w:t xml:space="preserve"> historical </w:t>
      </w:r>
      <w:r w:rsidR="008002BD">
        <w:rPr>
          <w:rFonts w:ascii="Times New Roman" w:eastAsia="Arial" w:hAnsi="Times New Roman"/>
          <w:sz w:val="24"/>
          <w:szCs w:val="24"/>
          <w:lang w:val="en-GB"/>
        </w:rPr>
        <w:t>simulation</w:t>
      </w:r>
      <w:r w:rsidRPr="61B29520">
        <w:rPr>
          <w:rFonts w:ascii="Times New Roman" w:eastAsia="Arial" w:hAnsi="Times New Roman"/>
          <w:sz w:val="24"/>
          <w:szCs w:val="24"/>
          <w:lang w:val="en-GB"/>
        </w:rPr>
        <w:t xml:space="preserve"> of the Global Flood Awareness System version 4</w:t>
      </w:r>
      <w:r w:rsidR="003E5ECA" w:rsidRPr="61B29520">
        <w:rPr>
          <w:rFonts w:ascii="Times New Roman" w:eastAsia="Arial" w:hAnsi="Times New Roman"/>
          <w:sz w:val="24"/>
          <w:szCs w:val="24"/>
          <w:lang w:val="en-GB"/>
        </w:rPr>
        <w:t xml:space="preserve"> </w:t>
      </w:r>
      <w:r w:rsidR="0BABB56A" w:rsidRPr="61B29520">
        <w:rPr>
          <w:rFonts w:ascii="Times New Roman" w:eastAsia="Arial" w:hAnsi="Times New Roman"/>
          <w:sz w:val="24"/>
          <w:szCs w:val="24"/>
          <w:lang w:val="en-GB"/>
        </w:rPr>
        <w:t>of the Copernicus Emergency Management Service</w:t>
      </w:r>
      <w:r w:rsidR="00B16FCF">
        <w:rPr>
          <w:rFonts w:ascii="Times New Roman" w:eastAsia="Arial" w:hAnsi="Times New Roman"/>
          <w:sz w:val="24"/>
          <w:szCs w:val="24"/>
          <w:lang w:val="en-GB"/>
        </w:rPr>
        <w:t xml:space="preserve"> </w:t>
      </w:r>
      <w:r w:rsidRPr="61B29520">
        <w:rPr>
          <w:rFonts w:ascii="Times New Roman" w:eastAsia="Arial" w:hAnsi="Times New Roman"/>
          <w:sz w:val="24"/>
          <w:szCs w:val="24"/>
          <w:lang w:val="en-GB"/>
        </w:rPr>
        <w:fldChar w:fldCharType="begin" w:fldLock="1"/>
      </w:r>
      <w:r w:rsidRPr="61B29520">
        <w:rPr>
          <w:rFonts w:ascii="Times New Roman" w:eastAsia="Arial" w:hAnsi="Times New Roman"/>
          <w:sz w:val="24"/>
          <w:szCs w:val="24"/>
          <w:lang w:val="en-GB"/>
        </w:rPr>
        <w:instrText>ADDIN CSL_CITATION {"citationItems":[{"id":"ITEM-1","itemData":{"URL":"https://global-flood.emergency.copernicus.eu/","accessed":{"date-parts":[["2025","2","12"]]},"author":[{"dropping-particle":"","family":"Joint Research Centre - European Commission","given":"","non-dropping-particle":"","parse-names":false,"suffix":""}],"id":"ITEM-1","issued":{"date-parts":[["2025"]]},"title":"Global Flood Awareness System","type":"webpage"},"uris":["http://www.mendeley.com/documents/?uuid=8fc9743a-099e-3b1a-9ff0-4decae2ac6ae"]}],"mendeley":{"formattedCitation":"(Joint Research Centre - European Commission, 2025)","plainTextFormattedCitation":"(Joint Research Centre - European Commission, 2025)","previouslyFormattedCitation":"(Joint Research Centre - European Commission, 2025)"},"properties":{"noteIndex":0},"schema":"https://github.com/citation-style-language/schema/raw/master/csl-citation.json"}</w:instrText>
      </w:r>
      <w:r w:rsidRPr="61B29520">
        <w:rPr>
          <w:rFonts w:ascii="Times New Roman" w:eastAsia="Arial" w:hAnsi="Times New Roman"/>
          <w:sz w:val="24"/>
          <w:szCs w:val="24"/>
          <w:lang w:val="en-GB"/>
        </w:rPr>
        <w:fldChar w:fldCharType="separate"/>
      </w:r>
      <w:r w:rsidR="00945BEF" w:rsidRPr="61B29520">
        <w:rPr>
          <w:rFonts w:ascii="Times New Roman" w:eastAsia="Arial" w:hAnsi="Times New Roman"/>
          <w:noProof/>
          <w:sz w:val="24"/>
          <w:szCs w:val="24"/>
          <w:lang w:val="en-GB"/>
        </w:rPr>
        <w:t>(Joint Research Centre - European Commission, 2025)</w:t>
      </w:r>
      <w:r w:rsidRPr="61B29520">
        <w:rPr>
          <w:rFonts w:ascii="Times New Roman" w:eastAsia="Arial" w:hAnsi="Times New Roman"/>
          <w:sz w:val="24"/>
          <w:szCs w:val="24"/>
          <w:lang w:val="en-GB"/>
        </w:rPr>
        <w:fldChar w:fldCharType="end"/>
      </w:r>
      <w:r w:rsidRPr="61B29520">
        <w:rPr>
          <w:rFonts w:ascii="Times New Roman" w:eastAsia="Arial" w:hAnsi="Times New Roman"/>
          <w:sz w:val="24"/>
          <w:szCs w:val="24"/>
          <w:lang w:val="en-GB"/>
        </w:rPr>
        <w:t xml:space="preserve">. </w:t>
      </w:r>
      <w:r w:rsidR="004F05D6" w:rsidRPr="61B29520">
        <w:rPr>
          <w:rFonts w:ascii="Times New Roman" w:eastAsia="Arial" w:hAnsi="Times New Roman"/>
          <w:sz w:val="24"/>
          <w:szCs w:val="24"/>
          <w:lang w:val="en-GB"/>
        </w:rPr>
        <w:t xml:space="preserve">GloFASv4 </w:t>
      </w:r>
      <w:r w:rsidR="00421B84" w:rsidRPr="61B29520">
        <w:rPr>
          <w:rFonts w:ascii="Times New Roman" w:eastAsia="Arial" w:hAnsi="Times New Roman"/>
          <w:sz w:val="24"/>
          <w:szCs w:val="24"/>
          <w:lang w:val="en-GB"/>
        </w:rPr>
        <w:t>employ</w:t>
      </w:r>
      <w:r w:rsidR="004F05D6" w:rsidRPr="61B29520">
        <w:rPr>
          <w:rFonts w:ascii="Times New Roman" w:eastAsia="Arial" w:hAnsi="Times New Roman"/>
          <w:sz w:val="24"/>
          <w:szCs w:val="24"/>
          <w:lang w:val="en-GB"/>
        </w:rPr>
        <w:t xml:space="preserve">s the </w:t>
      </w:r>
      <w:r w:rsidR="00421B84" w:rsidRPr="61B29520">
        <w:rPr>
          <w:rFonts w:ascii="Times New Roman" w:eastAsia="Arial" w:hAnsi="Times New Roman"/>
          <w:sz w:val="24"/>
          <w:szCs w:val="24"/>
          <w:lang w:val="en-GB"/>
        </w:rPr>
        <w:t xml:space="preserve">LISFLOOD-OS </w:t>
      </w:r>
      <w:r w:rsidR="004F05D6" w:rsidRPr="61B29520">
        <w:rPr>
          <w:rFonts w:ascii="Times New Roman" w:eastAsia="Arial" w:hAnsi="Times New Roman"/>
          <w:sz w:val="24"/>
          <w:szCs w:val="24"/>
          <w:lang w:val="en-GB"/>
        </w:rPr>
        <w:t xml:space="preserve">hydrological model </w:t>
      </w:r>
      <w:r w:rsidRPr="61B29520">
        <w:rPr>
          <w:rFonts w:ascii="Times New Roman" w:eastAsia="Arial" w:hAnsi="Times New Roman"/>
          <w:sz w:val="24"/>
          <w:szCs w:val="24"/>
          <w:lang w:val="en-GB"/>
        </w:rPr>
        <w:fldChar w:fldCharType="begin" w:fldLock="1"/>
      </w:r>
      <w:r w:rsidRPr="61B29520">
        <w:rPr>
          <w:rFonts w:ascii="Times New Roman" w:eastAsia="Arial" w:hAnsi="Times New Roman"/>
          <w:sz w:val="24"/>
          <w:szCs w:val="24"/>
          <w:lang w:val="en-GB"/>
        </w:rPr>
        <w:instrText>ADDIN CSL_CITATION {"citationItems":[{"id":"ITEM-1","itemData":{"DOI":"10.2788/24719","ISBN":"879-92-79-33190-9","ISSN":"1831-9424","author":[{"dropping-particle":"","family":"Burek","given":"Peter","non-dropping-particle":"","parse-names":false,"suffix":""},{"dropping-particle":"","family":"Knijff","given":"Johan","non-dropping-particle":"van der","parse-names":false,"suffix":""},{"dropping-particle":"","family":"Roo","given":"Ad","non-dropping-particle":"de","parse-names":false,"suffix":""}],"id":"ITEM-1","issued":{"date-parts":[["2013"]]},"publisher-place":"Luxembourg","title":"LISFLOOD. Distributed Water Balance and Flood Simulation Model","type":"report"},"uris":["http://www.mendeley.com/documents/?uuid=10c97eaf-3f49-382e-8363-f5d5dba81b5c"]}],"mendeley":{"formattedCitation":"(Burek et al., 2013)","plainTextFormattedCitation":"(Burek et al., 2013)","previouslyFormattedCitation":"(Burek et al., 2013)"},"properties":{"noteIndex":0},"schema":"https://github.com/citation-style-language/schema/raw/master/csl-citation.json"}</w:instrText>
      </w:r>
      <w:r w:rsidRPr="61B29520">
        <w:rPr>
          <w:rFonts w:ascii="Times New Roman" w:eastAsia="Arial" w:hAnsi="Times New Roman"/>
          <w:sz w:val="24"/>
          <w:szCs w:val="24"/>
          <w:lang w:val="en-GB"/>
        </w:rPr>
        <w:fldChar w:fldCharType="separate"/>
      </w:r>
      <w:r w:rsidR="00546599" w:rsidRPr="61B29520">
        <w:rPr>
          <w:rFonts w:ascii="Times New Roman" w:eastAsia="Arial" w:hAnsi="Times New Roman"/>
          <w:noProof/>
          <w:sz w:val="24"/>
          <w:szCs w:val="24"/>
          <w:lang w:val="en-GB"/>
        </w:rPr>
        <w:t>(Burek et al., 2013)</w:t>
      </w:r>
      <w:r w:rsidRPr="61B29520">
        <w:rPr>
          <w:rFonts w:ascii="Times New Roman" w:eastAsia="Arial" w:hAnsi="Times New Roman"/>
          <w:sz w:val="24"/>
          <w:szCs w:val="24"/>
          <w:lang w:val="en-GB"/>
        </w:rPr>
        <w:fldChar w:fldCharType="end"/>
      </w:r>
      <w:r w:rsidR="00421B84" w:rsidRPr="61B29520">
        <w:rPr>
          <w:rFonts w:ascii="Times New Roman" w:eastAsia="Arial" w:hAnsi="Times New Roman"/>
          <w:sz w:val="24"/>
          <w:szCs w:val="24"/>
          <w:lang w:val="en-GB"/>
        </w:rPr>
        <w:t xml:space="preserve">, incorporating </w:t>
      </w:r>
      <w:r w:rsidR="003E5ECA" w:rsidRPr="61B29520">
        <w:rPr>
          <w:rFonts w:ascii="Times New Roman" w:eastAsia="Arial" w:hAnsi="Times New Roman"/>
          <w:sz w:val="24"/>
          <w:szCs w:val="24"/>
          <w:lang w:val="en-GB"/>
        </w:rPr>
        <w:t xml:space="preserve">surface fields </w:t>
      </w:r>
      <w:r w:rsidR="00421B84" w:rsidRPr="61B29520">
        <w:rPr>
          <w:rFonts w:ascii="Times New Roman" w:eastAsia="Arial" w:hAnsi="Times New Roman"/>
          <w:sz w:val="24"/>
          <w:szCs w:val="24"/>
          <w:lang w:val="en-GB"/>
        </w:rPr>
        <w:t xml:space="preserve">representing land characteristics </w:t>
      </w:r>
      <w:r w:rsidRPr="61B29520">
        <w:rPr>
          <w:rFonts w:ascii="Times New Roman" w:eastAsia="Arial" w:hAnsi="Times New Roman"/>
          <w:sz w:val="24"/>
          <w:szCs w:val="24"/>
          <w:lang w:val="en-GB"/>
        </w:rPr>
        <w:fldChar w:fldCharType="begin" w:fldLock="1"/>
      </w:r>
      <w:r w:rsidRPr="61B29520">
        <w:rPr>
          <w:rFonts w:ascii="Times New Roman" w:eastAsia="Arial" w:hAnsi="Times New Roman"/>
          <w:sz w:val="24"/>
          <w:szCs w:val="24"/>
          <w:lang w:val="en-GB"/>
        </w:rPr>
        <w:instrText>ADDIN CSL_CITATION {"citationItems":[{"id":"ITEM-1","itemData":{"DOI":"10.5194/hess-28-2991-2024","ISSN":"1607-7938","abstract":"&lt;p&gt;Abstract. Climate change has resulted in more frequent occurrences of extreme events, such as flooding and heavy snowfall, which can have a significant impact on densely populated or industrialised areas. Numerical models are used to simulate and predict these extreme events, enabling informed decision-making and planning to minimise human casualties and to protect costly infrastructure. LISFLOOD is an integrated hydrological model underpinning the European Flood Awareness System and Global Flood Awareness System (EFAS and GloFAS, respectively), developed by the Copernicus Emergency Management Service (CEMS). The CEMS_SurfaceFields_2022 dataset is a new set of high-resolution surface fields at 1 and 3 arcmin resolution (approximately 2 and 6 km at the Equator, respectively) based on a wide variety of high-resolution and up-to-date data sources. The 1 arcmin fields cover Europe, while the surface fields at 3 arcmin cover the global land surface (excluding Antarctica). The dataset encompasses (i) catchment morphology and river networks, (ii) land use, (iii) vegetation cover type and properties, (iv) soil properties, (v) lake information, and (vi) water demand. This paper details the complete workflow used to generate the CEMS_SurfaceFields_2022 fields, including the data sources and methodology. Whilst created together with upgrades to the open source LISFLOOD code, the CEMS_SurfaceFields_2022 fields can be used independently for a wide range of applications, including as input to hydrological, Earth system, or environmental models or for carrying out general analyses across spatial scales, ranging from global and regional levels to local levels (especially useful for regions outside Europe), expected to improve the accuracy, detail and realism of applications.&lt;/p&gt;","author":[{"dropping-particle":"","family":"Choulga","given":"Margarita","non-dropping-particle":"","parse-names":false,"suffix":""},{"dropping-particle":"","family":"Moschini","given":"Francesca","non-dropping-particle":"","parse-names":false,"suffix":""},{"dropping-particle":"","family":"Mazzetti","given":"Cinzia","non-dropping-particle":"","parse-names":false,"suffix":""},{"dropping-particle":"","family":"Grimaldi","given":"Stefania","non-dropping-particle":"","parse-names":false,"suffix":""},{"dropping-particle":"","family":"Disperati","given":"Juliana","non-dropping-particle":"","parse-names":false,"suffix":""},{"dropping-particle":"","family":"Beck","given":"Hylke","non-dropping-particle":"","parse-names":false,"suffix":""},{"dropping-particle":"","family":"Salamon","given":"Peter","non-dropping-particle":"","parse-names":false,"suffix":""},{"dropping-particle":"","family":"Prudhomme","given":"Christel","non-dropping-particle":"","parse-names":false,"suffix":""}],"container-title":"Hydrology and Earth System Sciences","id":"ITEM-1","issue":"13","issued":{"date-parts":[["2024","7","9"]]},"page":"2991-3036","title":"Technical note: Surface fields for global environmental modelling","type":"article-journal","volume":"28"},"uris":["http://www.mendeley.com/documents/?uuid=fa9638cb-120a-308a-a42b-b9ded8023a10"]}],"mendeley":{"formattedCitation":"(Choulga et al., 2024)","plainTextFormattedCitation":"(Choulga et al., 2024)","previouslyFormattedCitation":"(Choulga et al., 2024)"},"properties":{"noteIndex":0},"schema":"https://github.com/citation-style-language/schema/raw/master/csl-citation.json"}</w:instrText>
      </w:r>
      <w:r w:rsidRPr="61B29520">
        <w:rPr>
          <w:rFonts w:ascii="Times New Roman" w:eastAsia="Arial" w:hAnsi="Times New Roman"/>
          <w:sz w:val="24"/>
          <w:szCs w:val="24"/>
          <w:lang w:val="en-GB"/>
        </w:rPr>
        <w:fldChar w:fldCharType="separate"/>
      </w:r>
      <w:r w:rsidR="003E5ECA" w:rsidRPr="61B29520">
        <w:rPr>
          <w:rFonts w:ascii="Times New Roman" w:eastAsia="Arial" w:hAnsi="Times New Roman"/>
          <w:noProof/>
          <w:sz w:val="24"/>
          <w:szCs w:val="24"/>
          <w:lang w:val="en-GB"/>
        </w:rPr>
        <w:t>(Choulga et al., 2024)</w:t>
      </w:r>
      <w:r w:rsidRPr="61B29520">
        <w:rPr>
          <w:rFonts w:ascii="Times New Roman" w:eastAsia="Arial" w:hAnsi="Times New Roman"/>
          <w:sz w:val="24"/>
          <w:szCs w:val="24"/>
          <w:lang w:val="en-GB"/>
        </w:rPr>
        <w:fldChar w:fldCharType="end"/>
      </w:r>
      <w:r w:rsidR="003E5ECA" w:rsidRPr="61B29520">
        <w:rPr>
          <w:rFonts w:ascii="Times New Roman" w:eastAsia="Arial" w:hAnsi="Times New Roman"/>
          <w:sz w:val="24"/>
          <w:szCs w:val="24"/>
          <w:lang w:val="en-GB"/>
        </w:rPr>
        <w:t xml:space="preserve"> and </w:t>
      </w:r>
      <w:r w:rsidR="004F05D6" w:rsidRPr="61B29520">
        <w:rPr>
          <w:rFonts w:ascii="Times New Roman" w:eastAsia="Arial" w:hAnsi="Times New Roman"/>
          <w:sz w:val="24"/>
          <w:szCs w:val="24"/>
          <w:lang w:val="en-GB"/>
        </w:rPr>
        <w:t xml:space="preserve">parameters calibrated </w:t>
      </w:r>
      <w:r w:rsidR="00421B84" w:rsidRPr="61B29520">
        <w:rPr>
          <w:rFonts w:ascii="Times New Roman" w:eastAsia="Arial" w:hAnsi="Times New Roman"/>
          <w:sz w:val="24"/>
          <w:szCs w:val="24"/>
          <w:lang w:val="en-GB"/>
        </w:rPr>
        <w:t>against discharge records from nearly 2,</w:t>
      </w:r>
      <w:r w:rsidR="004F05D6" w:rsidRPr="61B29520">
        <w:rPr>
          <w:rFonts w:ascii="Times New Roman" w:eastAsia="Arial" w:hAnsi="Times New Roman"/>
          <w:sz w:val="24"/>
          <w:szCs w:val="24"/>
          <w:lang w:val="en-GB"/>
        </w:rPr>
        <w:t xml:space="preserve">000 stations, or regionalized </w:t>
      </w:r>
      <w:r w:rsidR="00421B84" w:rsidRPr="61B29520">
        <w:rPr>
          <w:rFonts w:ascii="Times New Roman" w:eastAsia="Arial" w:hAnsi="Times New Roman"/>
          <w:sz w:val="24"/>
          <w:szCs w:val="24"/>
          <w:lang w:val="en-GB"/>
        </w:rPr>
        <w:t>where necessary</w:t>
      </w:r>
      <w:r w:rsidR="004F05D6" w:rsidRPr="61B29520">
        <w:rPr>
          <w:rFonts w:ascii="Times New Roman" w:eastAsia="Arial" w:hAnsi="Times New Roman"/>
          <w:sz w:val="24"/>
          <w:szCs w:val="24"/>
          <w:lang w:val="en-GB"/>
        </w:rPr>
        <w:t>. The historical simulation spans</w:t>
      </w:r>
      <w:r w:rsidRPr="61B29520">
        <w:rPr>
          <w:rFonts w:ascii="Times New Roman" w:eastAsia="Arial" w:hAnsi="Times New Roman"/>
          <w:sz w:val="24"/>
          <w:szCs w:val="24"/>
          <w:lang w:val="en-GB"/>
        </w:rPr>
        <w:t xml:space="preserve"> from 1979 </w:t>
      </w:r>
      <w:r w:rsidR="003C324A" w:rsidRPr="61B29520">
        <w:rPr>
          <w:rFonts w:ascii="Times New Roman" w:eastAsia="Arial" w:hAnsi="Times New Roman"/>
          <w:sz w:val="24"/>
          <w:szCs w:val="24"/>
          <w:lang w:val="en-GB"/>
        </w:rPr>
        <w:t>to</w:t>
      </w:r>
      <w:r w:rsidRPr="61B29520">
        <w:rPr>
          <w:rFonts w:ascii="Times New Roman" w:eastAsia="Arial" w:hAnsi="Times New Roman"/>
          <w:sz w:val="24"/>
          <w:szCs w:val="24"/>
          <w:lang w:val="en-GB"/>
        </w:rPr>
        <w:t xml:space="preserve"> </w:t>
      </w:r>
      <w:r w:rsidR="00421B84" w:rsidRPr="61B29520">
        <w:rPr>
          <w:rFonts w:ascii="Times New Roman" w:eastAsia="Arial" w:hAnsi="Times New Roman"/>
          <w:sz w:val="24"/>
          <w:szCs w:val="24"/>
          <w:lang w:val="en-GB"/>
        </w:rPr>
        <w:t xml:space="preserve">the </w:t>
      </w:r>
      <w:r w:rsidRPr="61B29520">
        <w:rPr>
          <w:rFonts w:ascii="Times New Roman" w:eastAsia="Arial" w:hAnsi="Times New Roman"/>
          <w:sz w:val="24"/>
          <w:szCs w:val="24"/>
          <w:lang w:val="en-GB"/>
        </w:rPr>
        <w:t xml:space="preserve">present, </w:t>
      </w:r>
      <w:r w:rsidR="00421B84" w:rsidRPr="61B29520">
        <w:rPr>
          <w:rFonts w:ascii="Times New Roman" w:eastAsia="Arial" w:hAnsi="Times New Roman"/>
          <w:sz w:val="24"/>
          <w:szCs w:val="24"/>
          <w:lang w:val="en-GB"/>
        </w:rPr>
        <w:t>utilizing</w:t>
      </w:r>
      <w:r w:rsidRPr="61B29520">
        <w:rPr>
          <w:rFonts w:ascii="Times New Roman" w:eastAsia="Arial" w:hAnsi="Times New Roman"/>
          <w:sz w:val="24"/>
          <w:szCs w:val="24"/>
          <w:lang w:val="en-GB"/>
        </w:rPr>
        <w:t xml:space="preserve"> a 3-arcminute grid and </w:t>
      </w:r>
      <w:r w:rsidR="00421B84" w:rsidRPr="61B29520">
        <w:rPr>
          <w:rFonts w:ascii="Times New Roman" w:eastAsia="Arial" w:hAnsi="Times New Roman"/>
          <w:sz w:val="24"/>
          <w:szCs w:val="24"/>
          <w:lang w:val="en-GB"/>
        </w:rPr>
        <w:t>a</w:t>
      </w:r>
      <w:r w:rsidRPr="61B29520">
        <w:rPr>
          <w:rFonts w:ascii="Times New Roman" w:eastAsia="Arial" w:hAnsi="Times New Roman"/>
          <w:sz w:val="24"/>
          <w:szCs w:val="24"/>
          <w:lang w:val="en-GB"/>
        </w:rPr>
        <w:t xml:space="preserve"> daily temporal resolution</w:t>
      </w:r>
      <w:r w:rsidR="00421B84" w:rsidRPr="61B29520">
        <w:rPr>
          <w:rFonts w:ascii="Times New Roman" w:eastAsia="Arial" w:hAnsi="Times New Roman"/>
          <w:sz w:val="24"/>
          <w:szCs w:val="24"/>
          <w:lang w:val="en-GB"/>
        </w:rPr>
        <w:t xml:space="preserve">. </w:t>
      </w:r>
      <w:r w:rsidRPr="61B29520">
        <w:rPr>
          <w:rFonts w:ascii="Times New Roman" w:eastAsia="Arial" w:hAnsi="Times New Roman"/>
          <w:sz w:val="24"/>
          <w:szCs w:val="24"/>
          <w:lang w:val="en-GB"/>
        </w:rPr>
        <w:t xml:space="preserve">ERA5 reanalysis </w:t>
      </w:r>
      <w:r w:rsidRPr="61B29520">
        <w:rPr>
          <w:rFonts w:ascii="Times New Roman" w:eastAsia="Arial" w:hAnsi="Times New Roman"/>
          <w:sz w:val="24"/>
          <w:szCs w:val="24"/>
          <w:lang w:val="en-GB"/>
        </w:rPr>
        <w:fldChar w:fldCharType="begin" w:fldLock="1"/>
      </w:r>
      <w:r w:rsidRPr="61B29520">
        <w:rPr>
          <w:rFonts w:ascii="Times New Roman" w:eastAsia="Arial" w:hAnsi="Times New Roman"/>
          <w:sz w:val="24"/>
          <w:szCs w:val="24"/>
          <w:lang w:val="en-GB"/>
        </w:rPr>
        <w:instrText>ADDIN CSL_CITATION {"citationItems":[{"id":"ITEM-1","itemData":{"DOI":"10.1002/qj.3803","ISSN":"1477870X","abstract":"Within the Copernicus Climate Change Service (C3S), ECMWF is producing the ERA5 reanalysis which, once completed, will embody a detailed record of the global atmosphere, land surface and ocean waves from 1950 onwards. This new reanalysis replaces the ERA-Interim reanalysis (spanning 1979 onwards) which was started in 2006. ERA5 is based on the Integrated Forecasting System (IFS) Cy41r2 which was operational in 2016. ERA5 thus benefits from a decade of developments in model physics, core dynamics and data assimilation. In addition to a significantly enhanced horizontal resolution of 31 km, compared to 80 km for ERA-Interim, ERA5 has hourly output throughout, and an uncertainty estimate from an ensemble (3-hourly at half the horizontal resolution). This paper describes the general set-up of ERA5, as well as a basic evaluation of characteristics and performance, with a focus on the dataset from 1979 onwards which is currently publicly available. Re-forecasts from ERA5 analyses show a gain of up to one day in skill with respect to ERA-Interim. Comparison with radiosonde and PILOT data prior to assimilation shows an improved fit for temperature, wind and humidity in the troposphere, but not the stratosphere. A comparison with independent buoy data shows a much improved fit for ocean wave height. The uncertainty estimate reflects the evolution of the observing systems used in ERA5. The enhanced temporal and spatial resolution allows for a detailed evolution of weather systems. For precipitation, global-mean correlation with monthly-mean GPCP data is increased from 67% to 77%. In general, low-frequency variability is found to be well represented and from 10 hPa downwards general patterns of anomalies in temperature match those from the ERA-Interim, MERRA-2 and JRA-55 reanalyses.","author":[{"dropping-particle":"","family":"Hersbach","given":"Hans","non-dropping-particle":"","parse-names":false,"suffix":""},{"dropping-particle":"","family":"Bell","given":"Bill","non-dropping-particle":"","parse-names":false,"suffix":""},{"dropping-particle":"","family":"Berrisford","given":"Paul","non-dropping-particle":"","parse-names":false,"suffix":""},{"dropping-particle":"","family":"Hirahara","given":"Shoji","non-dropping-particle":"","parse-names":false,"suffix":""},{"dropping-particle":"","family":"Horányi","given":"András","non-dropping-particle":"","parse-names":false,"suffix":""},{"dropping-particle":"","family":"Muñoz-Sabater","given":"Joaquín","non-dropping-particle":"","parse-names":false,"suffix":""},{"dropping-particle":"","family":"Nicolas","given":"Julien","non-dropping-particle":"","parse-names":false,"suffix":""},{"dropping-particle":"","family":"Peubey","given":"Carole","non-dropping-particle":"","parse-names":false,"suffix":""},{"dropping-particle":"","family":"Radu","given":"Raluca","non-dropping-particle":"","parse-names":false,"suffix":""},{"dropping-particle":"","family":"Schepers","given":"Dinand","non-dropping-particle":"","parse-names":false,"suffix":""},{"dropping-particle":"","family":"Simmons","given":"Adrian","non-dropping-particle":"","parse-names":false,"suffix":""},{"dropping-particle":"","family":"Soci","given":"Cornel","non-dropping-particle":"","parse-names":false,"suffix":""},{"dropping-particle":"","family":"Abdalla","given":"Saleh","non-dropping-particle":"","parse-names":false,"suffix":""},{"dropping-particle":"","family":"Abellan","given":"Xavier","non-dropping-particle":"","parse-names":false,"suffix":""},{"dropping-particle":"","family":"Balsamo","given":"Gianpaolo","non-dropping-particle":"","parse-names":false,"suffix":""},{"dropping-particle":"","family":"Bechtold","given":"Peter","non-dropping-particle":"","parse-names":false,"suffix":""},{"dropping-particle":"","family":"Biavati","given":"Gionata","non-dropping-particle":"","parse-names":false,"suffix":""},{"dropping-particle":"","family":"Bidlot","given":"Jean","non-dropping-particle":"","parse-names":false,"suffix":""},{"dropping-particle":"","family":"Bonavita","given":"Massimo","non-dropping-particle":"","parse-names":false,"suffix":""},{"dropping-particle":"","family":"Chiara","given":"Giovanna","non-dropping-particle":"De","parse-names":false,"suffix":""},{"dropping-particle":"","family":"Dahlgren","given":"Per","non-dropping-particle":"","parse-names":false,"suffix":""},{"dropping-particle":"","family":"Dee","given":"Dick","non-dropping-particle":"","parse-names":false,"suffix":""},{"dropping-particle":"","family":"Diamantakis","given":"Michail","non-dropping-particle":"","parse-names":false,"suffix":""},{"dropping-particle":"","family":"Dragani","given":"Rossana","non-dropping-particle":"","parse-names":false,"suffix":""},{"dropping-particle":"","family":"Flemming","given":"Johannes","non-dropping-particle":"","parse-names":false,"suffix":""},{"dropping-particle":"","family":"Forbes","given":"Richard","non-dropping-particle":"","parse-names":false,"suffix":""},{"dropping-particle":"","family":"Fuentes","given":"Manuel","non-dropping-particle":"","parse-names":false,"suffix":""},{"dropping-particle":"","family":"Geer","given":"Alan","non-dropping-particle":"","parse-names":false,"suffix":""},{"dropping-particle":"","family":"Haimberger","given":"Leo","non-dropping-particle":"","parse-names":false,"suffix":""},{"dropping-particle":"","family":"Healy","given":"Sean","non-dropping-particle":"","parse-names":false,"suffix":""},{"dropping-particle":"","family":"Hogan","given":"Robin J.","non-dropping-particle":"","parse-names":false,"suffix":""},{"dropping-particle":"","family":"Hólm","given":"Elías","non-dropping-particle":"","parse-names":false,"suffix":""},{"dropping-particle":"","family":"Janisková","given":"Marta","non-dropping-particle":"","parse-names":false,"suffix":""},{"dropping-particle":"","family":"Keeley","given":"Sarah","non-dropping-particle":"","parse-names":false,"suffix":""},{"dropping-particle":"","family":"Laloyaux","given":"Patrick","non-dropping-particle":"","parse-names":false,"suffix":""},{"dropping-particle":"","family":"Lopez","given":"Philippe","non-dropping-particle":"","parse-names":false,"suffix":""},{"dropping-particle":"","family":"Lupu","given":"Cristina","non-dropping-particle":"","parse-names":false,"suffix":""},{"dropping-particle":"","family":"Radnoti","given":"Gabor","non-dropping-particle":"","parse-names":false,"suffix":""},{"dropping-particle":"","family":"Rosnay","given":"Patricia","non-dropping-particle":"de","parse-names":false,"suffix":""},{"dropping-particle":"","family":"Rozum","given":"Iryna","non-dropping-particle":"","parse-names":false,"suffix":""},{"dropping-particle":"","family":"Vamborg","given":"Freja","non-dropping-particle":"","parse-names":false,"suffix":""},{"dropping-particle":"","family":"Villaume","given":"Sebastien","non-dropping-particle":"","parse-names":false,"suffix":""},{"dropping-particle":"","family":"Thépaut","given":"Jean Noël","non-dropping-particle":"","parse-names":false,"suffix":""}],"container-title":"Quarterly Journal of the Royal Meteorological Society","id":"ITEM-1","issue":"730","issued":{"date-parts":[["2020","7","1"]]},"page":"1999-2049","publisher":"John Wiley and Sons Ltd","title":"The ERA5 global reanalysis","type":"article-journal","volume":"146"},"uris":["http://www.mendeley.com/documents/?uuid=4d933e04-1892-3323-b696-f0cfad0d6e89"]}],"mendeley":{"formattedCitation":"(Hersbach et al., 2020)","plainTextFormattedCitation":"(Hersbach et al., 2020)","previouslyFormattedCitation":"(Hersbach et al., 2020)"},"properties":{"noteIndex":0},"schema":"https://github.com/citation-style-language/schema/raw/master/csl-citation.json"}</w:instrText>
      </w:r>
      <w:r w:rsidRPr="61B29520">
        <w:rPr>
          <w:rFonts w:ascii="Times New Roman" w:eastAsia="Arial" w:hAnsi="Times New Roman"/>
          <w:sz w:val="24"/>
          <w:szCs w:val="24"/>
          <w:lang w:val="en-GB"/>
        </w:rPr>
        <w:fldChar w:fldCharType="separate"/>
      </w:r>
      <w:r w:rsidR="00546599" w:rsidRPr="61B29520">
        <w:rPr>
          <w:rFonts w:ascii="Times New Roman" w:eastAsia="Arial" w:hAnsi="Times New Roman"/>
          <w:noProof/>
          <w:sz w:val="24"/>
          <w:szCs w:val="24"/>
          <w:lang w:val="en-GB"/>
        </w:rPr>
        <w:t>(Hersbach et al., 2020)</w:t>
      </w:r>
      <w:r w:rsidRPr="61B29520">
        <w:rPr>
          <w:rFonts w:ascii="Times New Roman" w:eastAsia="Arial" w:hAnsi="Times New Roman"/>
          <w:sz w:val="24"/>
          <w:szCs w:val="24"/>
          <w:lang w:val="en-GB"/>
        </w:rPr>
        <w:fldChar w:fldCharType="end"/>
      </w:r>
      <w:r w:rsidR="00421B84" w:rsidRPr="61B29520">
        <w:rPr>
          <w:rFonts w:ascii="Times New Roman" w:eastAsia="Arial" w:hAnsi="Times New Roman"/>
          <w:sz w:val="24"/>
          <w:szCs w:val="24"/>
          <w:lang w:val="en-GB"/>
        </w:rPr>
        <w:t xml:space="preserve"> serve as the meteorological forcing input</w:t>
      </w:r>
      <w:r w:rsidR="00546599" w:rsidRPr="61B29520">
        <w:rPr>
          <w:rFonts w:ascii="Times New Roman" w:eastAsia="Arial" w:hAnsi="Times New Roman"/>
          <w:sz w:val="24"/>
          <w:szCs w:val="24"/>
          <w:lang w:val="en-GB"/>
        </w:rPr>
        <w:t>.</w:t>
      </w:r>
    </w:p>
    <w:p w14:paraId="73216FEC" w14:textId="77777777" w:rsidR="003324A2" w:rsidRPr="00CA18A2" w:rsidRDefault="003324A2" w:rsidP="595A0589">
      <w:pPr>
        <w:spacing w:line="480" w:lineRule="auto"/>
        <w:rPr>
          <w:rFonts w:ascii="Times New Roman" w:hAnsi="Times New Roman"/>
          <w:b/>
          <w:bCs/>
          <w:sz w:val="24"/>
          <w:szCs w:val="24"/>
          <w:lang w:val="en-GB"/>
        </w:rPr>
      </w:pPr>
      <w:r w:rsidRPr="595A0589">
        <w:rPr>
          <w:rFonts w:ascii="Times New Roman" w:hAnsi="Times New Roman"/>
          <w:b/>
          <w:bCs/>
          <w:sz w:val="24"/>
          <w:szCs w:val="24"/>
          <w:lang w:val="en-GB"/>
        </w:rPr>
        <w:t>References</w:t>
      </w:r>
    </w:p>
    <w:p w14:paraId="3F456CD3" w14:textId="6AFA8800" w:rsidR="005E0AC6" w:rsidRPr="005E0AC6" w:rsidRDefault="003E5ECA" w:rsidP="005E0AC6">
      <w:pPr>
        <w:widowControl w:val="0"/>
        <w:autoSpaceDE w:val="0"/>
        <w:autoSpaceDN w:val="0"/>
        <w:adjustRightInd w:val="0"/>
        <w:spacing w:line="480" w:lineRule="auto"/>
        <w:ind w:left="480" w:hanging="480"/>
        <w:rPr>
          <w:rFonts w:ascii="Times New Roman" w:hAnsi="Times New Roman"/>
          <w:noProof/>
          <w:sz w:val="24"/>
          <w:szCs w:val="24"/>
        </w:rPr>
      </w:pPr>
      <w:r>
        <w:rPr>
          <w:rFonts w:ascii="Times New Roman" w:hAnsi="Times New Roman"/>
          <w:sz w:val="24"/>
          <w:szCs w:val="24"/>
          <w:lang w:val="en-GB"/>
        </w:rPr>
        <w:lastRenderedPageBreak/>
        <w:fldChar w:fldCharType="begin" w:fldLock="1"/>
      </w:r>
      <w:r w:rsidRPr="00551B7A">
        <w:rPr>
          <w:rFonts w:ascii="Times New Roman" w:hAnsi="Times New Roman"/>
          <w:sz w:val="24"/>
          <w:szCs w:val="24"/>
          <w:lang w:val="es-ES"/>
        </w:rPr>
        <w:instrText xml:space="preserve">ADDIN Mendeley Bibliography CSL_BIBLIOGRAPHY </w:instrText>
      </w:r>
      <w:r>
        <w:rPr>
          <w:rFonts w:ascii="Times New Roman" w:hAnsi="Times New Roman"/>
          <w:sz w:val="24"/>
          <w:szCs w:val="24"/>
          <w:lang w:val="en-GB"/>
        </w:rPr>
        <w:fldChar w:fldCharType="separate"/>
      </w:r>
      <w:r w:rsidR="005E0AC6" w:rsidRPr="005E0AC6">
        <w:rPr>
          <w:rFonts w:ascii="Times New Roman" w:hAnsi="Times New Roman"/>
          <w:noProof/>
          <w:sz w:val="24"/>
          <w:szCs w:val="24"/>
        </w:rPr>
        <w:t xml:space="preserve">Burek, P., van der Knijff, J., &amp; de Roo, A. (2013). </w:t>
      </w:r>
      <w:r w:rsidR="005E0AC6" w:rsidRPr="005E0AC6">
        <w:rPr>
          <w:rFonts w:ascii="Times New Roman" w:hAnsi="Times New Roman"/>
          <w:i/>
          <w:iCs/>
          <w:noProof/>
          <w:sz w:val="24"/>
          <w:szCs w:val="24"/>
        </w:rPr>
        <w:t>LISFLOOD. Distributed Water Balance and Flood Simulation Model</w:t>
      </w:r>
      <w:r w:rsidR="005E0AC6" w:rsidRPr="005E0AC6">
        <w:rPr>
          <w:rFonts w:ascii="Times New Roman" w:hAnsi="Times New Roman"/>
          <w:noProof/>
          <w:sz w:val="24"/>
          <w:szCs w:val="24"/>
        </w:rPr>
        <w:t>. https://doi.org/10.2788/24719</w:t>
      </w:r>
    </w:p>
    <w:p w14:paraId="656CA4C1" w14:textId="77777777" w:rsidR="005E0AC6" w:rsidRPr="005E0AC6" w:rsidRDefault="005E0AC6" w:rsidP="005E0AC6">
      <w:pPr>
        <w:widowControl w:val="0"/>
        <w:autoSpaceDE w:val="0"/>
        <w:autoSpaceDN w:val="0"/>
        <w:adjustRightInd w:val="0"/>
        <w:spacing w:line="480" w:lineRule="auto"/>
        <w:ind w:left="480" w:hanging="480"/>
        <w:rPr>
          <w:rFonts w:ascii="Times New Roman" w:hAnsi="Times New Roman"/>
          <w:noProof/>
          <w:sz w:val="24"/>
          <w:szCs w:val="24"/>
        </w:rPr>
      </w:pPr>
      <w:r w:rsidRPr="005E0AC6">
        <w:rPr>
          <w:rFonts w:ascii="Times New Roman" w:hAnsi="Times New Roman"/>
          <w:noProof/>
          <w:sz w:val="24"/>
          <w:szCs w:val="24"/>
        </w:rPr>
        <w:t xml:space="preserve">Choulga, M., Moschini, F., Mazzetti, C., Grimaldi, S., Disperati, J., Beck, H., Salamon, P., &amp; Prudhomme, C. (2024). Technical note: Surface fields for global environmental modelling. </w:t>
      </w:r>
      <w:r w:rsidRPr="005E0AC6">
        <w:rPr>
          <w:rFonts w:ascii="Times New Roman" w:hAnsi="Times New Roman"/>
          <w:i/>
          <w:iCs/>
          <w:noProof/>
          <w:sz w:val="24"/>
          <w:szCs w:val="24"/>
        </w:rPr>
        <w:t>Hydrology and Earth System Sciences</w:t>
      </w:r>
      <w:r w:rsidRPr="005E0AC6">
        <w:rPr>
          <w:rFonts w:ascii="Times New Roman" w:hAnsi="Times New Roman"/>
          <w:noProof/>
          <w:sz w:val="24"/>
          <w:szCs w:val="24"/>
        </w:rPr>
        <w:t xml:space="preserve">, </w:t>
      </w:r>
      <w:r w:rsidRPr="005E0AC6">
        <w:rPr>
          <w:rFonts w:ascii="Times New Roman" w:hAnsi="Times New Roman"/>
          <w:i/>
          <w:iCs/>
          <w:noProof/>
          <w:sz w:val="24"/>
          <w:szCs w:val="24"/>
        </w:rPr>
        <w:t>28</w:t>
      </w:r>
      <w:r w:rsidRPr="005E0AC6">
        <w:rPr>
          <w:rFonts w:ascii="Times New Roman" w:hAnsi="Times New Roman"/>
          <w:noProof/>
          <w:sz w:val="24"/>
          <w:szCs w:val="24"/>
        </w:rPr>
        <w:t>(13), 2991–3036. https://doi.org/10.5194/hess-28-2991-2024</w:t>
      </w:r>
    </w:p>
    <w:p w14:paraId="13F9729B" w14:textId="77777777" w:rsidR="005E0AC6" w:rsidRPr="005E0AC6" w:rsidRDefault="005E0AC6" w:rsidP="005E0AC6">
      <w:pPr>
        <w:widowControl w:val="0"/>
        <w:autoSpaceDE w:val="0"/>
        <w:autoSpaceDN w:val="0"/>
        <w:adjustRightInd w:val="0"/>
        <w:spacing w:line="480" w:lineRule="auto"/>
        <w:ind w:left="480" w:hanging="480"/>
        <w:rPr>
          <w:rFonts w:ascii="Times New Roman" w:hAnsi="Times New Roman"/>
          <w:noProof/>
          <w:sz w:val="24"/>
          <w:szCs w:val="24"/>
        </w:rPr>
      </w:pPr>
      <w:r w:rsidRPr="005E0AC6">
        <w:rPr>
          <w:rFonts w:ascii="Times New Roman" w:hAnsi="Times New Roman"/>
          <w:noProof/>
          <w:sz w:val="24"/>
          <w:szCs w:val="24"/>
        </w:rPr>
        <w:t xml:space="preserve">Dijk, V., Beck, H. E., Boergens, E., De Jeu, R. A. M., Dorigo, W. A., Edirisinghe, C., Forootan, E., Guo, E., Güntner, A., Hou, J., Mehrnegar, N., Mo, S., Preimesberger, W., Rahman, J., &amp; Larraondo, P. R. (2025). </w:t>
      </w:r>
      <w:r w:rsidRPr="005E0AC6">
        <w:rPr>
          <w:rFonts w:ascii="Times New Roman" w:hAnsi="Times New Roman"/>
          <w:i/>
          <w:iCs/>
          <w:noProof/>
          <w:sz w:val="24"/>
          <w:szCs w:val="24"/>
        </w:rPr>
        <w:t>Global Water Monitor 2024, Summary Report</w:t>
      </w:r>
      <w:r w:rsidRPr="005E0AC6">
        <w:rPr>
          <w:rFonts w:ascii="Times New Roman" w:hAnsi="Times New Roman"/>
          <w:noProof/>
          <w:sz w:val="24"/>
          <w:szCs w:val="24"/>
        </w:rPr>
        <w:t>. www.globalwater.online</w:t>
      </w:r>
    </w:p>
    <w:p w14:paraId="63AE6CC3" w14:textId="77777777" w:rsidR="005E0AC6" w:rsidRPr="005E0AC6" w:rsidRDefault="005E0AC6" w:rsidP="005E0AC6">
      <w:pPr>
        <w:widowControl w:val="0"/>
        <w:autoSpaceDE w:val="0"/>
        <w:autoSpaceDN w:val="0"/>
        <w:adjustRightInd w:val="0"/>
        <w:spacing w:line="480" w:lineRule="auto"/>
        <w:ind w:left="480" w:hanging="480"/>
        <w:rPr>
          <w:rFonts w:ascii="Times New Roman" w:hAnsi="Times New Roman"/>
          <w:noProof/>
          <w:sz w:val="24"/>
          <w:szCs w:val="24"/>
        </w:rPr>
      </w:pPr>
      <w:r w:rsidRPr="005E0AC6">
        <w:rPr>
          <w:rFonts w:ascii="Times New Roman" w:hAnsi="Times New Roman"/>
          <w:noProof/>
          <w:sz w:val="24"/>
          <w:szCs w:val="24"/>
        </w:rPr>
        <w:t xml:space="preserve">Hersbach, H., Bell, B., Berrisford, P., Hirahara, S., Horányi, A., Muñoz-Sabater, J., Nicolas, J., Peubey, C., Radu, R., Schepers, D., Simmons, A., Soci, C., Abdalla, S., Abellan, X., Balsamo, G., Bechtold, P., Biavati, G., Bidlot, J., Bonavita, M., … Thépaut, J. N. (2020). The ERA5 global reanalysis. </w:t>
      </w:r>
      <w:r w:rsidRPr="005E0AC6">
        <w:rPr>
          <w:rFonts w:ascii="Times New Roman" w:hAnsi="Times New Roman"/>
          <w:i/>
          <w:iCs/>
          <w:noProof/>
          <w:sz w:val="24"/>
          <w:szCs w:val="24"/>
        </w:rPr>
        <w:t>Quarterly Journal of the Royal Meteorological Society</w:t>
      </w:r>
      <w:r w:rsidRPr="005E0AC6">
        <w:rPr>
          <w:rFonts w:ascii="Times New Roman" w:hAnsi="Times New Roman"/>
          <w:noProof/>
          <w:sz w:val="24"/>
          <w:szCs w:val="24"/>
        </w:rPr>
        <w:t xml:space="preserve">, </w:t>
      </w:r>
      <w:r w:rsidRPr="005E0AC6">
        <w:rPr>
          <w:rFonts w:ascii="Times New Roman" w:hAnsi="Times New Roman"/>
          <w:i/>
          <w:iCs/>
          <w:noProof/>
          <w:sz w:val="24"/>
          <w:szCs w:val="24"/>
        </w:rPr>
        <w:t>146</w:t>
      </w:r>
      <w:r w:rsidRPr="005E0AC6">
        <w:rPr>
          <w:rFonts w:ascii="Times New Roman" w:hAnsi="Times New Roman"/>
          <w:noProof/>
          <w:sz w:val="24"/>
          <w:szCs w:val="24"/>
        </w:rPr>
        <w:t>(730), 1999–2049. https://doi.org/10.1002/qj.3803</w:t>
      </w:r>
    </w:p>
    <w:p w14:paraId="358F677B" w14:textId="77777777" w:rsidR="005E0AC6" w:rsidRPr="005E0AC6" w:rsidRDefault="005E0AC6" w:rsidP="005E0AC6">
      <w:pPr>
        <w:widowControl w:val="0"/>
        <w:autoSpaceDE w:val="0"/>
        <w:autoSpaceDN w:val="0"/>
        <w:adjustRightInd w:val="0"/>
        <w:spacing w:line="480" w:lineRule="auto"/>
        <w:ind w:left="480" w:hanging="480"/>
        <w:rPr>
          <w:rFonts w:ascii="Times New Roman" w:hAnsi="Times New Roman"/>
          <w:noProof/>
          <w:sz w:val="24"/>
          <w:szCs w:val="24"/>
        </w:rPr>
      </w:pPr>
      <w:r w:rsidRPr="005E0AC6">
        <w:rPr>
          <w:rFonts w:ascii="Times New Roman" w:hAnsi="Times New Roman"/>
          <w:noProof/>
          <w:sz w:val="24"/>
          <w:szCs w:val="24"/>
        </w:rPr>
        <w:t xml:space="preserve">Joint Research Centre - European Commission. (2025). </w:t>
      </w:r>
      <w:r w:rsidRPr="005E0AC6">
        <w:rPr>
          <w:rFonts w:ascii="Times New Roman" w:hAnsi="Times New Roman"/>
          <w:i/>
          <w:iCs/>
          <w:noProof/>
          <w:sz w:val="24"/>
          <w:szCs w:val="24"/>
        </w:rPr>
        <w:t>Global Flood Awareness System</w:t>
      </w:r>
      <w:r w:rsidRPr="005E0AC6">
        <w:rPr>
          <w:rFonts w:ascii="Times New Roman" w:hAnsi="Times New Roman"/>
          <w:noProof/>
          <w:sz w:val="24"/>
          <w:szCs w:val="24"/>
        </w:rPr>
        <w:t>. https://global-flood.emergency.copernicus.eu/</w:t>
      </w:r>
    </w:p>
    <w:p w14:paraId="5981B013" w14:textId="77777777" w:rsidR="005E0AC6" w:rsidRPr="005E0AC6" w:rsidRDefault="005E0AC6" w:rsidP="005E0AC6">
      <w:pPr>
        <w:widowControl w:val="0"/>
        <w:autoSpaceDE w:val="0"/>
        <w:autoSpaceDN w:val="0"/>
        <w:adjustRightInd w:val="0"/>
        <w:spacing w:line="480" w:lineRule="auto"/>
        <w:ind w:left="480" w:hanging="480"/>
        <w:rPr>
          <w:rFonts w:ascii="Times New Roman" w:hAnsi="Times New Roman"/>
          <w:noProof/>
          <w:sz w:val="24"/>
          <w:szCs w:val="24"/>
        </w:rPr>
      </w:pPr>
      <w:r w:rsidRPr="005E0AC6">
        <w:rPr>
          <w:rFonts w:ascii="Times New Roman" w:hAnsi="Times New Roman"/>
          <w:noProof/>
          <w:sz w:val="24"/>
          <w:szCs w:val="24"/>
        </w:rPr>
        <w:t xml:space="preserve">Lavers, D. A., Simmons, A., Vamborg, F., &amp; Rodwell, M. J. (2022). An evaluation of ERA5 precipitation for climate monitoring. </w:t>
      </w:r>
      <w:r w:rsidRPr="005E0AC6">
        <w:rPr>
          <w:rFonts w:ascii="Times New Roman" w:hAnsi="Times New Roman"/>
          <w:i/>
          <w:iCs/>
          <w:noProof/>
          <w:sz w:val="24"/>
          <w:szCs w:val="24"/>
        </w:rPr>
        <w:t>Quarterly Journal of the Royal Meteorological Society</w:t>
      </w:r>
      <w:r w:rsidRPr="005E0AC6">
        <w:rPr>
          <w:rFonts w:ascii="Times New Roman" w:hAnsi="Times New Roman"/>
          <w:noProof/>
          <w:sz w:val="24"/>
          <w:szCs w:val="24"/>
        </w:rPr>
        <w:t xml:space="preserve">, </w:t>
      </w:r>
      <w:r w:rsidRPr="005E0AC6">
        <w:rPr>
          <w:rFonts w:ascii="Times New Roman" w:hAnsi="Times New Roman"/>
          <w:i/>
          <w:iCs/>
          <w:noProof/>
          <w:sz w:val="24"/>
          <w:szCs w:val="24"/>
        </w:rPr>
        <w:t>148</w:t>
      </w:r>
      <w:r w:rsidRPr="005E0AC6">
        <w:rPr>
          <w:rFonts w:ascii="Times New Roman" w:hAnsi="Times New Roman"/>
          <w:noProof/>
          <w:sz w:val="24"/>
          <w:szCs w:val="24"/>
        </w:rPr>
        <w:t>(748), 3152–3165. https://doi.org/10.1002/qj.4351</w:t>
      </w:r>
    </w:p>
    <w:p w14:paraId="5F4CB34D" w14:textId="77777777" w:rsidR="005E0AC6" w:rsidRPr="005E0AC6" w:rsidRDefault="005E0AC6" w:rsidP="005E0AC6">
      <w:pPr>
        <w:widowControl w:val="0"/>
        <w:autoSpaceDE w:val="0"/>
        <w:autoSpaceDN w:val="0"/>
        <w:adjustRightInd w:val="0"/>
        <w:spacing w:line="480" w:lineRule="auto"/>
        <w:ind w:left="480" w:hanging="480"/>
        <w:rPr>
          <w:rFonts w:ascii="Times New Roman" w:hAnsi="Times New Roman"/>
          <w:noProof/>
          <w:sz w:val="24"/>
          <w:szCs w:val="24"/>
        </w:rPr>
      </w:pPr>
      <w:r w:rsidRPr="005E0AC6">
        <w:rPr>
          <w:rFonts w:ascii="Times New Roman" w:hAnsi="Times New Roman"/>
          <w:noProof/>
          <w:sz w:val="24"/>
          <w:szCs w:val="24"/>
        </w:rPr>
        <w:t xml:space="preserve">Liu, R., Zhang, X., Wang, W., Wang, Y., Liu, H., Ma, M., &amp; Tang, G. (2024). Global-scale ERA5 product precipitation and temperature evaluation. </w:t>
      </w:r>
      <w:r w:rsidRPr="005E0AC6">
        <w:rPr>
          <w:rFonts w:ascii="Times New Roman" w:hAnsi="Times New Roman"/>
          <w:i/>
          <w:iCs/>
          <w:noProof/>
          <w:sz w:val="24"/>
          <w:szCs w:val="24"/>
        </w:rPr>
        <w:t>Ecological Indicators</w:t>
      </w:r>
      <w:r w:rsidRPr="005E0AC6">
        <w:rPr>
          <w:rFonts w:ascii="Times New Roman" w:hAnsi="Times New Roman"/>
          <w:noProof/>
          <w:sz w:val="24"/>
          <w:szCs w:val="24"/>
        </w:rPr>
        <w:t xml:space="preserve">, </w:t>
      </w:r>
      <w:r w:rsidRPr="005E0AC6">
        <w:rPr>
          <w:rFonts w:ascii="Times New Roman" w:hAnsi="Times New Roman"/>
          <w:i/>
          <w:iCs/>
          <w:noProof/>
          <w:sz w:val="24"/>
          <w:szCs w:val="24"/>
        </w:rPr>
        <w:t>166</w:t>
      </w:r>
      <w:r w:rsidRPr="005E0AC6">
        <w:rPr>
          <w:rFonts w:ascii="Times New Roman" w:hAnsi="Times New Roman"/>
          <w:noProof/>
          <w:sz w:val="24"/>
          <w:szCs w:val="24"/>
        </w:rPr>
        <w:t>. https://doi.org/10.1016/j.ecolind.2024.112481</w:t>
      </w:r>
    </w:p>
    <w:p w14:paraId="1C87681E" w14:textId="77777777" w:rsidR="005E0AC6" w:rsidRPr="005E0AC6" w:rsidRDefault="005E0AC6" w:rsidP="005E0AC6">
      <w:pPr>
        <w:widowControl w:val="0"/>
        <w:autoSpaceDE w:val="0"/>
        <w:autoSpaceDN w:val="0"/>
        <w:adjustRightInd w:val="0"/>
        <w:spacing w:line="480" w:lineRule="auto"/>
        <w:ind w:left="480" w:hanging="480"/>
        <w:rPr>
          <w:rFonts w:ascii="Times New Roman" w:hAnsi="Times New Roman"/>
          <w:noProof/>
          <w:sz w:val="24"/>
          <w:szCs w:val="24"/>
        </w:rPr>
      </w:pPr>
      <w:r w:rsidRPr="005E0AC6">
        <w:rPr>
          <w:rFonts w:ascii="Times New Roman" w:hAnsi="Times New Roman"/>
          <w:noProof/>
          <w:sz w:val="24"/>
          <w:szCs w:val="24"/>
        </w:rPr>
        <w:lastRenderedPageBreak/>
        <w:t xml:space="preserve">Toreti, A., Bavera, D., Acosta Navarro, J., Acquafresca, L., Azas, K., Barbosa, P., De Jager, A., Ficchì, A., Fioravanti, G., Grimaldi, G., Hrast Essenfelder, A., Magni, D., Mccormick, N., Salamon, P., Santos Nunes, S., &amp; Volpi, D. (2024). </w:t>
      </w:r>
      <w:r w:rsidRPr="005E0AC6">
        <w:rPr>
          <w:rFonts w:ascii="Times New Roman" w:hAnsi="Times New Roman"/>
          <w:i/>
          <w:iCs/>
          <w:noProof/>
          <w:sz w:val="24"/>
          <w:szCs w:val="24"/>
        </w:rPr>
        <w:t>Drought in Europe July 2024</w:t>
      </w:r>
      <w:r w:rsidRPr="005E0AC6">
        <w:rPr>
          <w:rFonts w:ascii="Times New Roman" w:hAnsi="Times New Roman"/>
          <w:noProof/>
          <w:sz w:val="24"/>
          <w:szCs w:val="24"/>
        </w:rPr>
        <w:t>. https://doi.org/10.2760/420832</w:t>
      </w:r>
    </w:p>
    <w:p w14:paraId="11B203E5" w14:textId="77777777" w:rsidR="005E0AC6" w:rsidRPr="005E0AC6" w:rsidRDefault="005E0AC6" w:rsidP="005E0AC6">
      <w:pPr>
        <w:widowControl w:val="0"/>
        <w:autoSpaceDE w:val="0"/>
        <w:autoSpaceDN w:val="0"/>
        <w:adjustRightInd w:val="0"/>
        <w:spacing w:line="480" w:lineRule="auto"/>
        <w:ind w:left="480" w:hanging="480"/>
        <w:rPr>
          <w:rFonts w:ascii="Times New Roman" w:hAnsi="Times New Roman"/>
          <w:noProof/>
          <w:sz w:val="24"/>
        </w:rPr>
      </w:pPr>
      <w:r w:rsidRPr="005E0AC6">
        <w:rPr>
          <w:rFonts w:ascii="Times New Roman" w:hAnsi="Times New Roman"/>
          <w:noProof/>
          <w:sz w:val="24"/>
          <w:szCs w:val="24"/>
        </w:rPr>
        <w:t xml:space="preserve">Toreti, A., Bavera, D., Acosta Navarro, J., Acquafresca, L., Barbosa, P., De Jager, A., Ficchì, A., Fioravanti, G., Grimaldi, S., Hrast Essenfelder, A., Magni, D., Mccormick, N., Salamon, P., &amp; Toreti, A. (2024). </w:t>
      </w:r>
      <w:r w:rsidRPr="005E0AC6">
        <w:rPr>
          <w:rFonts w:ascii="Times New Roman" w:hAnsi="Times New Roman"/>
          <w:i/>
          <w:iCs/>
          <w:noProof/>
          <w:sz w:val="24"/>
          <w:szCs w:val="24"/>
        </w:rPr>
        <w:t>Drought in the Amazon and the La Plata basins</w:t>
      </w:r>
      <w:r w:rsidRPr="005E0AC6">
        <w:rPr>
          <w:rFonts w:ascii="Times New Roman" w:hAnsi="Times New Roman"/>
          <w:noProof/>
          <w:sz w:val="24"/>
          <w:szCs w:val="24"/>
        </w:rPr>
        <w:t>. https://doi.org/10.2760/9524487</w:t>
      </w:r>
    </w:p>
    <w:p w14:paraId="0C487598" w14:textId="10F8E8C6" w:rsidR="00961713" w:rsidRDefault="003E5ECA" w:rsidP="595A0589">
      <w:pPr>
        <w:spacing w:line="480" w:lineRule="auto"/>
        <w:rPr>
          <w:rFonts w:ascii="Times New Roman" w:hAnsi="Times New Roman"/>
          <w:b/>
          <w:bCs/>
          <w:sz w:val="24"/>
          <w:szCs w:val="24"/>
          <w:lang w:val="en-GB"/>
        </w:rPr>
      </w:pPr>
      <w:r>
        <w:rPr>
          <w:rFonts w:ascii="Times New Roman" w:hAnsi="Times New Roman"/>
          <w:sz w:val="24"/>
          <w:szCs w:val="24"/>
          <w:lang w:val="en-GB"/>
        </w:rPr>
        <w:fldChar w:fldCharType="end"/>
      </w:r>
      <w:r w:rsidR="00961713" w:rsidRPr="595A0589">
        <w:rPr>
          <w:rFonts w:ascii="Times New Roman" w:hAnsi="Times New Roman"/>
          <w:b/>
          <w:bCs/>
          <w:sz w:val="24"/>
          <w:szCs w:val="24"/>
          <w:lang w:val="en-GB"/>
        </w:rPr>
        <w:t>Figures</w:t>
      </w:r>
    </w:p>
    <w:p w14:paraId="3942C17C" w14:textId="228E615B" w:rsidR="001D5214" w:rsidRPr="00CA18A2" w:rsidRDefault="00551B7A" w:rsidP="00B16FCF">
      <w:pPr>
        <w:pStyle w:val="NoSpacing"/>
        <w:rPr>
          <w:lang w:val="en-GB"/>
        </w:rPr>
      </w:pPr>
      <w:r>
        <w:rPr>
          <w:noProof/>
          <w:lang w:val="en-GB"/>
        </w:rPr>
        <w:drawing>
          <wp:inline distT="0" distB="0" distL="0" distR="0" wp14:anchorId="4B39B015" wp14:editId="1FB827E0">
            <wp:extent cx="5731510" cy="28403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terannual_variability.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40355"/>
                    </a:xfrm>
                    <a:prstGeom prst="rect">
                      <a:avLst/>
                    </a:prstGeom>
                  </pic:spPr>
                </pic:pic>
              </a:graphicData>
            </a:graphic>
          </wp:inline>
        </w:drawing>
      </w:r>
    </w:p>
    <w:p w14:paraId="52D3FF37" w14:textId="2DA4AB2F" w:rsidR="00FB2441" w:rsidRDefault="00FB2441" w:rsidP="60FB6146">
      <w:pPr>
        <w:spacing w:line="480" w:lineRule="auto"/>
        <w:rPr>
          <w:rFonts w:ascii="Times New Roman" w:hAnsi="Times New Roman"/>
          <w:i/>
          <w:iCs/>
          <w:sz w:val="24"/>
          <w:szCs w:val="24"/>
          <w:lang w:val="en-GB"/>
        </w:rPr>
      </w:pPr>
      <w:r w:rsidRPr="60FB6146">
        <w:rPr>
          <w:rFonts w:ascii="Times New Roman" w:hAnsi="Times New Roman"/>
          <w:i/>
          <w:iCs/>
          <w:sz w:val="24"/>
          <w:szCs w:val="24"/>
          <w:lang w:val="en-GB"/>
        </w:rPr>
        <w:t>Fig 2.a.1.1</w:t>
      </w:r>
      <w:r w:rsidR="00C5745D" w:rsidRPr="60FB6146">
        <w:rPr>
          <w:rFonts w:ascii="Times New Roman" w:hAnsi="Times New Roman"/>
          <w:i/>
          <w:iCs/>
          <w:sz w:val="24"/>
          <w:szCs w:val="24"/>
          <w:lang w:val="en-GB"/>
        </w:rPr>
        <w:t xml:space="preserve">: </w:t>
      </w:r>
      <w:r w:rsidR="007212A0" w:rsidRPr="60FB6146">
        <w:rPr>
          <w:rFonts w:ascii="Times New Roman" w:hAnsi="Times New Roman"/>
          <w:i/>
          <w:iCs/>
          <w:sz w:val="24"/>
          <w:szCs w:val="24"/>
          <w:lang w:val="en-GB"/>
        </w:rPr>
        <w:t xml:space="preserve">Interannual variability of global runoff (central panel) and its connections with the Pacific Decadal Oscillation (PDO; upper panel) and the Oceanic Niño Index (ONI; lower panel). In the central panel, the </w:t>
      </w:r>
      <w:r w:rsidR="00920F9F" w:rsidRPr="60FB6146">
        <w:rPr>
          <w:rFonts w:ascii="Times New Roman" w:hAnsi="Times New Roman"/>
          <w:i/>
          <w:iCs/>
          <w:sz w:val="24"/>
          <w:szCs w:val="24"/>
          <w:lang w:val="en-GB"/>
        </w:rPr>
        <w:t>grey</w:t>
      </w:r>
      <w:r w:rsidR="007212A0" w:rsidRPr="60FB6146">
        <w:rPr>
          <w:rFonts w:ascii="Times New Roman" w:hAnsi="Times New Roman"/>
          <w:i/>
          <w:iCs/>
          <w:sz w:val="24"/>
          <w:szCs w:val="24"/>
          <w:lang w:val="en-GB"/>
        </w:rPr>
        <w:t xml:space="preserve"> line represents the monthly time series, the </w:t>
      </w:r>
      <w:r w:rsidR="00920F9F" w:rsidRPr="60FB6146">
        <w:rPr>
          <w:rFonts w:ascii="Times New Roman" w:hAnsi="Times New Roman"/>
          <w:i/>
          <w:iCs/>
          <w:sz w:val="24"/>
          <w:szCs w:val="24"/>
          <w:lang w:val="en-GB"/>
        </w:rPr>
        <w:t>black line</w:t>
      </w:r>
      <w:r w:rsidR="007212A0" w:rsidRPr="60FB6146">
        <w:rPr>
          <w:rFonts w:ascii="Times New Roman" w:hAnsi="Times New Roman"/>
          <w:i/>
          <w:iCs/>
          <w:sz w:val="24"/>
          <w:szCs w:val="24"/>
          <w:lang w:val="en-GB"/>
        </w:rPr>
        <w:t xml:space="preserve"> the 12-month moving average, and the shading </w:t>
      </w:r>
      <w:r w:rsidR="00D910BC" w:rsidRPr="60FB6146">
        <w:rPr>
          <w:rFonts w:ascii="Times New Roman" w:hAnsi="Times New Roman"/>
          <w:i/>
          <w:iCs/>
          <w:sz w:val="24"/>
          <w:szCs w:val="24"/>
          <w:lang w:val="en-GB"/>
        </w:rPr>
        <w:t xml:space="preserve">indicates </w:t>
      </w:r>
      <w:r w:rsidR="007212A0" w:rsidRPr="60FB6146">
        <w:rPr>
          <w:rFonts w:ascii="Times New Roman" w:hAnsi="Times New Roman"/>
          <w:i/>
          <w:iCs/>
          <w:sz w:val="24"/>
          <w:szCs w:val="24"/>
          <w:lang w:val="en-GB"/>
        </w:rPr>
        <w:t>the phase of the two indices (PDO</w:t>
      </w:r>
      <w:r w:rsidR="00D910BC" w:rsidRPr="60FB6146">
        <w:rPr>
          <w:rFonts w:ascii="Times New Roman" w:hAnsi="Times New Roman"/>
          <w:i/>
          <w:iCs/>
          <w:sz w:val="24"/>
          <w:szCs w:val="24"/>
          <w:lang w:val="en-GB"/>
        </w:rPr>
        <w:t xml:space="preserve"> in</w:t>
      </w:r>
      <w:r w:rsidR="007212A0" w:rsidRPr="60FB6146">
        <w:rPr>
          <w:rFonts w:ascii="Times New Roman" w:hAnsi="Times New Roman"/>
          <w:i/>
          <w:iCs/>
          <w:sz w:val="24"/>
          <w:szCs w:val="24"/>
          <w:lang w:val="en-GB"/>
        </w:rPr>
        <w:t xml:space="preserve"> the upper part and ONI </w:t>
      </w:r>
      <w:r w:rsidR="00D910BC" w:rsidRPr="60FB6146">
        <w:rPr>
          <w:rFonts w:ascii="Times New Roman" w:hAnsi="Times New Roman"/>
          <w:i/>
          <w:iCs/>
          <w:sz w:val="24"/>
          <w:szCs w:val="24"/>
          <w:lang w:val="en-GB"/>
        </w:rPr>
        <w:t>in</w:t>
      </w:r>
      <w:r w:rsidR="007212A0" w:rsidRPr="60FB6146">
        <w:rPr>
          <w:rFonts w:ascii="Times New Roman" w:hAnsi="Times New Roman"/>
          <w:i/>
          <w:iCs/>
          <w:sz w:val="24"/>
          <w:szCs w:val="24"/>
          <w:lang w:val="en-GB"/>
        </w:rPr>
        <w:t xml:space="preserve"> the lower).</w:t>
      </w:r>
    </w:p>
    <w:p w14:paraId="6E7670D0" w14:textId="1676A0CC" w:rsidR="007212A0" w:rsidRPr="007212A0" w:rsidRDefault="00551B7A" w:rsidP="00B16FCF">
      <w:pPr>
        <w:pStyle w:val="NoSpacing"/>
        <w:rPr>
          <w:lang w:val="en-GB"/>
        </w:rPr>
      </w:pPr>
      <w:r>
        <w:rPr>
          <w:noProof/>
          <w:lang w:val="en-GB"/>
        </w:rPr>
        <w:lastRenderedPageBreak/>
        <w:drawing>
          <wp:inline distT="0" distB="0" distL="0" distR="0" wp14:anchorId="60038235" wp14:editId="52BB029D">
            <wp:extent cx="5731510" cy="577596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nterannual_variability.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5775960"/>
                    </a:xfrm>
                    <a:prstGeom prst="rect">
                      <a:avLst/>
                    </a:prstGeom>
                  </pic:spPr>
                </pic:pic>
              </a:graphicData>
            </a:graphic>
          </wp:inline>
        </w:drawing>
      </w:r>
    </w:p>
    <w:p w14:paraId="29F2C742" w14:textId="43469916" w:rsidR="00FB2441" w:rsidRDefault="00FB2441" w:rsidP="00DA626B">
      <w:pPr>
        <w:spacing w:line="480" w:lineRule="auto"/>
        <w:rPr>
          <w:rFonts w:ascii="Times New Roman" w:hAnsi="Times New Roman"/>
          <w:i/>
          <w:sz w:val="24"/>
          <w:szCs w:val="24"/>
          <w:lang w:val="en-GB"/>
        </w:rPr>
      </w:pPr>
      <w:r w:rsidRPr="1C5FF14D">
        <w:rPr>
          <w:rFonts w:ascii="Times New Roman" w:hAnsi="Times New Roman"/>
          <w:i/>
          <w:iCs/>
          <w:sz w:val="24"/>
          <w:szCs w:val="24"/>
          <w:lang w:val="en-GB"/>
        </w:rPr>
        <w:t>Fig 2.a.1.2</w:t>
      </w:r>
      <w:r w:rsidR="00C5745D" w:rsidRPr="1C5FF14D">
        <w:rPr>
          <w:rFonts w:ascii="Times New Roman" w:hAnsi="Times New Roman"/>
          <w:i/>
          <w:iCs/>
          <w:sz w:val="24"/>
          <w:szCs w:val="24"/>
          <w:lang w:val="en-GB"/>
        </w:rPr>
        <w:t xml:space="preserve">: </w:t>
      </w:r>
      <w:r w:rsidR="007212A0" w:rsidRPr="1C5FF14D">
        <w:rPr>
          <w:rFonts w:ascii="Times New Roman" w:hAnsi="Times New Roman"/>
          <w:i/>
          <w:iCs/>
          <w:sz w:val="24"/>
          <w:szCs w:val="24"/>
          <w:lang w:val="en-GB"/>
        </w:rPr>
        <w:t xml:space="preserve">Interannual variability and seasonality of freshwater discharge to global ocean basins. In the left panels, the black line represents the annual discharge anomaly, and the background heatmap </w:t>
      </w:r>
      <w:r w:rsidR="00295709" w:rsidRPr="1C5FF14D">
        <w:rPr>
          <w:rFonts w:ascii="Times New Roman" w:hAnsi="Times New Roman"/>
          <w:i/>
          <w:iCs/>
          <w:sz w:val="24"/>
          <w:szCs w:val="24"/>
          <w:lang w:val="en-GB"/>
        </w:rPr>
        <w:t xml:space="preserve">shows </w:t>
      </w:r>
      <w:r w:rsidR="007212A0" w:rsidRPr="1C5FF14D">
        <w:rPr>
          <w:rFonts w:ascii="Times New Roman" w:hAnsi="Times New Roman"/>
          <w:i/>
          <w:iCs/>
          <w:sz w:val="24"/>
          <w:szCs w:val="24"/>
          <w:lang w:val="en-GB"/>
        </w:rPr>
        <w:t xml:space="preserve">the monthly anomalies with respect to the reference seasonality. The right panels </w:t>
      </w:r>
      <w:r w:rsidR="004A6F70" w:rsidRPr="1C5FF14D">
        <w:rPr>
          <w:rFonts w:ascii="Times New Roman" w:hAnsi="Times New Roman"/>
          <w:i/>
          <w:iCs/>
          <w:sz w:val="24"/>
          <w:szCs w:val="24"/>
          <w:lang w:val="en-GB"/>
        </w:rPr>
        <w:t>exhibit</w:t>
      </w:r>
      <w:r w:rsidR="007212A0" w:rsidRPr="1C5FF14D">
        <w:rPr>
          <w:rFonts w:ascii="Times New Roman" w:hAnsi="Times New Roman"/>
          <w:i/>
          <w:iCs/>
          <w:sz w:val="24"/>
          <w:szCs w:val="24"/>
          <w:lang w:val="en-GB"/>
        </w:rPr>
        <w:t xml:space="preserve"> the seasonality</w:t>
      </w:r>
      <w:r w:rsidR="004A6F70" w:rsidRPr="1C5FF14D">
        <w:rPr>
          <w:rFonts w:ascii="Times New Roman" w:hAnsi="Times New Roman"/>
          <w:i/>
          <w:iCs/>
          <w:sz w:val="24"/>
          <w:szCs w:val="24"/>
          <w:lang w:val="en-GB"/>
        </w:rPr>
        <w:t xml:space="preserve">, where </w:t>
      </w:r>
      <w:r w:rsidR="007212A0" w:rsidRPr="1C5FF14D">
        <w:rPr>
          <w:rFonts w:ascii="Times New Roman" w:hAnsi="Times New Roman"/>
          <w:i/>
          <w:iCs/>
          <w:sz w:val="24"/>
          <w:szCs w:val="24"/>
          <w:lang w:val="en-GB"/>
        </w:rPr>
        <w:t xml:space="preserve">the black line </w:t>
      </w:r>
      <w:r w:rsidR="004A6F70" w:rsidRPr="1C5FF14D">
        <w:rPr>
          <w:rFonts w:ascii="Times New Roman" w:hAnsi="Times New Roman"/>
          <w:i/>
          <w:iCs/>
          <w:sz w:val="24"/>
          <w:szCs w:val="24"/>
          <w:lang w:val="en-GB"/>
        </w:rPr>
        <w:t>represents</w:t>
      </w:r>
      <w:r w:rsidR="007212A0" w:rsidRPr="1C5FF14D">
        <w:rPr>
          <w:rFonts w:ascii="Times New Roman" w:hAnsi="Times New Roman"/>
          <w:i/>
          <w:iCs/>
          <w:sz w:val="24"/>
          <w:szCs w:val="24"/>
          <w:lang w:val="en-GB"/>
        </w:rPr>
        <w:t xml:space="preserve"> the climatolog</w:t>
      </w:r>
      <w:r w:rsidR="006F4927">
        <w:rPr>
          <w:rFonts w:ascii="Times New Roman" w:hAnsi="Times New Roman"/>
          <w:i/>
          <w:iCs/>
          <w:sz w:val="24"/>
          <w:szCs w:val="24"/>
          <w:lang w:val="en-GB"/>
        </w:rPr>
        <w:t>ical mean</w:t>
      </w:r>
      <w:r w:rsidR="007212A0" w:rsidRPr="1C5FF14D">
        <w:rPr>
          <w:rFonts w:ascii="Times New Roman" w:hAnsi="Times New Roman"/>
          <w:i/>
          <w:iCs/>
          <w:sz w:val="24"/>
          <w:szCs w:val="24"/>
          <w:lang w:val="en-GB"/>
        </w:rPr>
        <w:t xml:space="preserve">, the </w:t>
      </w:r>
      <w:r w:rsidR="00920F9F" w:rsidRPr="1C5FF14D">
        <w:rPr>
          <w:rFonts w:ascii="Times New Roman" w:hAnsi="Times New Roman"/>
          <w:i/>
          <w:iCs/>
          <w:sz w:val="24"/>
          <w:szCs w:val="24"/>
          <w:lang w:val="en-GB"/>
        </w:rPr>
        <w:t>grey</w:t>
      </w:r>
      <w:r w:rsidR="007212A0" w:rsidRPr="1C5FF14D">
        <w:rPr>
          <w:rFonts w:ascii="Times New Roman" w:hAnsi="Times New Roman"/>
          <w:i/>
          <w:iCs/>
          <w:sz w:val="24"/>
          <w:szCs w:val="24"/>
          <w:lang w:val="en-GB"/>
        </w:rPr>
        <w:t xml:space="preserve"> shad</w:t>
      </w:r>
      <w:r w:rsidR="004A6F70" w:rsidRPr="1C5FF14D">
        <w:rPr>
          <w:rFonts w:ascii="Times New Roman" w:hAnsi="Times New Roman"/>
          <w:i/>
          <w:iCs/>
          <w:sz w:val="24"/>
          <w:szCs w:val="24"/>
          <w:lang w:val="en-GB"/>
        </w:rPr>
        <w:t>ing indicates</w:t>
      </w:r>
      <w:r w:rsidR="007212A0" w:rsidRPr="1C5FF14D">
        <w:rPr>
          <w:rFonts w:ascii="Times New Roman" w:hAnsi="Times New Roman"/>
          <w:i/>
          <w:iCs/>
          <w:sz w:val="24"/>
          <w:szCs w:val="24"/>
          <w:lang w:val="en-GB"/>
        </w:rPr>
        <w:t xml:space="preserve"> </w:t>
      </w:r>
      <w:r w:rsidR="00AF7475" w:rsidRPr="1C5FF14D">
        <w:rPr>
          <w:rFonts w:ascii="Times New Roman" w:hAnsi="Times New Roman"/>
          <w:i/>
          <w:iCs/>
          <w:sz w:val="24"/>
          <w:szCs w:val="24"/>
          <w:lang w:val="en-GB"/>
        </w:rPr>
        <w:t>the interquartile range in the climatolo</w:t>
      </w:r>
      <w:r w:rsidR="003E40B2" w:rsidRPr="1C5FF14D">
        <w:rPr>
          <w:rFonts w:ascii="Times New Roman" w:hAnsi="Times New Roman"/>
          <w:i/>
          <w:iCs/>
          <w:sz w:val="24"/>
          <w:szCs w:val="24"/>
          <w:lang w:val="en-GB"/>
        </w:rPr>
        <w:t>g</w:t>
      </w:r>
      <w:r w:rsidR="00AF7475" w:rsidRPr="1C5FF14D">
        <w:rPr>
          <w:rFonts w:ascii="Times New Roman" w:hAnsi="Times New Roman"/>
          <w:i/>
          <w:iCs/>
          <w:sz w:val="24"/>
          <w:szCs w:val="24"/>
          <w:lang w:val="en-GB"/>
        </w:rPr>
        <w:t>y</w:t>
      </w:r>
      <w:r w:rsidR="007212A0" w:rsidRPr="1C5FF14D">
        <w:rPr>
          <w:rFonts w:ascii="Times New Roman" w:hAnsi="Times New Roman"/>
          <w:i/>
          <w:iCs/>
          <w:sz w:val="24"/>
          <w:szCs w:val="24"/>
          <w:lang w:val="en-GB"/>
        </w:rPr>
        <w:t xml:space="preserve">, and the blue line </w:t>
      </w:r>
      <w:r w:rsidR="004A6F70" w:rsidRPr="1C5FF14D">
        <w:rPr>
          <w:rFonts w:ascii="Times New Roman" w:hAnsi="Times New Roman"/>
          <w:i/>
          <w:iCs/>
          <w:sz w:val="24"/>
          <w:szCs w:val="24"/>
          <w:lang w:val="en-GB"/>
        </w:rPr>
        <w:t xml:space="preserve">shows </w:t>
      </w:r>
      <w:r w:rsidR="007212A0" w:rsidRPr="1C5FF14D">
        <w:rPr>
          <w:rFonts w:ascii="Times New Roman" w:hAnsi="Times New Roman"/>
          <w:i/>
          <w:iCs/>
          <w:sz w:val="24"/>
          <w:szCs w:val="24"/>
          <w:lang w:val="en-GB"/>
        </w:rPr>
        <w:t>the seasonal variation in 2024.</w:t>
      </w:r>
    </w:p>
    <w:p w14:paraId="3EF35B48" w14:textId="188755A7" w:rsidR="00D17D75" w:rsidRPr="001130AB" w:rsidRDefault="545FF91E" w:rsidP="00B16FCF">
      <w:pPr>
        <w:pStyle w:val="NoSpacing"/>
      </w:pPr>
      <w:r>
        <w:rPr>
          <w:noProof/>
          <w:lang w:val="en-GB" w:eastAsia="en-GB"/>
        </w:rPr>
        <w:lastRenderedPageBreak/>
        <w:drawing>
          <wp:inline distT="0" distB="0" distL="0" distR="0" wp14:anchorId="01C40B52" wp14:editId="134E2BF2">
            <wp:extent cx="5724524" cy="3648075"/>
            <wp:effectExtent l="0" t="0" r="0" b="0"/>
            <wp:docPr id="1761282017" name="Picture 176128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4524" cy="3648075"/>
                    </a:xfrm>
                    <a:prstGeom prst="rect">
                      <a:avLst/>
                    </a:prstGeom>
                  </pic:spPr>
                </pic:pic>
              </a:graphicData>
            </a:graphic>
          </wp:inline>
        </w:drawing>
      </w:r>
    </w:p>
    <w:p w14:paraId="2C9AF5A4" w14:textId="679817E4" w:rsidR="006D0F99" w:rsidRDefault="006D0F99" w:rsidP="595A0589">
      <w:pPr>
        <w:spacing w:line="480" w:lineRule="auto"/>
        <w:rPr>
          <w:rFonts w:ascii="Times New Roman" w:hAnsi="Times New Roman"/>
          <w:i/>
          <w:iCs/>
          <w:sz w:val="24"/>
          <w:szCs w:val="24"/>
          <w:lang w:val="en-GB"/>
        </w:rPr>
      </w:pPr>
      <w:r w:rsidRPr="595A0589">
        <w:rPr>
          <w:rFonts w:ascii="Times New Roman" w:hAnsi="Times New Roman"/>
          <w:i/>
          <w:iCs/>
          <w:sz w:val="24"/>
          <w:szCs w:val="24"/>
          <w:lang w:val="en-GB"/>
        </w:rPr>
        <w:t>Plate 2.1</w:t>
      </w:r>
      <w:r w:rsidR="00FE0B77" w:rsidRPr="595A0589">
        <w:rPr>
          <w:rFonts w:ascii="Times New Roman" w:hAnsi="Times New Roman"/>
          <w:i/>
          <w:iCs/>
          <w:sz w:val="24"/>
          <w:szCs w:val="24"/>
          <w:lang w:val="en-GB"/>
        </w:rPr>
        <w:t>a</w:t>
      </w:r>
      <w:r w:rsidR="00C5745D" w:rsidRPr="595A0589">
        <w:rPr>
          <w:rFonts w:ascii="Times New Roman" w:hAnsi="Times New Roman"/>
          <w:i/>
          <w:iCs/>
          <w:sz w:val="24"/>
          <w:szCs w:val="24"/>
          <w:lang w:val="en-GB"/>
        </w:rPr>
        <w:t xml:space="preserve">: </w:t>
      </w:r>
      <w:r w:rsidR="004D4188" w:rsidRPr="595A0589">
        <w:rPr>
          <w:rFonts w:ascii="Times New Roman" w:hAnsi="Times New Roman"/>
          <w:i/>
          <w:iCs/>
          <w:sz w:val="24"/>
          <w:szCs w:val="24"/>
          <w:lang w:val="en-GB"/>
        </w:rPr>
        <w:t>GloFASv4 (Global Flood Awareness System) distribution of runoff anomalies (mm·yr</w:t>
      </w:r>
      <w:r w:rsidR="004D4188" w:rsidRPr="595A0589">
        <w:rPr>
          <w:rFonts w:ascii="Times New Roman" w:hAnsi="Times New Roman"/>
          <w:i/>
          <w:iCs/>
          <w:sz w:val="24"/>
          <w:szCs w:val="24"/>
          <w:vertAlign w:val="superscript"/>
          <w:lang w:val="en-GB"/>
        </w:rPr>
        <w:t>-1</w:t>
      </w:r>
      <w:r w:rsidR="004D4188" w:rsidRPr="595A0589">
        <w:rPr>
          <w:rFonts w:ascii="Times New Roman" w:hAnsi="Times New Roman"/>
          <w:i/>
          <w:iCs/>
          <w:sz w:val="24"/>
          <w:szCs w:val="24"/>
          <w:lang w:val="en-GB"/>
        </w:rPr>
        <w:t>)</w:t>
      </w:r>
      <w:r w:rsidR="00861A9B" w:rsidRPr="595A0589">
        <w:rPr>
          <w:rFonts w:ascii="Times New Roman" w:hAnsi="Times New Roman"/>
          <w:i/>
          <w:iCs/>
          <w:sz w:val="24"/>
          <w:szCs w:val="24"/>
          <w:lang w:val="en-GB"/>
        </w:rPr>
        <w:t>.</w:t>
      </w:r>
    </w:p>
    <w:p w14:paraId="075F6223" w14:textId="7DD6A9FE" w:rsidR="003549E3" w:rsidRDefault="5AEFDC07" w:rsidP="00B16FCF">
      <w:pPr>
        <w:pStyle w:val="NoSpacing"/>
      </w:pPr>
      <w:r>
        <w:rPr>
          <w:noProof/>
          <w:lang w:val="en-GB" w:eastAsia="en-GB"/>
        </w:rPr>
        <w:drawing>
          <wp:inline distT="0" distB="0" distL="0" distR="0" wp14:anchorId="5401F20A" wp14:editId="3F7C30A3">
            <wp:extent cx="5724524" cy="3648075"/>
            <wp:effectExtent l="0" t="0" r="0" b="0"/>
            <wp:docPr id="260279063" name="Picture 260279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4524" cy="3648075"/>
                    </a:xfrm>
                    <a:prstGeom prst="rect">
                      <a:avLst/>
                    </a:prstGeom>
                  </pic:spPr>
                </pic:pic>
              </a:graphicData>
            </a:graphic>
          </wp:inline>
        </w:drawing>
      </w:r>
    </w:p>
    <w:p w14:paraId="335643A1" w14:textId="62A82183" w:rsidR="00FB2441" w:rsidRPr="004C0FA2" w:rsidRDefault="003549E3" w:rsidP="004C0FA2">
      <w:pPr>
        <w:spacing w:line="480" w:lineRule="auto"/>
        <w:rPr>
          <w:rFonts w:ascii="Times New Roman" w:hAnsi="Times New Roman"/>
          <w:i/>
          <w:sz w:val="24"/>
          <w:szCs w:val="24"/>
          <w:lang w:val="en-GB"/>
        </w:rPr>
      </w:pPr>
      <w:r w:rsidRPr="001130AB">
        <w:rPr>
          <w:rFonts w:ascii="Times New Roman" w:hAnsi="Times New Roman"/>
          <w:i/>
          <w:sz w:val="24"/>
          <w:szCs w:val="24"/>
          <w:lang w:val="en-GB"/>
        </w:rPr>
        <w:t>Plate 2.1</w:t>
      </w:r>
      <w:r>
        <w:rPr>
          <w:rFonts w:ascii="Times New Roman" w:hAnsi="Times New Roman"/>
          <w:i/>
          <w:sz w:val="24"/>
          <w:szCs w:val="24"/>
          <w:lang w:val="en-GB"/>
        </w:rPr>
        <w:t>b: GloFASv4 distribution of discharge anomalies (m3·s</w:t>
      </w:r>
      <w:r w:rsidRPr="004D4188">
        <w:rPr>
          <w:rFonts w:ascii="Times New Roman" w:hAnsi="Times New Roman"/>
          <w:i/>
          <w:sz w:val="24"/>
          <w:szCs w:val="24"/>
          <w:vertAlign w:val="superscript"/>
          <w:lang w:val="en-GB"/>
        </w:rPr>
        <w:t>-1</w:t>
      </w:r>
      <w:r>
        <w:rPr>
          <w:rFonts w:ascii="Times New Roman" w:hAnsi="Times New Roman"/>
          <w:i/>
          <w:sz w:val="24"/>
          <w:szCs w:val="24"/>
          <w:lang w:val="en-GB"/>
        </w:rPr>
        <w:t>)</w:t>
      </w:r>
      <w:r w:rsidR="00861A9B">
        <w:rPr>
          <w:rFonts w:ascii="Times New Roman" w:hAnsi="Times New Roman"/>
          <w:i/>
          <w:sz w:val="24"/>
          <w:szCs w:val="24"/>
          <w:lang w:val="en-GB"/>
        </w:rPr>
        <w:t>.</w:t>
      </w:r>
    </w:p>
    <w:p w14:paraId="539E078C" w14:textId="780B24FB" w:rsidR="00F41AF8" w:rsidRDefault="00961713" w:rsidP="595A0589">
      <w:pPr>
        <w:spacing w:after="120" w:line="480" w:lineRule="auto"/>
        <w:rPr>
          <w:rFonts w:ascii="Times New Roman" w:eastAsia="Arial" w:hAnsi="Times New Roman"/>
          <w:b/>
          <w:bCs/>
          <w:sz w:val="24"/>
          <w:szCs w:val="24"/>
          <w:lang w:val="en-GB"/>
        </w:rPr>
      </w:pPr>
      <w:r w:rsidRPr="595A0589">
        <w:rPr>
          <w:rFonts w:ascii="Times New Roman" w:eastAsia="Arial" w:hAnsi="Times New Roman"/>
          <w:b/>
          <w:bCs/>
          <w:sz w:val="24"/>
          <w:szCs w:val="24"/>
          <w:lang w:val="en-GB"/>
        </w:rPr>
        <w:t>Datasets</w:t>
      </w:r>
      <w:r w:rsidR="008A681A" w:rsidRPr="595A0589">
        <w:rPr>
          <w:rFonts w:ascii="Times New Roman" w:eastAsia="Arial" w:hAnsi="Times New Roman"/>
          <w:b/>
          <w:bCs/>
          <w:sz w:val="24"/>
          <w:szCs w:val="24"/>
          <w:lang w:val="en-GB"/>
        </w:rPr>
        <w:t xml:space="preserve"> used and their URLs</w:t>
      </w:r>
    </w:p>
    <w:p w14:paraId="5E969CDB" w14:textId="35756DD4" w:rsidR="00F41AF8" w:rsidRDefault="00F41AF8" w:rsidP="00DA626B">
      <w:pPr>
        <w:spacing w:after="120" w:line="480" w:lineRule="auto"/>
        <w:rPr>
          <w:rFonts w:ascii="Times New Roman" w:eastAsia="Arial" w:hAnsi="Times New Roman"/>
          <w:sz w:val="24"/>
          <w:szCs w:val="24"/>
          <w:lang w:val="en-GB"/>
        </w:rPr>
      </w:pPr>
      <w:r w:rsidRPr="00F41AF8">
        <w:rPr>
          <w:rFonts w:ascii="Times New Roman" w:eastAsia="Arial" w:hAnsi="Times New Roman"/>
          <w:sz w:val="24"/>
          <w:szCs w:val="24"/>
          <w:lang w:val="en-GB"/>
        </w:rPr>
        <w:lastRenderedPageBreak/>
        <w:t xml:space="preserve">GloFASv4 historical </w:t>
      </w:r>
      <w:r w:rsidR="004C0FA2">
        <w:rPr>
          <w:rFonts w:ascii="Times New Roman" w:eastAsia="Arial" w:hAnsi="Times New Roman"/>
          <w:sz w:val="24"/>
          <w:szCs w:val="24"/>
          <w:lang w:val="en-GB"/>
        </w:rPr>
        <w:t>run</w:t>
      </w:r>
      <w:r w:rsidRPr="00F41AF8">
        <w:rPr>
          <w:rFonts w:ascii="Times New Roman" w:eastAsia="Arial" w:hAnsi="Times New Roman"/>
          <w:sz w:val="24"/>
          <w:szCs w:val="24"/>
          <w:lang w:val="en-GB"/>
        </w:rPr>
        <w:t>:</w:t>
      </w:r>
      <w:r w:rsidR="004C0FA2">
        <w:rPr>
          <w:rFonts w:ascii="Times New Roman" w:eastAsia="Arial" w:hAnsi="Times New Roman"/>
          <w:sz w:val="24"/>
          <w:szCs w:val="24"/>
          <w:lang w:val="en-GB"/>
        </w:rPr>
        <w:t xml:space="preserve"> </w:t>
      </w:r>
      <w:r w:rsidR="004C0FA2" w:rsidRPr="00B16FCF">
        <w:rPr>
          <w:rFonts w:ascii="Times New Roman" w:eastAsia="Arial" w:hAnsi="Times New Roman"/>
          <w:sz w:val="24"/>
          <w:szCs w:val="24"/>
          <w:lang w:val="en-GB"/>
        </w:rPr>
        <w:t>https://ewds.climate.copernicus.eu/datasets/cems-glofas-historical?tab=overview</w:t>
      </w:r>
    </w:p>
    <w:p w14:paraId="24DAD274" w14:textId="5F454B0D" w:rsidR="00F41AF8" w:rsidRDefault="00F41AF8" w:rsidP="00DA626B">
      <w:pPr>
        <w:spacing w:after="120" w:line="480" w:lineRule="auto"/>
        <w:rPr>
          <w:rFonts w:ascii="Times New Roman" w:eastAsia="Arial" w:hAnsi="Times New Roman"/>
          <w:sz w:val="24"/>
          <w:szCs w:val="24"/>
          <w:lang w:val="en-GB"/>
        </w:rPr>
      </w:pPr>
      <w:r>
        <w:rPr>
          <w:rFonts w:ascii="Times New Roman" w:eastAsia="Arial" w:hAnsi="Times New Roman"/>
          <w:sz w:val="24"/>
          <w:szCs w:val="24"/>
          <w:lang w:val="en-GB"/>
        </w:rPr>
        <w:t xml:space="preserve">GloFASv4 </w:t>
      </w:r>
      <w:r w:rsidR="004C0FA2">
        <w:rPr>
          <w:rFonts w:ascii="Times New Roman" w:eastAsia="Arial" w:hAnsi="Times New Roman"/>
          <w:sz w:val="24"/>
          <w:szCs w:val="24"/>
          <w:lang w:val="en-GB"/>
        </w:rPr>
        <w:t>surface fields and calibrated parameters</w:t>
      </w:r>
      <w:r>
        <w:rPr>
          <w:rFonts w:ascii="Times New Roman" w:eastAsia="Arial" w:hAnsi="Times New Roman"/>
          <w:sz w:val="24"/>
          <w:szCs w:val="24"/>
          <w:lang w:val="en-GB"/>
        </w:rPr>
        <w:t>:</w:t>
      </w:r>
      <w:r w:rsidR="004C0FA2">
        <w:rPr>
          <w:rFonts w:ascii="Times New Roman" w:eastAsia="Arial" w:hAnsi="Times New Roman"/>
          <w:sz w:val="24"/>
          <w:szCs w:val="24"/>
          <w:lang w:val="en-GB"/>
        </w:rPr>
        <w:t xml:space="preserve"> </w:t>
      </w:r>
      <w:hyperlink r:id="rId14" w:history="1">
        <w:r w:rsidR="00725AB7" w:rsidRPr="00A51BC7">
          <w:rPr>
            <w:rStyle w:val="Hyperlink"/>
            <w:rFonts w:ascii="Times New Roman" w:eastAsia="Arial" w:hAnsi="Times New Roman"/>
            <w:sz w:val="24"/>
            <w:szCs w:val="24"/>
            <w:lang w:val="en-GB"/>
          </w:rPr>
          <w:t>https://data.jrc.ec.europa.eu/dataset/68050d73-9c06-499c-a441-dc5053cb0c86</w:t>
        </w:r>
      </w:hyperlink>
    </w:p>
    <w:p w14:paraId="445DAAE7" w14:textId="3A91C891" w:rsidR="004C0FA2" w:rsidRDefault="004C0FA2" w:rsidP="004C0FA2">
      <w:pPr>
        <w:spacing w:after="120" w:line="480" w:lineRule="auto"/>
        <w:rPr>
          <w:rFonts w:ascii="Times New Roman" w:eastAsia="Arial" w:hAnsi="Times New Roman"/>
          <w:sz w:val="24"/>
          <w:szCs w:val="24"/>
          <w:lang w:val="it-IT"/>
        </w:rPr>
      </w:pPr>
      <w:r w:rsidRPr="00A70CBF">
        <w:rPr>
          <w:rFonts w:ascii="Times New Roman" w:eastAsia="Arial" w:hAnsi="Times New Roman"/>
          <w:sz w:val="24"/>
          <w:szCs w:val="24"/>
          <w:lang w:val="it-IT"/>
        </w:rPr>
        <w:t>ERA5:</w:t>
      </w:r>
      <w:r w:rsidR="00A70CBF" w:rsidRPr="00A70CBF">
        <w:rPr>
          <w:rFonts w:ascii="Times New Roman" w:eastAsia="Arial" w:hAnsi="Times New Roman"/>
          <w:sz w:val="24"/>
          <w:szCs w:val="24"/>
          <w:lang w:val="it-IT"/>
        </w:rPr>
        <w:t xml:space="preserve"> </w:t>
      </w:r>
      <w:hyperlink r:id="rId15" w:history="1">
        <w:r w:rsidR="00A70CBF" w:rsidRPr="00A51BC7">
          <w:rPr>
            <w:rStyle w:val="Hyperlink"/>
            <w:rFonts w:ascii="Times New Roman" w:eastAsia="Arial" w:hAnsi="Times New Roman"/>
            <w:sz w:val="24"/>
            <w:szCs w:val="24"/>
            <w:lang w:val="it-IT"/>
          </w:rPr>
          <w:t>https://cds.climate.copernicus.eu/datasets/reanalysis-era5-single-levels?tab=overview</w:t>
        </w:r>
      </w:hyperlink>
    </w:p>
    <w:p w14:paraId="57D423AC" w14:textId="77777777" w:rsidR="00961713" w:rsidRPr="00CA18A2" w:rsidRDefault="00961713" w:rsidP="00DA626B">
      <w:pPr>
        <w:spacing w:after="120" w:line="480" w:lineRule="auto"/>
        <w:rPr>
          <w:rFonts w:ascii="Times New Roman" w:eastAsia="Arial" w:hAnsi="Times New Roman"/>
          <w:b/>
          <w:sz w:val="24"/>
          <w:szCs w:val="24"/>
          <w:lang w:val="en-GB"/>
        </w:rPr>
      </w:pPr>
      <w:r w:rsidRPr="00CA18A2">
        <w:rPr>
          <w:rFonts w:ascii="Times New Roman" w:eastAsia="Arial" w:hAnsi="Times New Roman"/>
          <w:b/>
          <w:sz w:val="24"/>
          <w:szCs w:val="24"/>
          <w:lang w:val="en-GB"/>
        </w:rPr>
        <w:t>Acknowledgements</w:t>
      </w:r>
    </w:p>
    <w:p w14:paraId="00695A06" w14:textId="7D4C8E91" w:rsidR="007A1A72" w:rsidRPr="006A76EF" w:rsidRDefault="3292333D" w:rsidP="60FB6146">
      <w:pPr>
        <w:spacing w:after="120" w:line="480" w:lineRule="auto"/>
        <w:rPr>
          <w:rFonts w:ascii="Times New Roman" w:hAnsi="Times New Roman"/>
          <w:sz w:val="24"/>
          <w:szCs w:val="24"/>
          <w:lang w:val="en-GB"/>
        </w:rPr>
      </w:pPr>
      <w:r w:rsidRPr="006A76EF">
        <w:rPr>
          <w:rFonts w:ascii="Times New Roman" w:hAnsi="Times New Roman"/>
          <w:sz w:val="24"/>
          <w:szCs w:val="24"/>
          <w:lang w:val="en-GB"/>
        </w:rPr>
        <w:t>GloFAS is part of the Copernicus Emergency Management Service which is funded by the European Union Space program.</w:t>
      </w:r>
    </w:p>
    <w:p w14:paraId="64AF582B" w14:textId="77777777" w:rsidR="007A1A72" w:rsidRPr="00CA18A2" w:rsidRDefault="007A1A72" w:rsidP="595A0589">
      <w:pPr>
        <w:spacing w:after="120" w:line="480" w:lineRule="auto"/>
        <w:rPr>
          <w:rFonts w:ascii="Times New Roman" w:eastAsia="Arial" w:hAnsi="Times New Roman"/>
          <w:b/>
          <w:bCs/>
          <w:sz w:val="24"/>
          <w:szCs w:val="24"/>
          <w:lang w:val="en-GB"/>
        </w:rPr>
      </w:pPr>
      <w:r w:rsidRPr="595A0589">
        <w:rPr>
          <w:rFonts w:ascii="Times New Roman" w:eastAsia="Arial" w:hAnsi="Times New Roman"/>
          <w:b/>
          <w:bCs/>
          <w:sz w:val="24"/>
          <w:szCs w:val="24"/>
          <w:lang w:val="en-GB"/>
        </w:rPr>
        <w:t>Summary bullet points</w:t>
      </w:r>
    </w:p>
    <w:p w14:paraId="35D6481C" w14:textId="767DBB84" w:rsidR="00961713" w:rsidRDefault="00E0354F" w:rsidP="00E0354F">
      <w:pPr>
        <w:pStyle w:val="ListParagraph"/>
        <w:numPr>
          <w:ilvl w:val="0"/>
          <w:numId w:val="2"/>
        </w:numPr>
        <w:spacing w:line="480" w:lineRule="auto"/>
        <w:rPr>
          <w:rFonts w:ascii="Times New Roman" w:hAnsi="Times New Roman"/>
          <w:sz w:val="24"/>
          <w:szCs w:val="24"/>
          <w:lang w:val="en-GB"/>
        </w:rPr>
      </w:pPr>
      <w:r>
        <w:rPr>
          <w:rFonts w:ascii="Times New Roman" w:hAnsi="Times New Roman"/>
          <w:sz w:val="24"/>
          <w:szCs w:val="24"/>
          <w:lang w:val="en-GB"/>
        </w:rPr>
        <w:t>2024 was a dry year from the perspective of runoff and river discharge.</w:t>
      </w:r>
    </w:p>
    <w:p w14:paraId="508F9BA8" w14:textId="49062FAE" w:rsidR="00E0354F" w:rsidRDefault="00E0354F" w:rsidP="00E0354F">
      <w:pPr>
        <w:pStyle w:val="ListParagraph"/>
        <w:numPr>
          <w:ilvl w:val="0"/>
          <w:numId w:val="2"/>
        </w:numPr>
        <w:spacing w:line="480" w:lineRule="auto"/>
        <w:rPr>
          <w:rFonts w:ascii="Times New Roman" w:hAnsi="Times New Roman"/>
          <w:sz w:val="24"/>
          <w:szCs w:val="24"/>
          <w:lang w:val="en-GB"/>
        </w:rPr>
      </w:pPr>
      <w:r>
        <w:rPr>
          <w:rFonts w:ascii="Times New Roman" w:hAnsi="Times New Roman"/>
          <w:sz w:val="24"/>
          <w:szCs w:val="24"/>
          <w:lang w:val="en-GB"/>
        </w:rPr>
        <w:t>The Amazon and La Plata basins faced an unprecedented drought.</w:t>
      </w:r>
    </w:p>
    <w:p w14:paraId="7CE67724" w14:textId="247F2BDF" w:rsidR="00395DA9" w:rsidRPr="003A1775" w:rsidRDefault="00E0354F" w:rsidP="003A1775">
      <w:pPr>
        <w:pStyle w:val="ListParagraph"/>
        <w:numPr>
          <w:ilvl w:val="0"/>
          <w:numId w:val="2"/>
        </w:numPr>
        <w:spacing w:line="480" w:lineRule="auto"/>
        <w:rPr>
          <w:rFonts w:ascii="Times New Roman" w:hAnsi="Times New Roman"/>
          <w:sz w:val="24"/>
          <w:szCs w:val="24"/>
          <w:lang w:val="en-GB"/>
        </w:rPr>
      </w:pPr>
      <w:r>
        <w:rPr>
          <w:rFonts w:ascii="Times New Roman" w:hAnsi="Times New Roman"/>
          <w:sz w:val="24"/>
          <w:szCs w:val="24"/>
          <w:lang w:val="en-GB"/>
        </w:rPr>
        <w:t>Severe flooding affected Bangladesh, Afghanistan, Pakistan, Spain and Brazil.</w:t>
      </w:r>
    </w:p>
    <w:sectPr w:rsidR="00395DA9" w:rsidRPr="003A1775">
      <w:pgSz w:w="11906" w:h="16838"/>
      <w:pgMar w:top="1440" w:right="1440" w:bottom="1440" w:left="1440" w:header="708" w:footer="708" w:gutter="0"/>
      <w:cols w:space="708"/>
      <w:docGrid w:linePitch="360"/>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66FE52E" w16cex:dateUtc="2022-07-06T09:40:00Z"/>
  <w16cex:commentExtensible w16cex:durableId="61A1999D" w16cex:dateUtc="2025-01-10T14:28:00Z"/>
  <w16cex:commentExtensible w16cex:durableId="258FDC1E" w16cex:dateUtc="2022-01-17T12:14:00Z"/>
  <w16cex:commentExtensible w16cex:durableId="728FC5C7" w16cex:dateUtc="2025-02-13T18:00:17.719Z"/>
  <w16cex:commentExtensible w16cex:durableId="0EA5A040" w16cex:dateUtc="2025-02-13T18:01:22.649Z"/>
  <w16cex:commentExtensible w16cex:durableId="34B4270D" w16cex:dateUtc="2025-02-13T18:02:38.763Z"/>
</w16cex:commentsExtensibl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B94AC9"/>
    <w:multiLevelType w:val="hybridMultilevel"/>
    <w:tmpl w:val="5832CE84"/>
    <w:lvl w:ilvl="0" w:tplc="8642FD56">
      <w:numFmt w:val="bullet"/>
      <w:lvlText w:val=""/>
      <w:lvlJc w:val="left"/>
      <w:pPr>
        <w:ind w:left="720" w:hanging="360"/>
      </w:pPr>
      <w:rPr>
        <w:rFonts w:ascii="Symbol" w:eastAsia="Calibri"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F984472"/>
    <w:multiLevelType w:val="hybridMultilevel"/>
    <w:tmpl w:val="01C647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FF3"/>
    <w:rsid w:val="0000132C"/>
    <w:rsid w:val="000272FB"/>
    <w:rsid w:val="000823B2"/>
    <w:rsid w:val="000B13AC"/>
    <w:rsid w:val="00106206"/>
    <w:rsid w:val="001130AB"/>
    <w:rsid w:val="00127459"/>
    <w:rsid w:val="001345E1"/>
    <w:rsid w:val="00157331"/>
    <w:rsid w:val="001B2AE5"/>
    <w:rsid w:val="001B727E"/>
    <w:rsid w:val="001D5214"/>
    <w:rsid w:val="002103A2"/>
    <w:rsid w:val="002368D7"/>
    <w:rsid w:val="00260658"/>
    <w:rsid w:val="00282DA2"/>
    <w:rsid w:val="0029237B"/>
    <w:rsid w:val="00295709"/>
    <w:rsid w:val="002A4D8B"/>
    <w:rsid w:val="002B649B"/>
    <w:rsid w:val="002B6F91"/>
    <w:rsid w:val="002E1D44"/>
    <w:rsid w:val="002F24A6"/>
    <w:rsid w:val="00316D79"/>
    <w:rsid w:val="003323BB"/>
    <w:rsid w:val="003324A2"/>
    <w:rsid w:val="00335447"/>
    <w:rsid w:val="003549E3"/>
    <w:rsid w:val="00355EEF"/>
    <w:rsid w:val="003570D9"/>
    <w:rsid w:val="0037100E"/>
    <w:rsid w:val="00386686"/>
    <w:rsid w:val="00395DA9"/>
    <w:rsid w:val="003A1775"/>
    <w:rsid w:val="003A180A"/>
    <w:rsid w:val="003C324A"/>
    <w:rsid w:val="003E40B2"/>
    <w:rsid w:val="003E5ECA"/>
    <w:rsid w:val="003F0C5A"/>
    <w:rsid w:val="00421B84"/>
    <w:rsid w:val="004336BA"/>
    <w:rsid w:val="004410BE"/>
    <w:rsid w:val="00452006"/>
    <w:rsid w:val="004600E7"/>
    <w:rsid w:val="004639CE"/>
    <w:rsid w:val="00493928"/>
    <w:rsid w:val="004A6F70"/>
    <w:rsid w:val="004B6FE9"/>
    <w:rsid w:val="004C0FA2"/>
    <w:rsid w:val="004D2E65"/>
    <w:rsid w:val="004D4188"/>
    <w:rsid w:val="004D7871"/>
    <w:rsid w:val="004F05D6"/>
    <w:rsid w:val="004F25B0"/>
    <w:rsid w:val="005458B0"/>
    <w:rsid w:val="00546599"/>
    <w:rsid w:val="00546ED6"/>
    <w:rsid w:val="00551B7A"/>
    <w:rsid w:val="00590A85"/>
    <w:rsid w:val="005B62AE"/>
    <w:rsid w:val="005E0AC6"/>
    <w:rsid w:val="005F4F24"/>
    <w:rsid w:val="00611AF6"/>
    <w:rsid w:val="006978DD"/>
    <w:rsid w:val="006A76EF"/>
    <w:rsid w:val="006B1957"/>
    <w:rsid w:val="006D0F99"/>
    <w:rsid w:val="006F4927"/>
    <w:rsid w:val="00711FAD"/>
    <w:rsid w:val="007212A0"/>
    <w:rsid w:val="00725AB7"/>
    <w:rsid w:val="00732C9C"/>
    <w:rsid w:val="00754616"/>
    <w:rsid w:val="00792CA8"/>
    <w:rsid w:val="007A0DB3"/>
    <w:rsid w:val="007A1A72"/>
    <w:rsid w:val="007C6D99"/>
    <w:rsid w:val="007E41A3"/>
    <w:rsid w:val="008002BD"/>
    <w:rsid w:val="008276C0"/>
    <w:rsid w:val="00861A9B"/>
    <w:rsid w:val="008A681A"/>
    <w:rsid w:val="008D3BB2"/>
    <w:rsid w:val="008E68FC"/>
    <w:rsid w:val="00920AB7"/>
    <w:rsid w:val="00920F9F"/>
    <w:rsid w:val="00933C45"/>
    <w:rsid w:val="00945161"/>
    <w:rsid w:val="00945BEF"/>
    <w:rsid w:val="00961713"/>
    <w:rsid w:val="009653A0"/>
    <w:rsid w:val="009A2AF3"/>
    <w:rsid w:val="009C634E"/>
    <w:rsid w:val="009D3B06"/>
    <w:rsid w:val="009D7DB3"/>
    <w:rsid w:val="009E3392"/>
    <w:rsid w:val="009F0FF3"/>
    <w:rsid w:val="009F3061"/>
    <w:rsid w:val="00A1644D"/>
    <w:rsid w:val="00A437F9"/>
    <w:rsid w:val="00A62CF7"/>
    <w:rsid w:val="00A70CBF"/>
    <w:rsid w:val="00A75F35"/>
    <w:rsid w:val="00A810DE"/>
    <w:rsid w:val="00A96DFE"/>
    <w:rsid w:val="00AA403F"/>
    <w:rsid w:val="00AD0417"/>
    <w:rsid w:val="00AD5E20"/>
    <w:rsid w:val="00AF3472"/>
    <w:rsid w:val="00AF7475"/>
    <w:rsid w:val="00B06043"/>
    <w:rsid w:val="00B16FCF"/>
    <w:rsid w:val="00B22201"/>
    <w:rsid w:val="00BA41F6"/>
    <w:rsid w:val="00BB3D6B"/>
    <w:rsid w:val="00BB6DE3"/>
    <w:rsid w:val="00BF79DB"/>
    <w:rsid w:val="00C3700D"/>
    <w:rsid w:val="00C5745D"/>
    <w:rsid w:val="00C747F9"/>
    <w:rsid w:val="00CA18A2"/>
    <w:rsid w:val="00CA4DB0"/>
    <w:rsid w:val="00CB1EC0"/>
    <w:rsid w:val="00CB51C0"/>
    <w:rsid w:val="00CB7A34"/>
    <w:rsid w:val="00D17D75"/>
    <w:rsid w:val="00D74BC5"/>
    <w:rsid w:val="00D84614"/>
    <w:rsid w:val="00D910BC"/>
    <w:rsid w:val="00DA3474"/>
    <w:rsid w:val="00DA626B"/>
    <w:rsid w:val="00DA63B1"/>
    <w:rsid w:val="00DC12F5"/>
    <w:rsid w:val="00DC250C"/>
    <w:rsid w:val="00DD2BD0"/>
    <w:rsid w:val="00DE07F9"/>
    <w:rsid w:val="00DE3B45"/>
    <w:rsid w:val="00DF0C7C"/>
    <w:rsid w:val="00E0354F"/>
    <w:rsid w:val="00E07B4C"/>
    <w:rsid w:val="00E11EAA"/>
    <w:rsid w:val="00E261F7"/>
    <w:rsid w:val="00E343B3"/>
    <w:rsid w:val="00E44DDC"/>
    <w:rsid w:val="00E70EE1"/>
    <w:rsid w:val="00E914B9"/>
    <w:rsid w:val="00E94450"/>
    <w:rsid w:val="00EC0747"/>
    <w:rsid w:val="00EE709E"/>
    <w:rsid w:val="00F04CA1"/>
    <w:rsid w:val="00F41AF8"/>
    <w:rsid w:val="00F61123"/>
    <w:rsid w:val="00F66990"/>
    <w:rsid w:val="00F97738"/>
    <w:rsid w:val="00FB2441"/>
    <w:rsid w:val="00FE0B77"/>
    <w:rsid w:val="00FE12B1"/>
    <w:rsid w:val="04B3ABF9"/>
    <w:rsid w:val="0BABB56A"/>
    <w:rsid w:val="17CD0C64"/>
    <w:rsid w:val="1B6EBD65"/>
    <w:rsid w:val="1C5FF14D"/>
    <w:rsid w:val="2B05466E"/>
    <w:rsid w:val="3292333D"/>
    <w:rsid w:val="33E3217B"/>
    <w:rsid w:val="545FF91E"/>
    <w:rsid w:val="595A0589"/>
    <w:rsid w:val="5AEFDC07"/>
    <w:rsid w:val="60FB6146"/>
    <w:rsid w:val="61B29520"/>
    <w:rsid w:val="62E1295A"/>
    <w:rsid w:val="63B8D9BF"/>
    <w:rsid w:val="6862163F"/>
    <w:rsid w:val="72680577"/>
    <w:rsid w:val="76B351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11E26"/>
  <w15:chartTrackingRefBased/>
  <w15:docId w15:val="{57D1A756-134E-4022-8CB3-2B18ADC46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0FF3"/>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3324A2"/>
    <w:rPr>
      <w:b/>
      <w:bCs/>
      <w:smallCaps/>
      <w:spacing w:val="5"/>
    </w:rPr>
  </w:style>
  <w:style w:type="character" w:styleId="CommentReference">
    <w:name w:val="annotation reference"/>
    <w:basedOn w:val="DefaultParagraphFont"/>
    <w:uiPriority w:val="99"/>
    <w:semiHidden/>
    <w:unhideWhenUsed/>
    <w:rsid w:val="007A1A72"/>
    <w:rPr>
      <w:sz w:val="16"/>
      <w:szCs w:val="16"/>
    </w:rPr>
  </w:style>
  <w:style w:type="paragraph" w:styleId="CommentText">
    <w:name w:val="annotation text"/>
    <w:basedOn w:val="Normal"/>
    <w:link w:val="CommentTextChar"/>
    <w:uiPriority w:val="99"/>
    <w:unhideWhenUsed/>
    <w:rsid w:val="007A1A72"/>
    <w:pPr>
      <w:spacing w:line="240" w:lineRule="auto"/>
    </w:pPr>
    <w:rPr>
      <w:sz w:val="20"/>
      <w:szCs w:val="20"/>
    </w:rPr>
  </w:style>
  <w:style w:type="character" w:customStyle="1" w:styleId="CommentTextChar">
    <w:name w:val="Comment Text Char"/>
    <w:basedOn w:val="DefaultParagraphFont"/>
    <w:link w:val="CommentText"/>
    <w:uiPriority w:val="99"/>
    <w:rsid w:val="007A1A72"/>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A1A72"/>
    <w:rPr>
      <w:b/>
      <w:bCs/>
    </w:rPr>
  </w:style>
  <w:style w:type="character" w:customStyle="1" w:styleId="CommentSubjectChar">
    <w:name w:val="Comment Subject Char"/>
    <w:basedOn w:val="CommentTextChar"/>
    <w:link w:val="CommentSubject"/>
    <w:uiPriority w:val="99"/>
    <w:semiHidden/>
    <w:rsid w:val="007A1A72"/>
    <w:rPr>
      <w:rFonts w:ascii="Calibri" w:eastAsia="Calibri" w:hAnsi="Calibri" w:cs="Times New Roman"/>
      <w:b/>
      <w:bCs/>
      <w:sz w:val="20"/>
      <w:szCs w:val="20"/>
      <w:lang w:val="en-US"/>
    </w:rPr>
  </w:style>
  <w:style w:type="paragraph" w:styleId="BalloonText">
    <w:name w:val="Balloon Text"/>
    <w:basedOn w:val="Normal"/>
    <w:link w:val="BalloonTextChar"/>
    <w:uiPriority w:val="99"/>
    <w:semiHidden/>
    <w:unhideWhenUsed/>
    <w:rsid w:val="007A1A7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1A72"/>
    <w:rPr>
      <w:rFonts w:ascii="Segoe UI" w:eastAsia="Calibri" w:hAnsi="Segoe UI" w:cs="Segoe UI"/>
      <w:sz w:val="18"/>
      <w:szCs w:val="18"/>
      <w:lang w:val="en-US"/>
    </w:rPr>
  </w:style>
  <w:style w:type="paragraph" w:styleId="ListParagraph">
    <w:name w:val="List Paragraph"/>
    <w:basedOn w:val="Normal"/>
    <w:uiPriority w:val="34"/>
    <w:qFormat/>
    <w:rsid w:val="00B22201"/>
    <w:pPr>
      <w:ind w:left="720"/>
      <w:contextualSpacing/>
    </w:pPr>
  </w:style>
  <w:style w:type="character" w:styleId="Hyperlink">
    <w:name w:val="Hyperlink"/>
    <w:basedOn w:val="DefaultParagraphFont"/>
    <w:uiPriority w:val="99"/>
    <w:unhideWhenUsed/>
    <w:rsid w:val="004C0FA2"/>
    <w:rPr>
      <w:color w:val="0563C1" w:themeColor="hyperlink"/>
      <w:u w:val="single"/>
    </w:rPr>
  </w:style>
  <w:style w:type="character" w:customStyle="1" w:styleId="UnresolvedMention1">
    <w:name w:val="Unresolved Mention1"/>
    <w:basedOn w:val="DefaultParagraphFont"/>
    <w:uiPriority w:val="99"/>
    <w:semiHidden/>
    <w:unhideWhenUsed/>
    <w:rsid w:val="004C0FA2"/>
    <w:rPr>
      <w:color w:val="605E5C"/>
      <w:shd w:val="clear" w:color="auto" w:fill="E1DFDD"/>
    </w:rPr>
  </w:style>
  <w:style w:type="paragraph" w:styleId="NoSpacing">
    <w:name w:val="No Spacing"/>
    <w:uiPriority w:val="1"/>
    <w:qFormat/>
    <w:rsid w:val="00B16FCF"/>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9680116">
      <w:bodyDiv w:val="1"/>
      <w:marLeft w:val="0"/>
      <w:marRight w:val="0"/>
      <w:marTop w:val="0"/>
      <w:marBottom w:val="0"/>
      <w:divBdr>
        <w:top w:val="none" w:sz="0" w:space="0" w:color="auto"/>
        <w:left w:val="none" w:sz="0" w:space="0" w:color="auto"/>
        <w:bottom w:val="none" w:sz="0" w:space="0" w:color="auto"/>
        <w:right w:val="none" w:sz="0" w:space="0" w:color="auto"/>
      </w:divBdr>
    </w:div>
    <w:div w:id="554120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4.jpe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image" Target="media/image2.jpeg"/><Relationship Id="rId5" Type="http://schemas.openxmlformats.org/officeDocument/2006/relationships/customXml" Target="../customXml/item5.xml"/><Relationship Id="rId15" Type="http://schemas.openxmlformats.org/officeDocument/2006/relationships/hyperlink" Target="https://cds.climate.copernicus.eu/datasets/reanalysis-era5-single-levels?tab=overview" TargetMode="External"/><Relationship Id="rId23" Type="http://schemas.microsoft.com/office/2018/08/relationships/commentsExtensible" Target="commentsExtensible.xml"/><Relationship Id="rId10" Type="http://schemas.openxmlformats.org/officeDocument/2006/relationships/image" Target="media/image1.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data.jrc.ec.europa.eu/dataset/68050d73-9c06-499c-a441-dc5053cb0c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Met Office Document" ma:contentTypeID="0x01010008EC4BDFB4C3D542892399C37F0B505F00CFAF0D6646A7C34ABFBC27D88E55C5EA" ma:contentTypeVersion="4" ma:contentTypeDescription="" ma:contentTypeScope="" ma:versionID="8f2a8b617e8aae53b7816d6cba01471b">
  <xsd:schema xmlns:xsd="http://www.w3.org/2001/XMLSchema" xmlns:xs="http://www.w3.org/2001/XMLSchema" xmlns:p="http://schemas.microsoft.com/office/2006/metadata/properties" xmlns:ns2="95a6d21c-7db0-4b7e-981f-b4f22b02b9d8" targetNamespace="http://schemas.microsoft.com/office/2006/metadata/properties" ma:root="true" ma:fieldsID="5507fc4fbba77142745f1e2b905ec315" ns2:_="">
    <xsd:import namespace="95a6d21c-7db0-4b7e-981f-b4f22b02b9d8"/>
    <xsd:element name="properties">
      <xsd:complexType>
        <xsd:sequence>
          <xsd:element name="documentManagement">
            <xsd:complexType>
              <xsd:all>
                <xsd:element ref="ns2:TNA" minOccurs="0"/>
                <xsd:element ref="ns2:Review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a6d21c-7db0-4b7e-981f-b4f22b02b9d8" elementFormDefault="qualified">
    <xsd:import namespace="http://schemas.microsoft.com/office/2006/documentManagement/types"/>
    <xsd:import namespace="http://schemas.microsoft.com/office/infopath/2007/PartnerControls"/>
    <xsd:element name="TNA" ma:index="1" nillable="true" ma:displayName="TNA" ma:default="Not of potential interest" ma:format="Dropdown" ma:internalName="TNA">
      <xsd:simpleType>
        <xsd:restriction base="dms:Choice">
          <xsd:enumeration value="Not of potential interest"/>
          <xsd:enumeration value="Potential TNA Record"/>
          <xsd:enumeration value="Flagged for TNA"/>
          <xsd:enumeration value="List to TNA"/>
          <xsd:enumeration value="Not listed to TNA"/>
          <xsd:enumeration value="Transferred to TNA"/>
          <xsd:enumeration value="Published by TNA"/>
        </xsd:restriction>
      </xsd:simpleType>
    </xsd:element>
    <xsd:element name="ReviewDate" ma:index="2" nillable="true" ma:displayName="Review Date" ma:format="DateOnly" ma:internalName="Review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b1bb55a9-a1b5-4196-b12d-1833970ed366" ContentTypeId="0x01010008EC4BDFB4C3D542892399C37F0B505F"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NA xmlns="95a6d21c-7db0-4b7e-981f-b4f22b02b9d8">Not of potential interest</TNA>
    <ReviewDate xmlns="95a6d21c-7db0-4b7e-981f-b4f22b02b9d8"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08DCA-B9E0-43E3-A98F-7EE113DBE5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a6d21c-7db0-4b7e-981f-b4f22b02b9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C65FC1-BFB7-472C-AFC2-B0A70687A54B}">
  <ds:schemaRefs>
    <ds:schemaRef ds:uri="Microsoft.SharePoint.Taxonomy.ContentTypeSync"/>
  </ds:schemaRefs>
</ds:datastoreItem>
</file>

<file path=customXml/itemProps3.xml><?xml version="1.0" encoding="utf-8"?>
<ds:datastoreItem xmlns:ds="http://schemas.openxmlformats.org/officeDocument/2006/customXml" ds:itemID="{1DC74661-1915-44D5-B0FD-15F574266979}">
  <ds:schemaRefs>
    <ds:schemaRef ds:uri="http://schemas.microsoft.com/sharepoint/v3/contenttype/forms"/>
  </ds:schemaRefs>
</ds:datastoreItem>
</file>

<file path=customXml/itemProps4.xml><?xml version="1.0" encoding="utf-8"?>
<ds:datastoreItem xmlns:ds="http://schemas.openxmlformats.org/officeDocument/2006/customXml" ds:itemID="{C025A72E-7F4D-48EB-8D31-BBB56AEB3E29}">
  <ds:schemaRefs>
    <ds:schemaRef ds:uri="http://schemas.microsoft.com/office/2006/metadata/properties"/>
    <ds:schemaRef ds:uri="http://www.w3.org/XML/1998/namespace"/>
    <ds:schemaRef ds:uri="http://schemas.microsoft.com/office/infopath/2007/PartnerControls"/>
    <ds:schemaRef ds:uri="http://schemas.microsoft.com/office/2006/documentManagement/types"/>
    <ds:schemaRef ds:uri="http://purl.org/dc/elements/1.1/"/>
    <ds:schemaRef ds:uri="http://purl.org/dc/terms/"/>
    <ds:schemaRef ds:uri="http://schemas.openxmlformats.org/package/2006/metadata/core-properties"/>
    <ds:schemaRef ds:uri="95a6d21c-7db0-4b7e-981f-b4f22b02b9d8"/>
    <ds:schemaRef ds:uri="http://purl.org/dc/dcmitype/"/>
  </ds:schemaRefs>
</ds:datastoreItem>
</file>

<file path=customXml/itemProps5.xml><?xml version="1.0" encoding="utf-8"?>
<ds:datastoreItem xmlns:ds="http://schemas.openxmlformats.org/officeDocument/2006/customXml" ds:itemID="{37E8AA39-1C38-40B0-A054-9446A6AE2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7</Pages>
  <Words>6249</Words>
  <Characters>35624</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Met Office</Company>
  <LinksUpToDate>false</LinksUpToDate>
  <CharactersWithSpaces>41790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Dunn, Robert</dc:creator>
  <cp:keywords/>
  <dc:description/>
  <cp:lastModifiedBy>CASADO RODRIGUEZ Jesus (JRC-ISPRA)</cp:lastModifiedBy>
  <cp:revision>93</cp:revision>
  <dcterms:created xsi:type="dcterms:W3CDTF">2022-01-17T17:30:00Z</dcterms:created>
  <dcterms:modified xsi:type="dcterms:W3CDTF">2025-02-14T11:02:00Z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0x01010008EC4BDFB4C3D542892399C37F0B505F00CFAF0D6646A7C34ABFBC27D88E55C5EA</vt:lpwstr>
  </property>
  <property fmtid="{D5CDD505-2E9C-101B-9397-08002B2CF9AE}" pid="3" name="Mendeley Document_1">
    <vt:lpwstr>True</vt:lpwstr>
  </property>
  <property fmtid="{D5CDD505-2E9C-101B-9397-08002B2CF9AE}" pid="4" name="Mendeley Unique User Id_1">
    <vt:lpwstr>dbeb398a-189a-33d0-ad7f-185bcc1250f6</vt:lpwstr>
  </property>
  <property fmtid="{D5CDD505-2E9C-101B-9397-08002B2CF9AE}" pid="5" name="Mendeley Citation Style_1">
    <vt:lpwstr>http://www.zotero.org/styles/apa</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