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32"/>
          <w:szCs w:val="32"/>
        </w:rPr>
        <w:t xml:space="preserve">HUB DE CATEGORÍA</w:t>
      </w:r>
    </w:p>
    <w:p>
      <w:pPr>
        <w:spacing w:after="400"/>
        <w:jc w:val="center"/>
      </w:pPr>
      <w:r>
        <w:rPr>
          <w:b/>
          <w:bCs/>
          <w:color w:val="1A1A1A"/>
          <w:sz w:val="48"/>
          <w:szCs w:val="48"/>
        </w:rPr>
        <w:t xml:space="preserve">NUTRICIÓN CLÍNICA</w:t>
      </w:r>
    </w:p>
    <w:p>
      <w:pPr>
        <w:spacing w:after="600"/>
        <w:jc w:val="center"/>
      </w:pPr>
      <w:r>
        <w:rPr>
          <w:color w:val="666666"/>
          <w:sz w:val="24"/>
          <w:szCs w:val="24"/>
        </w:rPr>
        <w:t xml:space="preserve">URL: /nutricion-clinica</w:t>
      </w:r>
    </w:p>
    <w:p>
      <w:pPr>
        <w:pStyle w:val="Heading2"/>
        <w:spacing w:before="400" w:after="200"/>
      </w:pPr>
      <w:r>
        <w:rPr>
          <w:b/>
          <w:bCs/>
          <w:color w:val="0D6F5C"/>
          <w:sz w:val="28"/>
          <w:szCs w:val="28"/>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/nutricion-clinica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Template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page.hub.liquid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Clínica Especializada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Servicios de nutrición clínica especializada en Del Valle, CDMX. Manejo de disfagia con estándares IDDSI, nutrición hospitalaria, enteral y domiciliaria. Consulta presencial y a domicilio.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Principales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clínica, disfagia, IDDSI, nutrición hospitalaria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enteral, sonda gástrica, nutrición domiciliaria, texturas modificadas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Servicios Hijos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Disfagia | Nutrición Hospitalaria | Nutrición Enteral | Nutrición a Domicilio</w:t>
            </w:r>
          </w:p>
        </w:tc>
      </w:tr>
    </w:tbl>
    <w:p>
      <w:r>
        <w:br w:type="page"/>
      </w:r>
    </w:p>
    <w:p>
      <w:pPr>
        <w:pStyle w:val="Heading2"/>
        <w:spacing w:before="400" w:after="200"/>
      </w:pPr>
      <w:r>
        <w:rPr>
          <w:b/>
          <w:bCs/>
          <w:color w:val="0D6F5C"/>
          <w:sz w:val="28"/>
          <w:szCs w:val="28"/>
        </w:rPr>
        <w:t xml:space="preserve">2. Copy del Hub</w:t>
      </w:r>
    </w:p>
    <w:p>
      <w:pPr>
        <w:pStyle w:val="Heading3"/>
        <w:spacing w:before="300" w:after="100"/>
      </w:pPr>
      <w:r>
        <w:rPr>
          <w:b/>
          <w:bCs/>
          <w:sz w:val="24"/>
          <w:szCs w:val="24"/>
        </w:rPr>
        <w:t xml:space="preserve">Hero</w:t>
      </w:r>
    </w:p>
    <w:p>
      <w:pPr>
        <w:spacing w:after="100"/>
      </w:pPr>
      <w:r>
        <w:rPr>
          <w:color w:val="666666"/>
          <w:sz w:val="22"/>
          <w:szCs w:val="22"/>
        </w:rPr>
        <w:t xml:space="preserve">[H1] </w:t>
      </w:r>
      <w:r>
        <w:rPr>
          <w:b/>
          <w:bCs/>
          <w:sz w:val="22"/>
          <w:szCs w:val="22"/>
        </w:rPr>
        <w:t xml:space="preserve">Nutrición Clínica en CDMX</w:t>
      </w:r>
    </w:p>
    <w:p>
      <w:pPr>
        <w:spacing w:after="200"/>
      </w:pPr>
      <w:r>
        <w:rPr>
          <w:color w:val="666666"/>
          <w:sz w:val="22"/>
          <w:szCs w:val="22"/>
        </w:rPr>
        <w:t xml:space="preserve">[Subtítulo] </w:t>
      </w:r>
      <w:r>
        <w:rPr>
          <w:sz w:val="22"/>
          <w:szCs w:val="22"/>
        </w:rPr>
        <w:t xml:space="preserve">Atención nutricional de alta especialización para condiciones clínicas complejas. Manejo de disfagia con estándares IDDSI, soporte nutricional hospitalario y domiciliario en CDMX.</w:t>
      </w:r>
    </w:p>
    <w:p>
      <w:pPr>
        <w:pStyle w:val="Heading3"/>
        <w:spacing w:before="300" w:after="100"/>
      </w:pPr>
      <w:r>
        <w:rPr>
          <w:b/>
          <w:bCs/>
          <w:sz w:val="24"/>
          <w:szCs w:val="24"/>
        </w:rPr>
        <w:t xml:space="preserve">Estadística Destacada</w:t>
      </w:r>
    </w:p>
    <w:p>
      <w:pPr>
        <w:shd w:fill="F5F5F5" w:val="clear"/>
        <w:spacing w:after="200"/>
      </w:pPr>
      <w:r>
        <w:rPr>
          <w:i/>
          <w:iCs/>
          <w:sz w:val="22"/>
          <w:szCs w:val="22"/>
        </w:rPr>
        <w:t xml:space="preserve">Se estima que entre el 13% y 33% de los adultos mayores de 65 años experimenta algún grado de disfagia, cifra que aumenta significativamente en personas hospitalizadas y con condiciones neurológicas.</w:t>
      </w:r>
    </w:p>
    <w:p>
      <w:pPr>
        <w:pStyle w:val="Heading3"/>
        <w:spacing w:before="300" w:after="100"/>
      </w:pPr>
      <w:r>
        <w:rPr>
          <w:b/>
          <w:bCs/>
          <w:sz w:val="24"/>
          <w:szCs w:val="24"/>
        </w:rPr>
        <w:t xml:space="preserve">Introducción</w:t>
      </w:r>
    </w:p>
    <w:p>
      <w:pPr>
        <w:spacing w:after="200"/>
      </w:pPr>
      <w:r>
        <w:rPr>
          <w:sz w:val="22"/>
          <w:szCs w:val="22"/>
        </w:rPr>
        <w:t xml:space="preserve">La nutrición clínica aborda situaciones donde la alimentación normal ya no es posible o segura. Cuando tragar se vuelve peligroso por disfagia. Cuando el paciente está hospitalizado y necesita soporte nutricional especializado. Cuando la alimentación debe hacerse por sonda. Cuando la recuperación ocurre en casa pero requiere supervisión experta.</w:t>
      </w:r>
    </w:p>
    <w:p>
      <w:pPr>
        <w:spacing w:after="200"/>
      </w:pPr>
      <w:r>
        <w:rPr>
          <w:sz w:val="22"/>
          <w:szCs w:val="22"/>
        </w:rPr>
        <w:t xml:space="preserve">Estas situaciones requieren conocimiento técnico que va más allá de la nutrición general. Saber evaluar el nivel IDDSI seguro para un paciente con disfagia. Calcular los requerimientos de una fórmula enteral. Adaptar recetas para que sean nutricionalmente completas en texturas modificadas.</w:t>
      </w:r>
    </w:p>
    <w:p>
      <w:pPr>
        <w:spacing w:after="200"/>
      </w:pPr>
      <w:r>
        <w:rPr>
          <w:sz w:val="22"/>
          <w:szCs w:val="22"/>
        </w:rPr>
        <w:t xml:space="preserve">En Clínica Denki contamos con la formación y experiencia para manejar estas situaciones complejas. Trabajamos en coordinación estrecha con médicos, foniatras y otros especialistas para ofrecer una atención verdaderamente integral.</w:t>
      </w:r>
    </w:p>
    <w:p>
      <w:pPr>
        <w:pStyle w:val="Heading3"/>
        <w:spacing w:before="300" w:after="100"/>
      </w:pPr>
      <w:r>
        <w:rPr>
          <w:b/>
          <w:bCs/>
          <w:sz w:val="24"/>
          <w:szCs w:val="24"/>
        </w:rPr>
        <w:t xml:space="preserve">[H2] Nuestros Servicios de Clínica</w:t>
      </w:r>
    </w:p>
    <w:p>
      <w:pPr>
        <w:spacing w:after="200"/>
      </w:pPr>
      <w:r>
        <w:rPr>
          <w:i/>
          <w:iCs/>
          <w:color w:val="666666"/>
          <w:sz w:val="20"/>
          <w:szCs w:val="20"/>
        </w:rPr>
        <w:t xml:space="preserve">[Grid de cards con imagen, título, descripción y link a cada servicio hijo]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Servicio</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URL</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Descripción</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Estado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Disfagia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/nutricion-clinica/disfagia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Manejo con estándares IDDSI para alimentación segura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F5A623"/>
                <w:sz w:val="20"/>
                <w:szCs w:val="20"/>
              </w:rPr>
              <w:t xml:space="preserve">🏆 Nicho de oro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Nutrición Hospitalaria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/nutricion-clinica/nutricion-hospitalaria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Soporte nutricional durante hospitalizaciones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Nutrición Enteral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/nutricion-clinica/nutricion-enteral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Manejo de alimentación por sonda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Nutrición a Domicilio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/nutricion-clinica/nutricion-domicilio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Atención especializada en tu hogar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bl>
    <w:p>
      <w:pPr>
        <w:pStyle w:val="Heading3"/>
        <w:spacing w:before="400" w:after="100"/>
      </w:pPr>
      <w:r>
        <w:rPr>
          <w:b/>
          <w:bCs/>
          <w:sz w:val="24"/>
          <w:szCs w:val="24"/>
        </w:rPr>
        <w:t xml:space="preserve">[H2] ¿Por Qué Atención Especializada?</w:t>
      </w:r>
    </w:p>
    <w:p>
      <w:pPr>
        <w:spacing w:after="100"/>
      </w:pPr>
      <w:r>
        <w:rPr>
          <w:sz w:val="22"/>
          <w:szCs w:val="22"/>
        </w:rPr>
        <w:t xml:space="preserve">• </w:t>
      </w:r>
      <w:r>
        <w:rPr>
          <w:sz w:val="22"/>
          <w:szCs w:val="22"/>
        </w:rPr>
        <w:t xml:space="preserve">La disfagia requiere evaluación precisa del nivel de textura seguro según estándares internacionales IDDSI</w:t>
      </w:r>
    </w:p>
    <w:p>
      <w:pPr>
        <w:spacing w:after="100"/>
      </w:pPr>
      <w:r>
        <w:rPr>
          <w:sz w:val="22"/>
          <w:szCs w:val="22"/>
        </w:rPr>
        <w:t xml:space="preserve">• </w:t>
      </w:r>
      <w:r>
        <w:rPr>
          <w:sz w:val="22"/>
          <w:szCs w:val="22"/>
        </w:rPr>
        <w:t xml:space="preserve">La nutrición enteral necesita cálculo preciso de fórmulas, manejo de sonda y prevención de complicaciones</w:t>
      </w:r>
    </w:p>
    <w:p>
      <w:pPr>
        <w:spacing w:after="100"/>
      </w:pPr>
      <w:r>
        <w:rPr>
          <w:sz w:val="22"/>
          <w:szCs w:val="22"/>
        </w:rPr>
        <w:t xml:space="preserve">• </w:t>
      </w:r>
      <w:r>
        <w:rPr>
          <w:sz w:val="22"/>
          <w:szCs w:val="22"/>
        </w:rPr>
        <w:t xml:space="preserve">Los pacientes hospitalizados o en recuperación tienen necesidades nutricionales aumentadas y situaciones cambiantes</w:t>
      </w:r>
    </w:p>
    <w:p>
      <w:pPr>
        <w:spacing w:after="100"/>
      </w:pPr>
      <w:r>
        <w:rPr>
          <w:sz w:val="22"/>
          <w:szCs w:val="22"/>
        </w:rPr>
        <w:t xml:space="preserve">• </w:t>
      </w:r>
      <w:r>
        <w:rPr>
          <w:sz w:val="22"/>
          <w:szCs w:val="22"/>
        </w:rPr>
        <w:t xml:space="preserve">La capacitación a familiares y cuidadores es fundamental para la continuidad del cuidado en casa</w:t>
      </w:r>
    </w:p>
    <w:p>
      <w:pPr>
        <w:pStyle w:val="Heading3"/>
        <w:spacing w:before="400" w:after="100"/>
      </w:pPr>
      <w:r>
        <w:rPr>
          <w:b/>
          <w:bCs/>
          <w:sz w:val="24"/>
          <w:szCs w:val="24"/>
        </w:rPr>
        <w:t xml:space="preserve">[H2] ¿Qué Esperar en tu Consulta?</w:t>
      </w:r>
    </w:p>
    <w:p>
      <w:pPr>
        <w:spacing w:after="100"/>
      </w:pPr>
      <w:r>
        <w:rPr>
          <w:sz w:val="22"/>
          <w:szCs w:val="22"/>
        </w:rPr>
        <w:t xml:space="preserve">• </w:t>
      </w:r>
      <w:r>
        <w:rPr>
          <w:sz w:val="22"/>
          <w:szCs w:val="22"/>
        </w:rPr>
        <w:t xml:space="preserve">Evaluación coordinada con el equipo médico tratante</w:t>
      </w:r>
    </w:p>
    <w:p>
      <w:pPr>
        <w:spacing w:after="100"/>
      </w:pPr>
      <w:r>
        <w:rPr>
          <w:sz w:val="22"/>
          <w:szCs w:val="22"/>
        </w:rPr>
        <w:t xml:space="preserve">• </w:t>
      </w:r>
      <w:r>
        <w:rPr>
          <w:sz w:val="22"/>
          <w:szCs w:val="22"/>
        </w:rPr>
        <w:t xml:space="preserve">En disfagia: plan con texturas IDDSI según indicación del foniatra</w:t>
      </w:r>
    </w:p>
    <w:p>
      <w:pPr>
        <w:spacing w:after="100"/>
      </w:pPr>
      <w:r>
        <w:rPr>
          <w:sz w:val="22"/>
          <w:szCs w:val="22"/>
        </w:rPr>
        <w:t xml:space="preserve">• </w:t>
      </w:r>
      <w:r>
        <w:rPr>
          <w:sz w:val="22"/>
          <w:szCs w:val="22"/>
        </w:rPr>
        <w:t xml:space="preserve">En nutrición enteral: cálculo de fórmula, manejo de complicaciones, transición a vía oral cuando sea posible</w:t>
      </w:r>
    </w:p>
    <w:p>
      <w:pPr>
        <w:spacing w:after="100"/>
      </w:pPr>
      <w:r>
        <w:rPr>
          <w:sz w:val="22"/>
          <w:szCs w:val="22"/>
        </w:rPr>
        <w:t xml:space="preserve">• </w:t>
      </w:r>
      <w:r>
        <w:rPr>
          <w:sz w:val="22"/>
          <w:szCs w:val="22"/>
        </w:rPr>
        <w:t xml:space="preserve">Capacitación práctica a cuidadores</w:t>
      </w:r>
    </w:p>
    <w:p>
      <w:pPr>
        <w:spacing w:after="100"/>
      </w:pPr>
      <w:r>
        <w:rPr>
          <w:sz w:val="22"/>
          <w:szCs w:val="22"/>
        </w:rPr>
        <w:t xml:space="preserve">• </w:t>
      </w:r>
      <w:r>
        <w:rPr>
          <w:sz w:val="22"/>
          <w:szCs w:val="22"/>
        </w:rPr>
        <w:t xml:space="preserve">Consulta a domicilio disponible en CDMX</w:t>
      </w:r>
    </w:p>
    <w:p>
      <w:pPr>
        <w:pStyle w:val="Heading3"/>
        <w:spacing w:before="400" w:after="100"/>
      </w:pPr>
      <w:r>
        <w:rPr>
          <w:b/>
          <w:bCs/>
          <w:sz w:val="24"/>
          <w:szCs w:val="24"/>
        </w:rPr>
        <w:t xml:space="preserve">CTA Final</w:t>
      </w:r>
    </w:p>
    <w:p>
      <w:pPr>
        <w:shd w:fill="E8F5F3" w:val="clear"/>
        <w:spacing w:after="100"/>
      </w:pPr>
      <w:r>
        <w:rPr>
          <w:b/>
          <w:bCs/>
          <w:sz w:val="22"/>
          <w:szCs w:val="22"/>
        </w:rPr>
        <w:t xml:space="preserve">Si necesitas atención nutricional especializada, agenda tu consulta. Atendemos en Del Valle, CDMX, y mediante consulta en línea para todo México.</w:t>
      </w:r>
    </w:p>
    <w:p>
      <w:pPr>
        <w:spacing w:after="200"/>
      </w:pPr>
      <w:r>
        <w:rPr>
          <w:color w:val="0D6F5C"/>
          <w:sz w:val="20"/>
          <w:szCs w:val="20"/>
        </w:rPr>
        <w:t xml:space="preserve">[Botones: Hablar por WhatsApp | Agendar en Doctoralia]</w:t>
      </w:r>
    </w:p>
    <w:p>
      <w:r>
        <w:br w:type="page"/>
      </w:r>
    </w:p>
    <w:p>
      <w:pPr>
        <w:pStyle w:val="Heading2"/>
        <w:spacing w:before="400" w:after="200"/>
      </w:pPr>
      <w:r>
        <w:rPr>
          <w:b/>
          <w:bCs/>
          <w:color w:val="0D6F5C"/>
          <w:sz w:val="28"/>
          <w:szCs w:val="28"/>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 Text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hero-clinica.webp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clínica especializada en Clínica Denki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texturas-iddsi.webp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Niveles de textura IDDSI para disfagia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nutricion-enteral.webp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enteral y manejo de alimentación por sonda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capacitacion-familia-clinica.webp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Capacitación a familiares en nutrición clínica</w:t>
            </w:r>
          </w:p>
        </w:tc>
      </w:tr>
    </w:tbl>
    <w:p>
      <w:pPr>
        <w:pStyle w:val="Heading3"/>
        <w:spacing w:before="300" w:after="100"/>
      </w:pPr>
      <w:r>
        <w:rPr>
          <w:b/>
          <w:bCs/>
          <w:sz w:val="22"/>
          <w:szCs w:val="22"/>
        </w:rPr>
        <w:t xml:space="preserve">Imagen 1: hero-clinica.webp</w:t>
      </w:r>
    </w:p>
    <w:p>
      <w:pPr>
        <w:spacing w:after="100"/>
      </w:pPr>
      <w:r>
        <w:rPr>
          <w:b/>
          <w:bCs/>
          <w:sz w:val="20"/>
          <w:szCs w:val="20"/>
        </w:rPr>
        <w:t xml:space="preserve">Ratio: </w:t>
      </w:r>
      <w:r>
        <w:rPr>
          <w:sz w:val="20"/>
          <w:szCs w:val="20"/>
        </w:rPr>
        <w:t xml:space="preserve">16:9</w:t>
      </w:r>
    </w:p>
    <w:p>
      <w:pPr>
        <w:shd w:fill="F5F5F5" w:val="clear"/>
        <w:spacing w:after="100"/>
      </w:pPr>
      <w:r>
        <w:rPr>
          <w:i/>
          <w:iCs/>
          <w:sz w:val="20"/>
          <w:szCs w:val="20"/>
        </w:rPr>
        <w:t xml:space="preserve">Photorealistic photography of specialized clinical nutrition setting. Female Mexican nutritionist (30s, black straight hair, white medical coat) showing IDDSI texture samples in small containers to patient and family member. Texture-modified foods arranged professionally - purees, soft foods. Clinical equipment visible but not intimidating. Bright clinical lighting. Educational professional atmosphere. No text. 16:9 ratio.</w:t>
      </w:r>
    </w:p>
    <w:p>
      <w:pPr>
        <w:spacing w:after="200"/>
      </w:pPr>
      <w:r>
        <w:rPr>
          <w:b/>
          <w:bCs/>
          <w:sz w:val="20"/>
          <w:szCs w:val="20"/>
        </w:rPr>
        <w:t xml:space="preserve">Alt: </w:t>
      </w:r>
      <w:r>
        <w:rPr>
          <w:sz w:val="20"/>
          <w:szCs w:val="20"/>
        </w:rPr>
        <w:t xml:space="preserve">Consulta de nutrición clínica especializada en Clínica Denki</w:t>
      </w:r>
    </w:p>
    <w:p>
      <w:pPr>
        <w:pStyle w:val="Heading3"/>
        <w:spacing w:before="300" w:after="100"/>
      </w:pPr>
      <w:r>
        <w:rPr>
          <w:b/>
          <w:bCs/>
          <w:sz w:val="22"/>
          <w:szCs w:val="22"/>
        </w:rPr>
        <w:t xml:space="preserve">Imagen 2: texturas-iddsi.webp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Overhead flat lay food photography showing IDDSI texture levels comparison. Small bowls arranged in progression: thin liquid, slightly thick liquid, mildly thick, moderately thick, extremely thick, pureed food, minced moist, soft bite-sized. Professional clinical food photography. Clear visual progression of textures. Bright even lighting. Clean white background. Educational medical photography. No text labels, no people. 4:3 ratio.</w:t>
      </w:r>
    </w:p>
    <w:p>
      <w:pPr>
        <w:spacing w:after="200"/>
      </w:pPr>
      <w:r>
        <w:rPr>
          <w:b/>
          <w:bCs/>
          <w:sz w:val="20"/>
          <w:szCs w:val="20"/>
        </w:rPr>
        <w:t xml:space="preserve">Alt: </w:t>
      </w:r>
      <w:r>
        <w:rPr>
          <w:sz w:val="20"/>
          <w:szCs w:val="20"/>
        </w:rPr>
        <w:t xml:space="preserve">Niveles de textura IDDSI para disfagia</w:t>
      </w:r>
    </w:p>
    <w:p>
      <w:pPr>
        <w:pStyle w:val="Heading3"/>
        <w:spacing w:before="300" w:after="100"/>
      </w:pPr>
      <w:r>
        <w:rPr>
          <w:b/>
          <w:bCs/>
          <w:sz w:val="22"/>
          <w:szCs w:val="22"/>
        </w:rPr>
        <w:t xml:space="preserve">Imagen 3: nutricion-enteral.webp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Clean medical photography of enteral nutrition concept. Enteral feeding supplies and formula visible in clinical but not scary way. Nutritionist's hands (only hands visible, wearing white coat) preparing or adjusting feeding. Modern clinical environment. Professional medical photography. Reassuring competent atmosphere. Natural light. 4:3 ratio.</w:t>
      </w:r>
    </w:p>
    <w:p>
      <w:pPr>
        <w:spacing w:after="200"/>
      </w:pPr>
      <w:r>
        <w:rPr>
          <w:b/>
          <w:bCs/>
          <w:sz w:val="20"/>
          <w:szCs w:val="20"/>
        </w:rPr>
        <w:t xml:space="preserve">Alt: </w:t>
      </w:r>
      <w:r>
        <w:rPr>
          <w:sz w:val="20"/>
          <w:szCs w:val="20"/>
        </w:rPr>
        <w:t xml:space="preserve">Nutrición enteral y manejo de alimentación por sonda</w:t>
      </w:r>
    </w:p>
    <w:p>
      <w:pPr>
        <w:pStyle w:val="Heading3"/>
        <w:spacing w:before="300" w:after="100"/>
      </w:pPr>
      <w:r>
        <w:rPr>
          <w:b/>
          <w:bCs/>
          <w:sz w:val="22"/>
          <w:szCs w:val="22"/>
        </w:rPr>
        <w:t xml:space="preserve">Imagen 4: capacitacion-familia-clinica.webp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Photorealistic image of clinical nutrition training for family caregiver. Female Mexican nutritionist (30s, black straight hair, white coat) demonstrating food preparation technique to family member. Kitchen or clinical education area. Practical hands-on instruction with texture-modified foods. Educational materials visible. Natural light. Supportive professional teaching atmosphere. 4:3 ratio.</w:t>
      </w:r>
    </w:p>
    <w:p>
      <w:pPr>
        <w:spacing w:after="200"/>
      </w:pPr>
      <w:r>
        <w:rPr>
          <w:b/>
          <w:bCs/>
          <w:sz w:val="20"/>
          <w:szCs w:val="20"/>
        </w:rPr>
        <w:t xml:space="preserve">Alt: </w:t>
      </w:r>
      <w:r>
        <w:rPr>
          <w:sz w:val="20"/>
          <w:szCs w:val="20"/>
        </w:rPr>
        <w:t xml:space="preserve">Capacitación a familiares en nutrición clínica</w:t>
      </w:r>
    </w:p>
    <w:p>
      <w:pPr>
        <w:pStyle w:val="Heading2"/>
        <w:spacing w:before="400" w:after="200"/>
      </w:pPr>
      <w:r>
        <w:rPr>
          <w:b/>
          <w:bCs/>
          <w:color w:val="0D6F5C"/>
          <w:sz w:val="28"/>
          <w:szCs w:val="28"/>
        </w:rPr>
        <w:t xml:space="preserve">4. Schema JSON-LD</w:t>
      </w:r>
    </w:p>
    <w:p>
      <w:pPr>
        <w:spacing w:after="200"/>
      </w:pPr>
      <w:r>
        <w:rPr>
          <w:rFonts w:ascii="Courier New" w:cs="Courier New" w:eastAsia="Courier New" w:hAnsi="Courier New"/>
          <w:sz w:val="18"/>
          <w:szCs w:val="18"/>
        </w:rPr>
        <w:t xml:space="preserve">&lt;script type="application/ld+json"&gt;</w:t>
      </w:r>
    </w:p>
    <w:p>
      <w:pPr>
        <w:spacing w:after="200"/>
      </w:pPr>
      <w:r>
        <w:rPr>
          <w:rFonts w:ascii="Courier New" w:cs="Courier New" w:eastAsia="Courier New" w:hAnsi="Courier New"/>
          <w:sz w:val="18"/>
          <w:szCs w:val="18"/>
        </w:rPr>
        <w:t xml:space="preserve">{
  "@context": "https://schema.org",
  "@type": "MedicalSpecialty",
  "name": "Nutrición Clínica",
  "url": "https://clinicadenki.mx/nutricion-clinica",
  "description": "Servicios de nutrición clínica especializada en Del Valle, CDMX. Manejo de disfagia con estándares IDDSI, nutrición hospitalaria, enteral y domiciliaria. Consulta presencial y a domicilio.",
  "relevantSpecialty": "Nutrition",
  "provider": {
    "@type": "MedicalClinic",
    "name": "Clínica Denki",
    "address": {
      "@type": "PostalAddress",
      "streetAddress": "Pilares 405",
      "addressLocality": "Del Valle",
      "addressRegion": "CDMX",
      "postalCode": "03100",
      "addressCountry": "MX"
    },
    "telephone": "+52-55-5015-0285"
  }
}</w:t>
      </w:r>
    </w:p>
    <w:p>
      <w:pPr>
        <w:spacing w:after="200"/>
      </w:pPr>
      <w:r>
        <w:rPr>
          <w:rFonts w:ascii="Courier New" w:cs="Courier New" w:eastAsia="Courier New" w:hAnsi="Courier New"/>
          <w:sz w:val="18"/>
          <w:szCs w:val="18"/>
        </w:rPr>
        <w:t xml:space="preserve">&lt;/script&gt;</w:t>
      </w:r>
    </w:p>
    <w:p>
      <w:pPr>
        <w:pStyle w:val="Heading2"/>
        <w:spacing w:before="400" w:after="200"/>
      </w:pPr>
      <w:r>
        <w:rPr>
          <w:b/>
          <w:bCs/>
          <w:color w:val="0D6F5C"/>
          <w:sz w:val="28"/>
          <w:szCs w:val="28"/>
        </w:rPr>
        <w:t xml:space="preserve">5. Enlaces Internos Recomendados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 Guía Completa de Texturas IDDSI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/blog/disfagia-texturas-iddsi</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Recetas para Dieta de Textura Modificada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/blog/recetas-textura-modificada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Enteral en Casa: Guía para Familias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/blog/nutricion-enteral-casa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Neurológica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relacionado</w:t>
            </w:r>
          </w:p>
        </w:tc>
      </w:tr>
    </w:tbl>
    <w:p>
      <w:r>
        <w:br w:type="page"/>
      </w:r>
    </w:p>
    <w:p>
      <w:pPr>
        <w:pStyle w:val="Heading2"/>
        <w:spacing w:before="400" w:after="200"/>
      </w:pPr>
      <w:r>
        <w:rPr>
          <w:b/>
          <w:bCs/>
          <w:color w:val="0D6F5C"/>
          <w:sz w:val="28"/>
          <w:szCs w:val="28"/>
        </w:rPr>
        <w:t xml:space="preserve">6. Notas para Programador</w:t>
      </w:r>
    </w:p>
    <w:p>
      <w:pPr>
        <w:spacing w:after="100"/>
      </w:pPr>
      <w:r>
        <w:rPr>
          <w:sz w:val="20"/>
          <w:szCs w:val="20"/>
        </w:rPr>
        <w:t xml:space="preserve">• </w:t>
      </w:r>
      <w:r>
        <w:rPr>
          <w:rFonts w:ascii="Courier New" w:cs="Courier New" w:eastAsia="Courier New" w:hAnsi="Courier New"/>
          <w:sz w:val="20"/>
          <w:szCs w:val="20"/>
        </w:rPr>
        <w:t xml:space="preserve">Template Shopify: page.hub.liquid</w:t>
      </w:r>
    </w:p>
    <w:p>
      <w:pPr>
        <w:spacing w:after="100"/>
      </w:pPr>
      <w:r>
        <w:rPr>
          <w:sz w:val="20"/>
          <w:szCs w:val="20"/>
        </w:rPr>
        <w:t xml:space="preserve">• </w:t>
      </w:r>
      <w:r>
        <w:rPr>
          <w:rFonts w:ascii="Courier New" w:cs="Courier New" w:eastAsia="Courier New" w:hAnsi="Courier New"/>
          <w:sz w:val="20"/>
          <w:szCs w:val="20"/>
        </w:rPr>
        <w:t xml:space="preserve">Breadcrumb: Inicio &gt; Nutrición Clínica</w:t>
      </w:r>
    </w:p>
    <w:p>
      <w:pPr>
        <w:spacing w:after="100"/>
      </w:pPr>
      <w:r>
        <w:rPr>
          <w:sz w:val="20"/>
          <w:szCs w:val="20"/>
        </w:rPr>
        <w:t xml:space="preserve">• </w:t>
      </w:r>
      <w:r>
        <w:rPr>
          <w:rFonts w:ascii="Courier New" w:cs="Courier New" w:eastAsia="Courier New" w:hAnsi="Courier New"/>
          <w:sz w:val="20"/>
          <w:szCs w:val="20"/>
        </w:rPr>
        <w:t xml:space="preserve">Grid de servicios: Cards con imagen 4:3, título, descripción corta, botón "Ver más"</w:t>
      </w:r>
    </w:p>
    <w:p>
      <w:pPr>
        <w:spacing w:after="100"/>
      </w:pPr>
      <w:r>
        <w:rPr>
          <w:sz w:val="20"/>
          <w:szCs w:val="20"/>
        </w:rPr>
        <w:t xml:space="preserve">• </w:t>
      </w:r>
      <w:r>
        <w:rPr>
          <w:rFonts w:ascii="Courier New" w:cs="Courier New" w:eastAsia="Courier New" w:hAnsi="Courier New"/>
          <w:sz w:val="20"/>
          <w:szCs w:val="20"/>
        </w:rPr>
        <w:t xml:space="preserve">Lazy loading en imágenes del grid</w:t>
      </w:r>
    </w:p>
    <w:p>
      <w:pPr>
        <w:spacing w:after="100"/>
      </w:pPr>
      <w:r>
        <w:rPr>
          <w:sz w:val="20"/>
          <w:szCs w:val="20"/>
        </w:rPr>
        <w:t xml:space="preserve">• </w:t>
      </w:r>
      <w:r>
        <w:rPr>
          <w:rFonts w:ascii="Courier New" w:cs="Courier New" w:eastAsia="Courier New" w:hAnsi="Courier New"/>
          <w:sz w:val="20"/>
          <w:szCs w:val="20"/>
        </w:rPr>
        <w:t xml:space="preserve">Schema MedicalSpecialty en &lt;head&gt;</w:t>
      </w:r>
    </w:p>
    <w:p>
      <w:pPr>
        <w:spacing w:after="100"/>
      </w:pPr>
      <w:r>
        <w:rPr>
          <w:sz w:val="20"/>
          <w:szCs w:val="20"/>
        </w:rPr>
        <w:t xml:space="preserve">• </w:t>
      </w:r>
      <w:r>
        <w:rPr>
          <w:rFonts w:ascii="Courier New" w:cs="Courier New" w:eastAsia="Courier New" w:hAnsi="Courier New"/>
          <w:sz w:val="20"/>
          <w:szCs w:val="20"/>
        </w:rPr>
        <w:t xml:space="preserve">Canonical URL: https://clinicadenki.mx/nutricion-clinica</w:t>
      </w:r>
    </w:p>
    <w:p>
      <w:pPr>
        <w:spacing w:after="100"/>
      </w:pPr>
      <w:r>
        <w:rPr>
          <w:sz w:val="20"/>
          <w:szCs w:val="20"/>
        </w:rPr>
        <w:t xml:space="preserve">• </w:t>
      </w:r>
      <w:r>
        <w:rPr>
          <w:rFonts w:ascii="Courier New" w:cs="Courier New" w:eastAsia="Courier New" w:hAnsi="Courier New"/>
          <w:sz w:val="20"/>
          <w:szCs w:val="20"/>
        </w:rPr>
        <w:t xml:space="preserve">Open Graph: og:type = website</w:t>
      </w:r>
    </w:p>
    <w:p>
      <w:pPr>
        <w:spacing w:after="100"/>
      </w:pPr>
      <w:r>
        <w:rPr>
          <w:sz w:val="20"/>
          <w:szCs w:val="20"/>
        </w:rPr>
        <w:t xml:space="preserve">• </w:t>
      </w:r>
      <w:r>
        <w:rPr>
          <w:rFonts w:ascii="Courier New" w:cs="Courier New" w:eastAsia="Courier New" w:hAnsi="Courier New"/>
          <w:sz w:val="20"/>
          <w:szCs w:val="20"/>
        </w:rPr>
        <w:t xml:space="preserve">Mobile: Grid de servicios en 1 columna</w:t>
      </w:r>
    </w:p>
    <w:p>
      <w:pPr>
        <w:spacing w:after="100"/>
      </w:pPr>
      <w:r>
        <w:rPr>
          <w:sz w:val="20"/>
          <w:szCs w:val="20"/>
        </w:rPr>
        <w:t xml:space="preserve">• </w:t>
      </w:r>
      <w:r>
        <w:rPr>
          <w:rFonts w:ascii="Courier New" w:cs="Courier New" w:eastAsia="Courier New" w:hAnsi="Courier New"/>
          <w:sz w:val="20"/>
          <w:szCs w:val="20"/>
        </w:rPr>
        <w:t xml:space="preserve">CTA flotante en mobile con WhatsApp</w:t>
      </w:r>
    </w:p>
    <w:p>
      <w:pPr>
        <w:spacing w:before="600"/>
        <w:jc w:val="center"/>
      </w:pPr>
      <w:r>
        <w:rPr>
          <w:i/>
          <w:iCs/>
          <w:color w:val="666666"/>
          <w:sz w:val="20"/>
          <w:szCs w:val="20"/>
        </w:rPr>
        <w:t xml:space="preserve">--- Fin: Hub NUTRICIÓN CLÍNICA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D6F5C"/>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D6F5C"/>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2026-01-31T01:08:20.611Z</dcterms:created>
  <dcterms:modified xsi:type="dcterms:W3CDTF">2026-01-31T01:08:20.611Z</dcterms:modified>
</cp:coreProperties>
</file>

<file path=docProps/custom.xml><?xml version="1.0" encoding="utf-8"?>
<Properties xmlns="http://schemas.openxmlformats.org/officeDocument/2006/custom-properties" xmlns:vt="http://schemas.openxmlformats.org/officeDocument/2006/docPropsVTypes"/>
</file>