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color w:val="FF6F00"/>
          <w:sz w:val="28"/>
          <w:szCs w:val="28"/>
        </w:rPr>
        <w:t xml:space="preserve">LANDING - MIGRACIÓN</w:t>
      </w:r>
    </w:p>
    <w:p>
      <w:pPr>
        <w:jc w:val="center"/>
      </w:pPr>
      <w:r>
        <w:rPr>
          <w:b/>
          <w:bCs/>
          <w:color w:val="00796B"/>
          <w:sz w:val="48"/>
          <w:szCs w:val="48"/>
        </w:rPr>
        <w:t xml:space="preserve">NUTRICIÓN PARA ALZHEIMER</w:t>
      </w:r>
    </w:p>
    <w:p>
      <w:pPr>
        <w:spacing w:before="300"/>
        <w:jc w:val="center"/>
      </w:pPr>
      <w:r>
        <w:rPr>
          <w:color w:val="C62828"/>
          <w:sz w:val="16"/>
          <w:szCs w:val="16"/>
        </w:rPr>
        <w:t xml:space="preserve">⚠️ /products/consulta-alzheimer → /nutricion-neurologica/alzheimer</w:t>
      </w:r>
    </w:p>
    <w:p>
      <w:pPr>
        <w:jc w:val="center"/>
      </w:pPr>
      <w:r>
        <w:rPr>
          <w:color w:val="2E7D32"/>
          <w:sz w:val="18"/>
          <w:szCs w:val="18"/>
        </w:rPr>
        <w:t xml:space="preserve">Keyword: alzheimer (110,000/mes) | Hub: /nutricion-neurologica</w:t>
      </w:r>
    </w:p>
    <w:p>
      <w:r>
        <w:br w:type="page"/>
      </w:r>
    </w:p>
    <w:p>
      <w:pPr>
        <w:pStyle w:val="Heading1"/>
      </w:pPr>
      <w:r>
        <w:t xml:space="preserve">META TAGS</w:t>
      </w:r>
    </w:p>
    <w:p>
      <w:pPr>
        <w:shd w:fill="E3F2FD" w:val="clear"/>
      </w:pPr>
      <w:r>
        <w:rPr>
          <w:b/>
          <w:bCs/>
        </w:rPr>
        <w:t xml:space="preserve">Title: Nutrición para Alzheimer en CDMX | Clínica Denki</w:t>
      </w:r>
    </w:p>
    <w:p>
      <w:pPr>
        <w:shd w:fill="E8F5E9" w:val="clear"/>
        <w:spacing w:after="200"/>
      </w:pPr>
      <w:r>
        <w:t xml:space="preserve">Description: Atención nutricional para personas con Alzheimer y demencia. Manejo de pérdida de apetito, disfagia y desnutrición. Consulta en CDMX y a domicilio.</w:t>
      </w:r>
    </w:p>
    <w:p>
      <w:pPr>
        <w:pStyle w:val="Heading1"/>
      </w:pPr>
      <w:r>
        <w:t xml:space="preserve">COPY COMPLETO</w:t>
      </w:r>
    </w:p>
    <w:p>
      <w:pPr>
        <w:pStyle w:val="Heading2"/>
      </w:pPr>
      <w:r>
        <w:t xml:space="preserve">Hero</w:t>
      </w:r>
    </w:p>
    <w:p>
      <w:pPr>
        <w:shd w:fill="E3F2FD" w:val="clear"/>
      </w:pPr>
      <w:r>
        <w:rPr>
          <w:b/>
          <w:bCs/>
        </w:rPr>
        <w:t xml:space="preserve">[H1] Nutrición para Alzheimer y Demencia en CDMX</w:t>
      </w:r>
    </w:p>
    <w:p>
      <w:pPr>
        <w:spacing w:after="150"/>
      </w:pPr>
      <w:r>
        <w:t xml:space="preserve">Atención nutricional especializada para personas con Alzheimer y otros tipos de demencia. Manejo de pérdida de apetito, disfagia y prevención de desnutrición. Consulta presencial, a domicilio y en línea.</w:t>
      </w:r>
    </w:p>
    <w:p>
      <w:pPr>
        <w:pStyle w:val="Heading2"/>
      </w:pPr>
      <w:r>
        <w:t xml:space="preserve">Estadística</w:t>
      </w:r>
    </w:p>
    <w:p>
      <w:pPr>
        <w:shd w:fill="FFF8E1" w:val="clear"/>
        <w:spacing w:after="150"/>
      </w:pPr>
      <w:r>
        <w:t xml:space="preserve">El Alzheimer afecta a más de 1.3 millones de personas en México. Hasta el 40% de las personas con demencia moderada a severa experimenta pérdida de peso significativa, lo que aumenta la fragilidad y complicaciones.</w:t>
      </w:r>
    </w:p>
    <w:p>
      <w:pPr>
        <w:pStyle w:val="Heading2"/>
      </w:pPr>
      <w:r>
        <w:t xml:space="preserve">[H2] ¿Cómo afecta el Alzheimer la alimentación?</w:t>
      </w:r>
    </w:p>
    <w:p>
      <w:r>
        <w:t xml:space="preserve">La demencia presenta múltiples desafíos para la alimentación:</w:t>
      </w:r>
    </w:p>
    <w:p>
      <w:pPr>
        <w:pStyle w:val="ListParagraph"/>
        <w:numPr>
          <w:ilvl w:val="0"/>
          <w:numId w:val="2"/>
        </w:numPr>
      </w:pPr>
      <w:r>
        <w:rPr>
          <w:b/>
          <w:bCs/>
        </w:rPr>
        <w:t xml:space="preserve">Olvido de comer: </w:t>
      </w:r>
      <w:r>
        <w:t xml:space="preserve">La persona puede olvidar que no ha comido o que ya comió</w:t>
      </w:r>
    </w:p>
    <w:p>
      <w:pPr>
        <w:pStyle w:val="ListParagraph"/>
        <w:numPr>
          <w:ilvl w:val="0"/>
          <w:numId w:val="2"/>
        </w:numPr>
      </w:pPr>
      <w:r>
        <w:rPr>
          <w:b/>
          <w:bCs/>
        </w:rPr>
        <w:t xml:space="preserve">Pérdida de apetito: </w:t>
      </w:r>
      <w:r>
        <w:t xml:space="preserve">Desinterés por la comida, cambios en percepción de sabores</w:t>
      </w:r>
    </w:p>
    <w:p>
      <w:pPr>
        <w:pStyle w:val="ListParagraph"/>
        <w:numPr>
          <w:ilvl w:val="0"/>
          <w:numId w:val="2"/>
        </w:numPr>
      </w:pPr>
      <w:r>
        <w:rPr>
          <w:b/>
          <w:bCs/>
        </w:rPr>
        <w:t xml:space="preserve">Dificultad para alimentarse: </w:t>
      </w:r>
      <w:r>
        <w:t xml:space="preserve">Problemas para usar cubiertos, llevar comida a la boca</w:t>
      </w:r>
    </w:p>
    <w:p>
      <w:pPr>
        <w:pStyle w:val="ListParagraph"/>
        <w:numPr>
          <w:ilvl w:val="0"/>
          <w:numId w:val="2"/>
        </w:numPr>
      </w:pPr>
      <w:r>
        <w:rPr>
          <w:b/>
          <w:bCs/>
        </w:rPr>
        <w:t xml:space="preserve">Disfagia: </w:t>
      </w:r>
      <w:r>
        <w:t xml:space="preserve">Dificultad para tragar en etapas avanzadas</w:t>
      </w:r>
    </w:p>
    <w:p>
      <w:pPr>
        <w:pStyle w:val="ListParagraph"/>
        <w:numPr>
          <w:ilvl w:val="0"/>
          <w:numId w:val="2"/>
        </w:numPr>
        <w:spacing w:after="150"/>
      </w:pPr>
      <w:r>
        <w:rPr>
          <w:b/>
          <w:bCs/>
        </w:rPr>
        <w:t xml:space="preserve">Rechazo de alimentos: </w:t>
      </w:r>
      <w:r>
        <w:t xml:space="preserve">Pueden rechazar alimentos nuevos o no reconocerlos</w:t>
      </w:r>
    </w:p>
    <w:p>
      <w:pPr>
        <w:pStyle w:val="Heading2"/>
      </w:pPr>
      <w:r>
        <w:t xml:space="preserve">[H2] Nuestro Enfoque</w:t>
      </w:r>
    </w:p>
    <w:p>
      <w:pPr>
        <w:pStyle w:val="ListParagraph"/>
        <w:numPr>
          <w:ilvl w:val="0"/>
          <w:numId w:val="2"/>
        </w:numPr>
      </w:pPr>
      <w:r>
        <w:rPr>
          <w:b/>
          <w:bCs/>
        </w:rPr>
        <w:t xml:space="preserve">Evaluación por etapa: </w:t>
      </w:r>
      <w:r>
        <w:t xml:space="preserve">Adaptamos las estrategias según el estadio de la enfermedad</w:t>
      </w:r>
    </w:p>
    <w:p>
      <w:pPr>
        <w:pStyle w:val="ListParagraph"/>
        <w:numPr>
          <w:ilvl w:val="0"/>
          <w:numId w:val="2"/>
        </w:numPr>
      </w:pPr>
      <w:r>
        <w:rPr>
          <w:b/>
          <w:bCs/>
        </w:rPr>
        <w:t xml:space="preserve">Alimentos familiares: </w:t>
      </w:r>
      <w:r>
        <w:t xml:space="preserve">Priorizamos comidas que la persona conoce y acepta</w:t>
      </w:r>
    </w:p>
    <w:p>
      <w:pPr>
        <w:pStyle w:val="ListParagraph"/>
        <w:numPr>
          <w:ilvl w:val="0"/>
          <w:numId w:val="2"/>
        </w:numPr>
      </w:pPr>
      <w:r>
        <w:rPr>
          <w:b/>
          <w:bCs/>
        </w:rPr>
        <w:t xml:space="preserve">Finger foods: </w:t>
      </w:r>
      <w:r>
        <w:t xml:space="preserve">Alimentos que se pueden comer con las manos si hay dificultad con cubiertos</w:t>
      </w:r>
    </w:p>
    <w:p>
      <w:pPr>
        <w:pStyle w:val="ListParagraph"/>
        <w:numPr>
          <w:ilvl w:val="0"/>
          <w:numId w:val="2"/>
        </w:numPr>
      </w:pPr>
      <w:r>
        <w:rPr>
          <w:b/>
          <w:bCs/>
        </w:rPr>
        <w:t xml:space="preserve">Texturas modificadas: </w:t>
      </w:r>
      <w:r>
        <w:t xml:space="preserve">Si hay disfagia, adaptamos según estándares IDDSI</w:t>
      </w:r>
    </w:p>
    <w:p>
      <w:pPr>
        <w:pStyle w:val="ListParagraph"/>
        <w:numPr>
          <w:ilvl w:val="0"/>
          <w:numId w:val="2"/>
        </w:numPr>
        <w:spacing w:after="150"/>
      </w:pPr>
      <w:r>
        <w:rPr>
          <w:b/>
          <w:bCs/>
        </w:rPr>
        <w:t xml:space="preserve">Capacitación a cuidadores: </w:t>
      </w:r>
      <w:r>
        <w:t xml:space="preserve">Enseñamos técnicas para facilitar la alimentación</w:t>
      </w:r>
    </w:p>
    <w:p>
      <w:pPr>
        <w:pStyle w:val="Heading2"/>
      </w:pPr>
      <w:r>
        <w:t xml:space="preserve">FAQs</w:t>
      </w:r>
    </w:p>
    <w:p>
      <w:pPr>
        <w:shd w:fill="F5F5F5" w:val="clear"/>
      </w:pPr>
      <w:r>
        <w:rPr>
          <w:b/>
          <w:bCs/>
        </w:rPr>
        <w:t xml:space="preserve">¿Qué hago si mi familiar rechaza la comida?</w:t>
      </w:r>
    </w:p>
    <w:p>
      <w:pPr>
        <w:shd w:fill="F5F5F5" w:val="clear"/>
        <w:spacing w:after="80"/>
      </w:pPr>
      <w:r>
        <w:t xml:space="preserve">El rechazo puede tener varias causas. Evaluamos si hay problemas de deglución, dolor dental, efectos de medicamentos o simplemente preferencias. Diseñamos estrategias específicas.</w:t>
      </w:r>
    </w:p>
    <w:p>
      <w:r>
        <w:rPr>
          <w:b/>
          <w:bCs/>
        </w:rPr>
        <w:t xml:space="preserve">¿Es normal que haya perdido peso?</w:t>
      </w:r>
    </w:p>
    <w:p>
      <w:pPr>
        <w:spacing w:after="80"/>
      </w:pPr>
      <w:r>
        <w:t xml:space="preserve">La pérdida de peso es común en demencia pero no debe ignorarse. Un plan nutricional adecuado puede ayudar a estabilizarlo o recuperarlo.</w:t>
      </w:r>
    </w:p>
    <w:p>
      <w:pPr>
        <w:shd w:fill="F5F5F5" w:val="clear"/>
      </w:pPr>
      <w:r>
        <w:rPr>
          <w:b/>
          <w:bCs/>
        </w:rPr>
        <w:t xml:space="preserve">¿Ofrecen capacitación para cuidadores?</w:t>
      </w:r>
    </w:p>
    <w:p>
      <w:pPr>
        <w:shd w:fill="F5F5F5" w:val="clear"/>
        <w:spacing w:after="150"/>
      </w:pPr>
      <w:r>
        <w:t xml:space="preserve">Sí, parte fundamental de la consulta es enseñar al cuidador técnicas de alimentación, preparación y manejo de situaciones difíciles.</w:t>
      </w:r>
    </w:p>
    <w:p>
      <w:pPr>
        <w:pStyle w:val="Heading2"/>
      </w:pPr>
      <w:r>
        <w:t xml:space="preserve">CTA Final</w:t>
      </w:r>
    </w:p>
    <w:p>
      <w:pPr>
        <w:shd w:fill="E8F5E9" w:val="clear"/>
      </w:pPr>
      <w:r>
        <w:t xml:space="preserve">[H2] Agenda tu consulta especializada</w:t>
      </w:r>
    </w:p>
    <w:p>
      <w:r>
        <w:t xml:space="preserve">Si tu familiar tiene Alzheimer o demencia y necesita orientación nutricional, podemos ayudarte. Atendemos presencial, a domicilio en CDMX y en línea.</w:t>
      </w:r>
    </w:p>
    <w:p>
      <w:pPr>
        <w:shd w:fill="E8F5E9" w:val="clear"/>
        <w:spacing w:after="150"/>
      </w:pPr>
      <w:r>
        <w:rPr>
          <w:b/>
          <w:bCs/>
        </w:rPr>
        <w:t xml:space="preserve">• Hablar por WhatsApp  • Agendar en Doctoralia</w:t>
      </w:r>
    </w:p>
    <w:p>
      <w:pPr>
        <w:pStyle w:val="Heading1"/>
      </w:pPr>
      <w:r>
        <w:t xml:space="preserve">PROMPT NANOBANA</w:t>
      </w:r>
    </w:p>
    <w:p>
      <w:pPr>
        <w:shd w:fill="F5F5F5" w:val="clear"/>
      </w:pPr>
      <w:r>
        <w:rPr>
          <w:rFonts w:ascii="Courier New" w:cs="Courier New" w:eastAsia="Courier New" w:hAnsi="Courier New"/>
          <w:sz w:val="14"/>
          <w:szCs w:val="14"/>
        </w:rPr>
        <w:t xml:space="preserve">hero-alzheimer.webp (16:9): "Photorealistic photography of gentle nutrition consultation for Alzheimer patient. Mexican female nutritionist with black straight hair wearing white coat, speaking with elderly patient and adult family caregiver who takes notes. Finger foods and easy-to-eat items visible. Soft natural light. Modern clinical setting. Compassionate, patient interaction. 16:9 ratio."</w:t>
      </w:r>
    </w:p>
    <w:p>
      <w:pPr>
        <w:spacing w:before="300"/>
        <w:jc w:val="center"/>
      </w:pPr>
      <w:r>
        <w:rPr>
          <w:i/>
          <w:iCs/>
          <w:color w:val="888888"/>
        </w:rPr>
        <w:t xml:space="preserve">— Fin: Alzheimer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2026-01-30T16:12:38.577Z</dcterms:created>
  <dcterms:modified xsi:type="dcterms:W3CDTF">2026-01-30T16:12:38.577Z</dcterms:modified>
</cp:coreProperties>
</file>

<file path=docProps/custom.xml><?xml version="1.0" encoding="utf-8"?>
<Properties xmlns="http://schemas.openxmlformats.org/officeDocument/2006/custom-properties" xmlns:vt="http://schemas.openxmlformats.org/officeDocument/2006/docPropsVTypes"/>
</file>