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6B7280"/>
          <w:sz w:val="18"/>
          <w:szCs w:val="18"/>
        </w:rPr>
        <w:t xml:space="preserve">FICHA SEO - LANDING PAGE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10B981" w:sz="2"/>
              <w:right w:val="none" w:sz="0"/>
            </w:tcBorders>
          </w:tcPr>
          <w:p>
            <w:pPr>
              <w:spacing w:after="0"/>
            </w:pP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065F46" w:val="clear"/>
            <w:tcMar>
              <w:top w:type="dxa" w:w="100"/>
              <w:left w:type="dxa" w:w="140"/>
              <w:bottom w:type="dxa" w:w="100"/>
              <w:right w:type="dxa" w:w="140"/>
            </w:tcMar>
          </w:tcPr>
          <w:p>
            <w:r>
              <w:rPr>
                <w:rFonts w:ascii="Arial" w:cs="Arial" w:eastAsia="Arial" w:hAnsi="Arial"/>
                <w:b/>
                <w:bCs/>
                <w:color w:val="FFFFFF"/>
                <w:sz w:val="20"/>
                <w:szCs w:val="20"/>
              </w:rPr>
              <w:t xml:space="preserve">Campo</w:t>
            </w:r>
          </w:p>
        </w:tc>
        <w:tc>
          <w:tcPr>
            <w:tcW w:type="dxa" w:w="4680"/>
            <w:tcBorders>
              <w:top w:val="single" w:color="D1D5DB" w:sz="1"/>
              <w:left w:val="single" w:color="D1D5DB" w:sz="1"/>
              <w:bottom w:val="single" w:color="D1D5DB" w:sz="1"/>
              <w:right w:val="single" w:color="D1D5DB" w:sz="1"/>
            </w:tcBorders>
            <w:shd w:fill="065F46" w:val="clear"/>
            <w:tcMar>
              <w:top w:type="dxa" w:w="100"/>
              <w:left w:type="dxa" w:w="140"/>
              <w:bottom w:type="dxa" w:w="100"/>
              <w:right w:type="dxa" w:w="140"/>
            </w:tcMar>
          </w:tcPr>
          <w:p>
            <w:r>
              <w:rPr>
                <w:rFonts w:ascii="Arial" w:cs="Arial" w:eastAsia="Arial" w:hAnsi="Arial"/>
                <w:b/>
                <w:bCs/>
                <w:color w:val="FFFFFF"/>
                <w:sz w:val="20"/>
                <w:szCs w:val="20"/>
              </w:rPr>
              <w:t xml:space="preserve">Valor</w:t>
            </w:r>
          </w:p>
        </w:tc>
      </w:tr>
      <w:tr>
        <w:tc>
          <w:tcPr>
            <w:tcW w:type="dxa" w:w="468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color w:val="374151"/>
                <w:sz w:val="20"/>
                <w:szCs w:val="20"/>
              </w:rPr>
              <w:t xml:space="preserve">URL</w:t>
            </w:r>
          </w:p>
        </w:tc>
        <w:tc>
          <w:tcPr>
            <w:tcW w:type="dxa" w:w="468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color w:val="374151"/>
                <w:sz w:val="20"/>
                <w:szCs w:val="20"/>
              </w:rPr>
              <w:t xml:space="preserve">/servicios/nutricion-clinica-hospitalaria/</w:t>
            </w:r>
          </w:p>
        </w:tc>
      </w:tr>
      <w:tr>
        <w:tc>
          <w:tcPr>
            <w:tcW w:type="dxa" w:w="46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Title Tag</w:t>
            </w:r>
          </w:p>
        </w:tc>
        <w:tc>
          <w:tcPr>
            <w:tcW w:type="dxa" w:w="46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Nutrición Clínica Hospitalaria | Clínica Denki CDMX (56 caracteres)</w:t>
            </w:r>
          </w:p>
        </w:tc>
      </w:tr>
      <w:tr>
        <w:tc>
          <w:tcPr>
            <w:tcW w:type="dxa" w:w="468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color w:val="374151"/>
                <w:sz w:val="20"/>
                <w:szCs w:val="20"/>
              </w:rPr>
              <w:t xml:space="preserve">Meta Description</w:t>
            </w:r>
          </w:p>
        </w:tc>
        <w:tc>
          <w:tcPr>
            <w:tcW w:type="dxa" w:w="468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color w:val="374151"/>
                <w:sz w:val="20"/>
                <w:szCs w:val="20"/>
              </w:rPr>
              <w:t xml:space="preserve">Servicio de nutrición clínica hospitalaria en CDMX. Soporte nutricional especializado para pacientes hospitalizados, pre y postquirúrgicos. Agenda tu consulta. (155 caracteres)</w:t>
            </w:r>
          </w:p>
        </w:tc>
      </w:tr>
      <w:tr>
        <w:tc>
          <w:tcPr>
            <w:tcW w:type="dxa" w:w="46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Keyword Principal</w:t>
            </w:r>
          </w:p>
        </w:tc>
        <w:tc>
          <w:tcPr>
            <w:tcW w:type="dxa" w:w="46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nutrición clínica hospitalaria (3,100 búsquedas/mes)</w:t>
            </w:r>
          </w:p>
        </w:tc>
      </w:tr>
      <w:tr>
        <w:tc>
          <w:tcPr>
            <w:tcW w:type="dxa" w:w="468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color w:val="374151"/>
                <w:sz w:val="20"/>
                <w:szCs w:val="20"/>
              </w:rPr>
              <w:t xml:space="preserve">Keywords Secundarias</w:t>
            </w:r>
          </w:p>
        </w:tc>
        <w:tc>
          <w:tcPr>
            <w:tcW w:type="dxa" w:w="468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color w:val="374151"/>
                <w:sz w:val="20"/>
                <w:szCs w:val="20"/>
              </w:rPr>
              <w:t xml:space="preserve">nutrición hospitalaria, soporte nutricional hospitalario, nutriólogo hospitalario, alimentación hospitalaria, nutrición prequirúrgica, nutrición postquirúrgica</w:t>
            </w:r>
          </w:p>
        </w:tc>
      </w:tr>
      <w:tr>
        <w:tc>
          <w:tcPr>
            <w:tcW w:type="dxa" w:w="46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Schema</w:t>
            </w:r>
          </w:p>
        </w:tc>
        <w:tc>
          <w:tcPr>
            <w:tcW w:type="dxa" w:w="46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MedicalWebPage + Service + FAQPage</w:t>
            </w:r>
          </w:p>
        </w:tc>
      </w:tr>
      <w:tr>
        <w:tc>
          <w:tcPr>
            <w:tcW w:type="dxa" w:w="468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color w:val="374151"/>
                <w:sz w:val="20"/>
                <w:szCs w:val="20"/>
              </w:rPr>
              <w:t xml:space="preserve">Volumen Total Cluster</w:t>
            </w:r>
          </w:p>
        </w:tc>
        <w:tc>
          <w:tcPr>
            <w:tcW w:type="dxa" w:w="468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color w:val="374151"/>
                <w:sz w:val="20"/>
                <w:szCs w:val="20"/>
              </w:rPr>
              <w:t xml:space="preserve">~3,100 búsquedas/mes</w:t>
            </w:r>
          </w:p>
        </w:tc>
      </w:tr>
    </w:tbl>
    <w:p>
      <w:r>
        <w:br w:type="page"/>
      </w:r>
    </w:p>
    <w:p>
      <w:pPr>
        <w:spacing w:after="120"/>
      </w:pPr>
      <w:r>
        <w:rPr>
          <w:rFonts w:ascii="Arial" w:cs="Arial" w:eastAsia="Arial" w:hAnsi="Arial"/>
          <w:color w:val="6B7280"/>
          <w:sz w:val="18"/>
          <w:szCs w:val="18"/>
        </w:rPr>
        <w:t xml:space="preserve">Inicio  &gt;  Servicios  &gt;  Nutrición Clínica Hospitalaria</w:t>
      </w:r>
    </w:p>
    <w:p>
      <w:pPr>
        <w:pStyle w:val="Heading1"/>
        <w:spacing w:after="200"/>
      </w:pPr>
      <w:r>
        <w:rPr>
          <w:color w:val="065F46"/>
        </w:rPr>
        <w:t xml:space="preserve">Nutrición Clínica Hospitalaria en CDMX</w:t>
      </w:r>
    </w:p>
    <w:p>
      <w:pPr>
        <w:spacing w:after="160" w:line="300"/>
      </w:pPr>
      <w:r>
        <w:rPr>
          <w:rFonts w:ascii="Arial" w:cs="Arial" w:eastAsia="Arial" w:hAnsi="Arial"/>
          <w:color w:val="374151"/>
          <w:sz w:val="22"/>
          <w:szCs w:val="22"/>
        </w:rPr>
        <w:t xml:space="preserve">Cuando un paciente está hospitalizado, lo que come no es un detalle menor: es parte del tratamiento. La nutrición clínica hospitalaria se encarga de evaluar, diseñar y supervisar el soporte nutricional de personas que enfrentan situaciones médicas complejas: cirugías, enfermedades críticas, procesos oncológicos o estancias prolongadas que comprometen su estado nutricional.</w:t>
      </w:r>
    </w:p>
    <w:p>
      <w:pPr>
        <w:spacing w:after="160" w:line="300"/>
      </w:pPr>
      <w:r>
        <w:rPr>
          <w:rFonts w:ascii="Arial" w:cs="Arial" w:eastAsia="Arial" w:hAnsi="Arial"/>
          <w:color w:val="374151"/>
          <w:sz w:val="22"/>
          <w:szCs w:val="22"/>
        </w:rPr>
        <w:t xml:space="preserve">En Clínica Denki ofrecemos acompañamiento nutricional especializado para pacientes hospitalizados y sus familias, trabajando en coordinación con el equipo médico para que la alimentación contribuya activamente a la recuperación.</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sz="0"/>
              <w:left w:val="none" w:sz="0"/>
              <w:bottom w:val="none" w:sz="0"/>
              <w:right w:val="none" w:sz="0"/>
            </w:tcBorders>
            <w:shd w:fill="D1FAE5" w:val="clear"/>
            <w:tcMar>
              <w:top w:type="dxa" w:w="140"/>
              <w:left w:type="dxa" w:w="120"/>
              <w:bottom w:type="dxa" w:w="140"/>
              <w:right w:type="dxa" w:w="120"/>
            </w:tcMar>
            <w:vAlign w:val="center"/>
          </w:tcPr>
          <w:p>
            <w:pPr>
              <w:spacing w:after="40"/>
              <w:jc w:val="center"/>
            </w:pPr>
            <w:r>
              <w:rPr>
                <w:rFonts w:ascii="Arial" w:cs="Arial" w:eastAsia="Arial" w:hAnsi="Arial"/>
                <w:b/>
                <w:bCs/>
                <w:color w:val="10B981"/>
                <w:sz w:val="28"/>
                <w:szCs w:val="28"/>
              </w:rPr>
              <w:t xml:space="preserve">15+</w:t>
            </w:r>
          </w:p>
          <w:p>
            <w:pPr>
              <w:spacing w:after="0"/>
              <w:jc w:val="center"/>
            </w:pPr>
            <w:r>
              <w:rPr>
                <w:rFonts w:ascii="Arial" w:cs="Arial" w:eastAsia="Arial" w:hAnsi="Arial"/>
                <w:color w:val="065F46"/>
                <w:sz w:val="18"/>
                <w:szCs w:val="18"/>
              </w:rPr>
              <w:t xml:space="preserve">años de experiencia clínica</w:t>
            </w:r>
          </w:p>
        </w:tc>
        <w:tc>
          <w:tcPr>
            <w:tcW w:type="dxa" w:w="3120"/>
            <w:tcBorders>
              <w:top w:val="none" w:sz="0"/>
              <w:left w:val="none" w:sz="0"/>
              <w:bottom w:val="none" w:sz="0"/>
              <w:right w:val="none" w:sz="0"/>
            </w:tcBorders>
            <w:shd w:fill="D1FAE5" w:val="clear"/>
            <w:tcMar>
              <w:top w:type="dxa" w:w="140"/>
              <w:left w:type="dxa" w:w="120"/>
              <w:bottom w:type="dxa" w:w="140"/>
              <w:right w:type="dxa" w:w="120"/>
            </w:tcMar>
            <w:vAlign w:val="center"/>
          </w:tcPr>
          <w:p>
            <w:pPr>
              <w:spacing w:after="40"/>
              <w:jc w:val="center"/>
            </w:pPr>
            <w:r>
              <w:rPr>
                <w:rFonts w:ascii="Arial" w:cs="Arial" w:eastAsia="Arial" w:hAnsi="Arial"/>
                <w:b/>
                <w:bCs/>
                <w:color w:val="10B981"/>
                <w:sz w:val="28"/>
                <w:szCs w:val="28"/>
              </w:rPr>
              <w:t xml:space="preserve">Coordinación</w:t>
            </w:r>
          </w:p>
          <w:p>
            <w:pPr>
              <w:spacing w:after="0"/>
              <w:jc w:val="center"/>
            </w:pPr>
            <w:r>
              <w:rPr>
                <w:rFonts w:ascii="Arial" w:cs="Arial" w:eastAsia="Arial" w:hAnsi="Arial"/>
                <w:color w:val="065F46"/>
                <w:sz w:val="18"/>
                <w:szCs w:val="18"/>
              </w:rPr>
              <w:t xml:space="preserve">directa con equipo médico</w:t>
            </w:r>
          </w:p>
        </w:tc>
        <w:tc>
          <w:tcPr>
            <w:tcW w:type="dxa" w:w="3120"/>
            <w:tcBorders>
              <w:top w:val="none" w:sz="0"/>
              <w:left w:val="none" w:sz="0"/>
              <w:bottom w:val="none" w:sz="0"/>
              <w:right w:val="none" w:sz="0"/>
            </w:tcBorders>
            <w:shd w:fill="D1FAE5" w:val="clear"/>
            <w:tcMar>
              <w:top w:type="dxa" w:w="140"/>
              <w:left w:type="dxa" w:w="120"/>
              <w:bottom w:type="dxa" w:w="140"/>
              <w:right w:type="dxa" w:w="120"/>
            </w:tcMar>
            <w:vAlign w:val="center"/>
          </w:tcPr>
          <w:p>
            <w:pPr>
              <w:spacing w:after="40"/>
              <w:jc w:val="center"/>
            </w:pPr>
            <w:r>
              <w:rPr>
                <w:rFonts w:ascii="Arial" w:cs="Arial" w:eastAsia="Arial" w:hAnsi="Arial"/>
                <w:b/>
                <w:bCs/>
                <w:color w:val="10B981"/>
                <w:sz w:val="28"/>
                <w:szCs w:val="28"/>
              </w:rPr>
              <w:t xml:space="preserve">Pre y Post</w:t>
            </w:r>
          </w:p>
          <w:p>
            <w:pPr>
              <w:spacing w:after="0"/>
              <w:jc w:val="center"/>
            </w:pPr>
            <w:r>
              <w:rPr>
                <w:rFonts w:ascii="Arial" w:cs="Arial" w:eastAsia="Arial" w:hAnsi="Arial"/>
                <w:color w:val="065F46"/>
                <w:sz w:val="18"/>
                <w:szCs w:val="18"/>
              </w:rPr>
              <w:t xml:space="preserve">soporte quirúrgico integral</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10B981" w:sz="2"/>
              <w:right w:val="none" w:sz="0"/>
            </w:tcBorders>
          </w:tcPr>
          <w:p>
            <w:pPr>
              <w:spacing w:after="0"/>
            </w:pPr>
          </w:p>
        </w:tc>
      </w:tr>
    </w:tbl>
    <w:p>
      <w:pPr>
        <w:spacing w:after="100"/>
      </w:pPr>
    </w:p>
    <w:p>
      <w:pPr>
        <w:pStyle w:val="Heading2"/>
      </w:pPr>
      <w:r>
        <w:rPr>
          <w:color w:val="065F46"/>
        </w:rPr>
        <w:t xml:space="preserve">¿Qué es la Nutrición Clínica Hospitalaria?</w:t>
      </w:r>
    </w:p>
    <w:p>
      <w:pPr>
        <w:spacing w:after="160" w:line="300"/>
      </w:pPr>
      <w:r>
        <w:rPr>
          <w:rFonts w:ascii="Arial" w:cs="Arial" w:eastAsia="Arial" w:hAnsi="Arial"/>
          <w:color w:val="374151"/>
          <w:sz w:val="22"/>
          <w:szCs w:val="22"/>
        </w:rPr>
        <w:t xml:space="preserve">La nutrición clínica hospitalaria es la rama de la nutriología que se especializa en el manejo alimentario de pacientes durante su estancia en el hospital. No se trata simplemente de elegir un menú: implica evaluar el estado nutricional del paciente, calcular sus requerimientos específicos según su condición médica, y definir la vía de alimentación más segura y efectiva.</w:t>
      </w:r>
    </w:p>
    <w:p>
      <w:pPr>
        <w:spacing w:after="160" w:line="300"/>
      </w:pPr>
      <w:r>
        <w:rPr>
          <w:rFonts w:ascii="Arial" w:cs="Arial" w:eastAsia="Arial" w:hAnsi="Arial"/>
          <w:color w:val="374151"/>
          <w:sz w:val="22"/>
          <w:szCs w:val="22"/>
        </w:rPr>
        <w:t xml:space="preserve">Un paciente hospitalizado enfrenta desafíos nutricionales que la población general no tiene: ayunos prolongados por procedimientos, alteraciones metabólicas por la enfermedad, dificultad para alimentarse por vía oral, o necesidades calóricas y proteicas muy distintas a las habituales. Sin intervención nutricional oportuna, la desnutrición hospitalaria puede retrasar la recuperación, aumentar complicaciones y prolongar la estancia.</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065F46" w:val="clear"/>
            <w:tcMar>
              <w:top w:type="dxa" w:w="100"/>
              <w:left w:type="dxa" w:w="140"/>
              <w:bottom w:type="dxa" w:w="100"/>
              <w:right w:type="dxa" w:w="140"/>
            </w:tcMar>
          </w:tcPr>
          <w:p>
            <w:r>
              <w:rPr>
                <w:rFonts w:ascii="Arial" w:cs="Arial" w:eastAsia="Arial" w:hAnsi="Arial"/>
                <w:b/>
                <w:bCs/>
                <w:color w:val="FFFFFF"/>
                <w:sz w:val="20"/>
                <w:szCs w:val="20"/>
              </w:rPr>
              <w:t xml:space="preserve">Indicador</w:t>
            </w:r>
          </w:p>
        </w:tc>
        <w:tc>
          <w:tcPr>
            <w:tcW w:type="dxa" w:w="3120"/>
            <w:tcBorders>
              <w:top w:val="single" w:color="D1D5DB" w:sz="1"/>
              <w:left w:val="single" w:color="D1D5DB" w:sz="1"/>
              <w:bottom w:val="single" w:color="D1D5DB" w:sz="1"/>
              <w:right w:val="single" w:color="D1D5DB" w:sz="1"/>
            </w:tcBorders>
            <w:shd w:fill="065F46" w:val="clear"/>
            <w:tcMar>
              <w:top w:type="dxa" w:w="100"/>
              <w:left w:type="dxa" w:w="140"/>
              <w:bottom w:type="dxa" w:w="100"/>
              <w:right w:type="dxa" w:w="140"/>
            </w:tcMar>
          </w:tcPr>
          <w:p>
            <w:r>
              <w:rPr>
                <w:rFonts w:ascii="Arial" w:cs="Arial" w:eastAsia="Arial" w:hAnsi="Arial"/>
                <w:b/>
                <w:bCs/>
                <w:color w:val="FFFFFF"/>
                <w:sz w:val="20"/>
                <w:szCs w:val="20"/>
              </w:rPr>
              <w:t xml:space="preserve">Sin soporte nutricional</w:t>
            </w:r>
          </w:p>
        </w:tc>
        <w:tc>
          <w:tcPr>
            <w:tcW w:type="dxa" w:w="3120"/>
            <w:tcBorders>
              <w:top w:val="single" w:color="D1D5DB" w:sz="1"/>
              <w:left w:val="single" w:color="D1D5DB" w:sz="1"/>
              <w:bottom w:val="single" w:color="D1D5DB" w:sz="1"/>
              <w:right w:val="single" w:color="D1D5DB" w:sz="1"/>
            </w:tcBorders>
            <w:shd w:fill="065F46" w:val="clear"/>
            <w:tcMar>
              <w:top w:type="dxa" w:w="100"/>
              <w:left w:type="dxa" w:w="140"/>
              <w:bottom w:type="dxa" w:w="100"/>
              <w:right w:type="dxa" w:w="140"/>
            </w:tcMar>
          </w:tcPr>
          <w:p>
            <w:r>
              <w:rPr>
                <w:rFonts w:ascii="Arial" w:cs="Arial" w:eastAsia="Arial" w:hAnsi="Arial"/>
                <w:b/>
                <w:bCs/>
                <w:color w:val="FFFFFF"/>
                <w:sz w:val="20"/>
                <w:szCs w:val="20"/>
              </w:rPr>
              <w:t xml:space="preserve">Con soporte nutricional</w:t>
            </w:r>
          </w:p>
        </w:tc>
      </w:tr>
      <w:tr>
        <w:tc>
          <w:tcPr>
            <w:tcW w:type="dxa" w:w="312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color w:val="374151"/>
                <w:sz w:val="20"/>
                <w:szCs w:val="20"/>
              </w:rPr>
              <w:t xml:space="preserve">Días de estancia promedio</w:t>
            </w:r>
          </w:p>
        </w:tc>
        <w:tc>
          <w:tcPr>
            <w:tcW w:type="dxa" w:w="312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color w:val="374151"/>
                <w:sz w:val="20"/>
                <w:szCs w:val="20"/>
              </w:rPr>
              <w:t xml:space="preserve">12-18 días</w:t>
            </w:r>
          </w:p>
        </w:tc>
        <w:tc>
          <w:tcPr>
            <w:tcW w:type="dxa" w:w="312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color w:val="374151"/>
                <w:sz w:val="20"/>
                <w:szCs w:val="20"/>
              </w:rPr>
              <w:t xml:space="preserve">8-12 días</w:t>
            </w:r>
          </w:p>
        </w:tc>
      </w:tr>
      <w:tr>
        <w:tc>
          <w:tcPr>
            <w:tcW w:type="dxa" w:w="31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Complicaciones infecciosas</w:t>
            </w:r>
          </w:p>
        </w:tc>
        <w:tc>
          <w:tcPr>
            <w:tcW w:type="dxa" w:w="31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Mayor incidencia</w:t>
            </w:r>
          </w:p>
        </w:tc>
        <w:tc>
          <w:tcPr>
            <w:tcW w:type="dxa" w:w="31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Reducción del 25-40%</w:t>
            </w:r>
          </w:p>
        </w:tc>
      </w:tr>
      <w:tr>
        <w:tc>
          <w:tcPr>
            <w:tcW w:type="dxa" w:w="312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color w:val="374151"/>
                <w:sz w:val="20"/>
                <w:szCs w:val="20"/>
              </w:rPr>
              <w:t xml:space="preserve">Cicatrización de heridas</w:t>
            </w:r>
          </w:p>
        </w:tc>
        <w:tc>
          <w:tcPr>
            <w:tcW w:type="dxa" w:w="312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color w:val="374151"/>
                <w:sz w:val="20"/>
                <w:szCs w:val="20"/>
              </w:rPr>
              <w:t xml:space="preserve">Retrasada</w:t>
            </w:r>
          </w:p>
        </w:tc>
        <w:tc>
          <w:tcPr>
            <w:tcW w:type="dxa" w:w="312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color w:val="374151"/>
                <w:sz w:val="20"/>
                <w:szCs w:val="20"/>
              </w:rPr>
              <w:t xml:space="preserve">Dentro de parámetros normales</w:t>
            </w:r>
          </w:p>
        </w:tc>
      </w:tr>
      <w:tr>
        <w:tc>
          <w:tcPr>
            <w:tcW w:type="dxa" w:w="31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Pérdida de masa muscular</w:t>
            </w:r>
          </w:p>
        </w:tc>
        <w:tc>
          <w:tcPr>
            <w:tcW w:type="dxa" w:w="31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Acelerada</w:t>
            </w:r>
          </w:p>
        </w:tc>
        <w:tc>
          <w:tcPr>
            <w:tcW w:type="dxa" w:w="31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Controlada o minimizada</w:t>
            </w:r>
          </w:p>
        </w:tc>
      </w:tr>
      <w:tr>
        <w:tc>
          <w:tcPr>
            <w:tcW w:type="dxa" w:w="312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color w:val="374151"/>
                <w:sz w:val="20"/>
                <w:szCs w:val="20"/>
              </w:rPr>
              <w:t xml:space="preserve">Readmisión a 30 días</w:t>
            </w:r>
          </w:p>
        </w:tc>
        <w:tc>
          <w:tcPr>
            <w:tcW w:type="dxa" w:w="312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color w:val="374151"/>
                <w:sz w:val="20"/>
                <w:szCs w:val="20"/>
              </w:rPr>
              <w:t xml:space="preserve">Mayor riesgo</w:t>
            </w:r>
          </w:p>
        </w:tc>
        <w:tc>
          <w:tcPr>
            <w:tcW w:type="dxa" w:w="312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color w:val="374151"/>
                <w:sz w:val="20"/>
                <w:szCs w:val="20"/>
              </w:rPr>
              <w:t xml:space="preserve">Menor riesgo documentado</w:t>
            </w:r>
          </w:p>
        </w:tc>
      </w:tr>
    </w:tbl>
    <w:p>
      <w:pPr>
        <w:spacing w:after="100"/>
      </w:pPr>
    </w:p>
    <w:p>
      <w:pPr>
        <w:spacing w:after="160" w:line="300"/>
      </w:pPr>
      <w:r>
        <w:rPr>
          <w:rFonts w:ascii="Arial" w:cs="Arial" w:eastAsia="Arial" w:hAnsi="Arial"/>
          <w:color w:val="374151"/>
          <w:sz w:val="22"/>
          <w:szCs w:val="22"/>
        </w:rPr>
        <w:t xml:space="preserve">La evidencia es consistente: los pacientes que reciben soporte nutricional especializado durante su hospitalización tienen mejores desenlaces clínicos. Esto es especialmente relevante en México, donde según datos de la ENSANUT, la desnutrición hospitalaria afecta entre el 30% y el 50% de los pacientes hospitalizados.</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10B981" w:sz="2"/>
              <w:right w:val="none" w:sz="0"/>
            </w:tcBorders>
          </w:tcPr>
          <w:p>
            <w:pPr>
              <w:spacing w:after="0"/>
            </w:pPr>
          </w:p>
        </w:tc>
      </w:tr>
    </w:tbl>
    <w:p>
      <w:pPr>
        <w:spacing w:after="100"/>
      </w:pPr>
    </w:p>
    <w:p>
      <w:pPr>
        <w:pStyle w:val="Heading2"/>
      </w:pPr>
      <w:r>
        <w:rPr>
          <w:color w:val="065F46"/>
        </w:rPr>
        <w:t xml:space="preserve">Nuestro Enfoque: Soporte Nutricional Integral</w:t>
      </w:r>
    </w:p>
    <w:p>
      <w:pPr>
        <w:spacing w:after="160" w:line="300"/>
      </w:pPr>
      <w:r>
        <w:rPr>
          <w:rFonts w:ascii="Arial" w:cs="Arial" w:eastAsia="Arial" w:hAnsi="Arial"/>
          <w:color w:val="374151"/>
          <w:sz w:val="22"/>
          <w:szCs w:val="22"/>
        </w:rPr>
        <w:t xml:space="preserve">En Clínica Denki entendemos que cada paciente hospitalizado tiene necesidades únicas. Nuestro enfoque se basa en cuatro pilares que garantizan una intervención nutricional efectiva y coordinada.</w:t>
      </w:r>
    </w:p>
    <w:p>
      <w:pPr>
        <w:pStyle w:val="Heading3"/>
      </w:pPr>
      <w:r>
        <w:t xml:space="preserve">1. Evaluación Nutricional Completa</w:t>
      </w:r>
    </w:p>
    <w:p>
      <w:pPr>
        <w:spacing w:after="160" w:line="300"/>
      </w:pPr>
      <w:r>
        <w:rPr>
          <w:rFonts w:ascii="Arial" w:cs="Arial" w:eastAsia="Arial" w:hAnsi="Arial"/>
          <w:color w:val="374151"/>
          <w:sz w:val="22"/>
          <w:szCs w:val="22"/>
        </w:rPr>
        <w:t xml:space="preserve">Realizamos una valoración integral que incluye historia clínica nutricional, parámetros antropométricos, análisis de laboratorios relevantes (albúmina, prealbúmina, proteínas totales, electrolitos), evaluación de la capacidad funcional del tracto digestivo y tamizaje de riesgo nutricional con herramientas validadas como NRS-2002 o MUST.</w:t>
      </w:r>
    </w:p>
    <w:p>
      <w:pPr>
        <w:pStyle w:val="Heading3"/>
      </w:pPr>
      <w:r>
        <w:t xml:space="preserve">2. Plan Nutricional Individualizado</w:t>
      </w:r>
    </w:p>
    <w:p>
      <w:pPr>
        <w:spacing w:after="160" w:line="300"/>
      </w:pPr>
      <w:r>
        <w:rPr>
          <w:rFonts w:ascii="Arial" w:cs="Arial" w:eastAsia="Arial" w:hAnsi="Arial"/>
          <w:color w:val="374151"/>
          <w:sz w:val="22"/>
          <w:szCs w:val="22"/>
        </w:rPr>
        <w:t xml:space="preserve">Con base en la evaluación, diseñamos un plan que contempla los requerimientos calóricos y proteicos específicos del paciente según su patología, la vía de alimentación más adecuada (oral, enteral o parenteral), las restricciones dietéticas que su condición requiere, y la progresión alimentaria conforme avanza su recuperación.</w:t>
      </w:r>
    </w:p>
    <w:p>
      <w:pPr>
        <w:pStyle w:val="Heading3"/>
      </w:pPr>
      <w:r>
        <w:t xml:space="preserve">3. Coordinación con el Equipo Médico</w:t>
      </w:r>
    </w:p>
    <w:p>
      <w:pPr>
        <w:spacing w:after="160" w:line="300"/>
      </w:pPr>
      <w:r>
        <w:rPr>
          <w:rFonts w:ascii="Arial" w:cs="Arial" w:eastAsia="Arial" w:hAnsi="Arial"/>
          <w:color w:val="374151"/>
          <w:sz w:val="22"/>
          <w:szCs w:val="22"/>
        </w:rPr>
        <w:t xml:space="preserve">Trabajamos de manera integrada con médicos tratantes, cirujanos, oncólogos y demás especialistas. La nutrición no es un servicio aislado: es parte del plan terapéutico. Participamos en la toma de decisiones clínicas que impactan el estado nutricional del paciente y ajustamos el plan según la evolución médica.</w:t>
      </w:r>
    </w:p>
    <w:p>
      <w:pPr>
        <w:pStyle w:val="Heading3"/>
      </w:pPr>
      <w:r>
        <w:t xml:space="preserve">4. Seguimiento y Transición al Alta</w:t>
      </w:r>
    </w:p>
    <w:p>
      <w:pPr>
        <w:spacing w:after="160" w:line="300"/>
      </w:pPr>
      <w:r>
        <w:rPr>
          <w:rFonts w:ascii="Arial" w:cs="Arial" w:eastAsia="Arial" w:hAnsi="Arial"/>
          <w:color w:val="374151"/>
          <w:sz w:val="22"/>
          <w:szCs w:val="22"/>
        </w:rPr>
        <w:t xml:space="preserve">El soporte nutricional no termina cuando el paciente sale del hospital. Diseñamos un plan de transición que incluye recomendaciones alimentarias para casa, suplementación si es necesaria, educación al cuidador principal y seguimiento ambulatorio para garantizar la continuidad de la recuperación nutricional.</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10B981" w:sz="2"/>
              <w:right w:val="none" w:sz="0"/>
            </w:tcBorders>
          </w:tcPr>
          <w:p>
            <w:pPr>
              <w:spacing w:after="0"/>
            </w:pPr>
          </w:p>
        </w:tc>
      </w:tr>
    </w:tbl>
    <w:p>
      <w:pPr>
        <w:spacing w:after="100"/>
      </w:pPr>
    </w:p>
    <w:p>
      <w:pPr>
        <w:pStyle w:val="Heading2"/>
      </w:pPr>
      <w:r>
        <w:rPr>
          <w:color w:val="065F46"/>
        </w:rPr>
        <w:t xml:space="preserve">¿Para Quién es Este Servicio?</w:t>
      </w:r>
    </w:p>
    <w:p>
      <w:pPr>
        <w:spacing w:after="160" w:line="300"/>
      </w:pPr>
      <w:r>
        <w:rPr>
          <w:rFonts w:ascii="Arial" w:cs="Arial" w:eastAsia="Arial" w:hAnsi="Arial"/>
          <w:color w:val="374151"/>
          <w:sz w:val="22"/>
          <w:szCs w:val="22"/>
        </w:rPr>
        <w:t xml:space="preserve">Nuestro servicio de nutrición clínica hospitalaria está diseñado para pacientes y familias que enfrentan las siguientes situaciones:</w:t>
      </w:r>
    </w:p>
    <w:p>
      <w:pPr>
        <w:pStyle w:val="Heading3"/>
      </w:pPr>
      <w:r>
        <w:t xml:space="preserve">Pacientes Prequirúrgicos</w:t>
      </w:r>
    </w:p>
    <w:p>
      <w:pPr>
        <w:pStyle w:val="ListParagraph"/>
        <w:numPr>
          <w:ilvl w:val="0"/>
          <w:numId w:val="2"/>
        </w:numPr>
        <w:spacing w:after="80" w:line="280"/>
      </w:pPr>
      <w:r>
        <w:rPr>
          <w:rFonts w:ascii="Arial" w:cs="Arial" w:eastAsia="Arial" w:hAnsi="Arial"/>
          <w:color w:val="374151"/>
          <w:sz w:val="22"/>
          <w:szCs w:val="22"/>
        </w:rPr>
        <w:t xml:space="preserve">Cirugías programadas de tracto gastrointestinal</w:t>
      </w:r>
    </w:p>
    <w:p>
      <w:pPr>
        <w:pStyle w:val="ListParagraph"/>
        <w:numPr>
          <w:ilvl w:val="0"/>
          <w:numId w:val="2"/>
        </w:numPr>
        <w:spacing w:after="80" w:line="280"/>
      </w:pPr>
      <w:r>
        <w:rPr>
          <w:rFonts w:ascii="Arial" w:cs="Arial" w:eastAsia="Arial" w:hAnsi="Arial"/>
          <w:color w:val="374151"/>
          <w:sz w:val="22"/>
          <w:szCs w:val="22"/>
        </w:rPr>
        <w:t xml:space="preserve">Cirugías oncológicas que requieren optimización nutricional previa</w:t>
      </w:r>
    </w:p>
    <w:p>
      <w:pPr>
        <w:pStyle w:val="ListParagraph"/>
        <w:numPr>
          <w:ilvl w:val="0"/>
          <w:numId w:val="2"/>
        </w:numPr>
        <w:spacing w:after="80" w:line="280"/>
      </w:pPr>
      <w:r>
        <w:rPr>
          <w:rFonts w:ascii="Arial" w:cs="Arial" w:eastAsia="Arial" w:hAnsi="Arial"/>
          <w:color w:val="374151"/>
          <w:sz w:val="22"/>
          <w:szCs w:val="22"/>
        </w:rPr>
        <w:t xml:space="preserve">Pacientes con desnutrición preexistente que serán intervenidos</w:t>
      </w:r>
    </w:p>
    <w:p>
      <w:pPr>
        <w:pStyle w:val="ListParagraph"/>
        <w:numPr>
          <w:ilvl w:val="0"/>
          <w:numId w:val="2"/>
        </w:numPr>
        <w:spacing w:after="80" w:line="280"/>
      </w:pPr>
      <w:r>
        <w:rPr>
          <w:rFonts w:ascii="Arial" w:cs="Arial" w:eastAsia="Arial" w:hAnsi="Arial"/>
          <w:color w:val="374151"/>
          <w:sz w:val="22"/>
          <w:szCs w:val="22"/>
        </w:rPr>
        <w:t xml:space="preserve">Cirugía bariátrica (preparación nutricional)</w:t>
      </w:r>
    </w:p>
    <w:p>
      <w:pPr>
        <w:pStyle w:val="Heading3"/>
      </w:pPr>
      <w:r>
        <w:t xml:space="preserve">Pacientes Postquirúrgicos</w:t>
      </w:r>
    </w:p>
    <w:p>
      <w:pPr>
        <w:pStyle w:val="ListParagraph"/>
        <w:numPr>
          <w:ilvl w:val="0"/>
          <w:numId w:val="2"/>
        </w:numPr>
        <w:spacing w:after="80" w:line="280"/>
      </w:pPr>
      <w:r>
        <w:rPr>
          <w:rFonts w:ascii="Arial" w:cs="Arial" w:eastAsia="Arial" w:hAnsi="Arial"/>
          <w:color w:val="374151"/>
          <w:sz w:val="22"/>
          <w:szCs w:val="22"/>
        </w:rPr>
        <w:t xml:space="preserve">Recuperación de cirugías gastrointestinales (resecciones, ostomías)</w:t>
      </w:r>
    </w:p>
    <w:p>
      <w:pPr>
        <w:pStyle w:val="ListParagraph"/>
        <w:numPr>
          <w:ilvl w:val="0"/>
          <w:numId w:val="2"/>
        </w:numPr>
        <w:spacing w:after="80" w:line="280"/>
      </w:pPr>
      <w:r>
        <w:rPr>
          <w:rFonts w:ascii="Arial" w:cs="Arial" w:eastAsia="Arial" w:hAnsi="Arial"/>
          <w:color w:val="374151"/>
          <w:sz w:val="22"/>
          <w:szCs w:val="22"/>
        </w:rPr>
        <w:t xml:space="preserve">Postcirugía oncológica con compromiso nutricional</w:t>
      </w:r>
    </w:p>
    <w:p>
      <w:pPr>
        <w:pStyle w:val="ListParagraph"/>
        <w:numPr>
          <w:ilvl w:val="0"/>
          <w:numId w:val="2"/>
        </w:numPr>
        <w:spacing w:after="80" w:line="280"/>
      </w:pPr>
      <w:r>
        <w:rPr>
          <w:rFonts w:ascii="Arial" w:cs="Arial" w:eastAsia="Arial" w:hAnsi="Arial"/>
          <w:color w:val="374151"/>
          <w:sz w:val="22"/>
          <w:szCs w:val="22"/>
        </w:rPr>
        <w:t xml:space="preserve">Progresión alimentaria tras ayuno quirúrgico prolongado</w:t>
      </w:r>
    </w:p>
    <w:p>
      <w:pPr>
        <w:pStyle w:val="ListParagraph"/>
        <w:numPr>
          <w:ilvl w:val="0"/>
          <w:numId w:val="2"/>
        </w:numPr>
        <w:spacing w:after="80" w:line="280"/>
      </w:pPr>
      <w:r>
        <w:rPr>
          <w:rFonts w:ascii="Arial" w:cs="Arial" w:eastAsia="Arial" w:hAnsi="Arial"/>
          <w:color w:val="374151"/>
          <w:sz w:val="22"/>
          <w:szCs w:val="22"/>
        </w:rPr>
        <w:t xml:space="preserve">Manejo de complicaciones que afectan la alimentación</w:t>
      </w:r>
    </w:p>
    <w:p>
      <w:pPr>
        <w:pStyle w:val="Heading3"/>
      </w:pPr>
      <w:r>
        <w:t xml:space="preserve">Pacientes con Enfermedades Críticas o Crónicas</w:t>
      </w:r>
    </w:p>
    <w:p>
      <w:pPr>
        <w:pStyle w:val="ListParagraph"/>
        <w:numPr>
          <w:ilvl w:val="0"/>
          <w:numId w:val="2"/>
        </w:numPr>
        <w:spacing w:after="80" w:line="280"/>
      </w:pPr>
      <w:r>
        <w:rPr>
          <w:rFonts w:ascii="Arial" w:cs="Arial" w:eastAsia="Arial" w:hAnsi="Arial"/>
          <w:color w:val="374151"/>
          <w:sz w:val="22"/>
          <w:szCs w:val="22"/>
        </w:rPr>
        <w:t xml:space="preserve">Pacientes en unidad de cuidados intensivos (UCI)</w:t>
      </w:r>
    </w:p>
    <w:p>
      <w:pPr>
        <w:pStyle w:val="ListParagraph"/>
        <w:numPr>
          <w:ilvl w:val="0"/>
          <w:numId w:val="2"/>
        </w:numPr>
        <w:spacing w:after="80" w:line="280"/>
      </w:pPr>
      <w:r>
        <w:rPr>
          <w:rFonts w:ascii="Arial" w:cs="Arial" w:eastAsia="Arial" w:hAnsi="Arial"/>
          <w:color w:val="374151"/>
          <w:sz w:val="22"/>
          <w:szCs w:val="22"/>
        </w:rPr>
        <w:t xml:space="preserve">Insuficiencia renal, hepática o respiratoria</w:t>
      </w:r>
    </w:p>
    <w:p>
      <w:pPr>
        <w:pStyle w:val="ListParagraph"/>
        <w:numPr>
          <w:ilvl w:val="0"/>
          <w:numId w:val="2"/>
        </w:numPr>
        <w:spacing w:after="80" w:line="280"/>
      </w:pPr>
      <w:r>
        <w:rPr>
          <w:rFonts w:ascii="Arial" w:cs="Arial" w:eastAsia="Arial" w:hAnsi="Arial"/>
          <w:color w:val="374151"/>
          <w:sz w:val="22"/>
          <w:szCs w:val="22"/>
        </w:rPr>
        <w:t xml:space="preserve">Pacientes oncológicos durante tratamiento (quimioterapia, radioterapia)</w:t>
      </w:r>
    </w:p>
    <w:p>
      <w:pPr>
        <w:pStyle w:val="ListParagraph"/>
        <w:numPr>
          <w:ilvl w:val="0"/>
          <w:numId w:val="2"/>
        </w:numPr>
        <w:spacing w:after="80" w:line="280"/>
      </w:pPr>
      <w:r>
        <w:rPr>
          <w:rFonts w:ascii="Arial" w:cs="Arial" w:eastAsia="Arial" w:hAnsi="Arial"/>
          <w:color w:val="374151"/>
          <w:sz w:val="22"/>
          <w:szCs w:val="22"/>
        </w:rPr>
        <w:t xml:space="preserve">Enfermedades inflamatorias intestinales descompensadas</w:t>
      </w:r>
    </w:p>
    <w:p>
      <w:pPr>
        <w:pStyle w:val="ListParagraph"/>
        <w:numPr>
          <w:ilvl w:val="0"/>
          <w:numId w:val="2"/>
        </w:numPr>
        <w:spacing w:after="80" w:line="280"/>
      </w:pPr>
      <w:r>
        <w:rPr>
          <w:rFonts w:ascii="Arial" w:cs="Arial" w:eastAsia="Arial" w:hAnsi="Arial"/>
          <w:color w:val="374151"/>
          <w:sz w:val="22"/>
          <w:szCs w:val="22"/>
        </w:rPr>
        <w:t xml:space="preserve">Pancreatitis aguda o crónica</w:t>
      </w:r>
    </w:p>
    <w:p>
      <w:pPr>
        <w:pStyle w:val="Heading3"/>
      </w:pPr>
      <w:r>
        <w:t xml:space="preserve">Adultos Mayores Hospitalizados</w:t>
      </w:r>
    </w:p>
    <w:p>
      <w:pPr>
        <w:pStyle w:val="ListParagraph"/>
        <w:numPr>
          <w:ilvl w:val="0"/>
          <w:numId w:val="2"/>
        </w:numPr>
        <w:spacing w:after="80" w:line="280"/>
      </w:pPr>
      <w:r>
        <w:rPr>
          <w:rFonts w:ascii="Arial" w:cs="Arial" w:eastAsia="Arial" w:hAnsi="Arial"/>
          <w:color w:val="374151"/>
          <w:sz w:val="22"/>
          <w:szCs w:val="22"/>
        </w:rPr>
        <w:t xml:space="preserve">Riesgo elevado de desnutrición y sarcopenia</w:t>
      </w:r>
    </w:p>
    <w:p>
      <w:pPr>
        <w:pStyle w:val="ListParagraph"/>
        <w:numPr>
          <w:ilvl w:val="0"/>
          <w:numId w:val="2"/>
        </w:numPr>
        <w:spacing w:after="80" w:line="280"/>
      </w:pPr>
      <w:r>
        <w:rPr>
          <w:rFonts w:ascii="Arial" w:cs="Arial" w:eastAsia="Arial" w:hAnsi="Arial"/>
          <w:color w:val="374151"/>
          <w:sz w:val="22"/>
          <w:szCs w:val="22"/>
        </w:rPr>
        <w:t xml:space="preserve">Fracturas de cadera u otras fracturas que requieren hospitalización</w:t>
      </w:r>
    </w:p>
    <w:p>
      <w:pPr>
        <w:pStyle w:val="ListParagraph"/>
        <w:numPr>
          <w:ilvl w:val="0"/>
          <w:numId w:val="2"/>
        </w:numPr>
        <w:spacing w:after="80" w:line="280"/>
      </w:pPr>
      <w:r>
        <w:rPr>
          <w:rFonts w:ascii="Arial" w:cs="Arial" w:eastAsia="Arial" w:hAnsi="Arial"/>
          <w:color w:val="374151"/>
          <w:sz w:val="22"/>
          <w:szCs w:val="22"/>
        </w:rPr>
        <w:t xml:space="preserve">Infecciones respiratorias graves con estancia prolongada</w:t>
      </w:r>
    </w:p>
    <w:p>
      <w:pPr>
        <w:pStyle w:val="ListParagraph"/>
        <w:numPr>
          <w:ilvl w:val="0"/>
          <w:numId w:val="2"/>
        </w:numPr>
        <w:spacing w:after="80" w:line="280"/>
      </w:pPr>
      <w:r>
        <w:rPr>
          <w:rFonts w:ascii="Arial" w:cs="Arial" w:eastAsia="Arial" w:hAnsi="Arial"/>
          <w:color w:val="374151"/>
          <w:sz w:val="22"/>
          <w:szCs w:val="22"/>
        </w:rPr>
        <w:t xml:space="preserve">Deterioro funcional durante la hospitalización</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10B981" w:val="clear"/>
            <w:tcMar>
              <w:top w:type="dxa" w:w="160"/>
              <w:left w:type="dxa" w:w="200"/>
              <w:bottom w:type="dxa" w:w="120"/>
              <w:right w:type="dxa" w:w="200"/>
            </w:tcMar>
          </w:tcPr>
          <w:p>
            <w:pPr>
              <w:spacing w:after="80"/>
              <w:jc w:val="center"/>
            </w:pPr>
            <w:r>
              <w:rPr>
                <w:rFonts w:ascii="Arial" w:cs="Arial" w:eastAsia="Arial" w:hAnsi="Arial"/>
                <w:b/>
                <w:bCs/>
                <w:color w:val="FFFFFF"/>
                <w:sz w:val="26"/>
                <w:szCs w:val="26"/>
              </w:rPr>
              <w:t xml:space="preserve">¿Tu familiar está hospitalizado y necesita soporte nutricional?</w:t>
            </w:r>
          </w:p>
          <w:p>
            <w:pPr>
              <w:spacing w:after="0"/>
              <w:jc w:val="center"/>
            </w:pPr>
            <w:r>
              <w:rPr>
                <w:rFonts w:ascii="Arial" w:cs="Arial" w:eastAsia="Arial" w:hAnsi="Arial"/>
                <w:color w:val="FFFFFF"/>
                <w:sz w:val="22"/>
                <w:szCs w:val="22"/>
              </w:rPr>
              <w:t xml:space="preserve">Podemos coordinar con el equipo médico del hospital para optimizar su recuperación.</w:t>
            </w:r>
          </w:p>
        </w:tc>
      </w:tr>
      <w:tr>
        <w:tc>
          <w:tcPr>
            <w:tcW w:type="dxa" w:w="9360"/>
            <w:tcBorders>
              <w:top w:val="none" w:sz="0"/>
              <w:left w:val="none" w:sz="0"/>
              <w:bottom w:val="none" w:sz="0"/>
              <w:right w:val="none" w:sz="0"/>
            </w:tcBorders>
            <w:shd w:fill="D1FAE5" w:val="clear"/>
            <w:tcMar>
              <w:top w:type="dxa" w:w="140"/>
              <w:left w:type="dxa" w:w="200"/>
              <w:bottom w:type="dxa" w:w="140"/>
              <w:right w:type="dxa" w:w="200"/>
            </w:tcMar>
          </w:tcPr>
          <w:p>
            <w:pPr>
              <w:spacing w:after="60"/>
            </w:pPr>
            <w:r>
              <w:rPr>
                <w:rFonts w:ascii="Arial" w:cs="Arial" w:eastAsia="Arial" w:hAnsi="Arial"/>
                <w:color w:val="065F46"/>
                <w:sz w:val="21"/>
                <w:szCs w:val="21"/>
              </w:rPr>
              <w:t xml:space="preserve">✓  Evaluación nutricional hospitalaria completa</w:t>
            </w:r>
          </w:p>
          <w:p>
            <w:pPr>
              <w:spacing w:after="60"/>
            </w:pPr>
            <w:r>
              <w:rPr>
                <w:rFonts w:ascii="Arial" w:cs="Arial" w:eastAsia="Arial" w:hAnsi="Arial"/>
                <w:color w:val="065F46"/>
                <w:sz w:val="21"/>
                <w:szCs w:val="21"/>
              </w:rPr>
              <w:t xml:space="preserve">✓  Coordinación directa con médicos tratantes</w:t>
            </w:r>
          </w:p>
          <w:p>
            <w:pPr>
              <w:spacing w:after="60"/>
            </w:pPr>
            <w:r>
              <w:rPr>
                <w:rFonts w:ascii="Arial" w:cs="Arial" w:eastAsia="Arial" w:hAnsi="Arial"/>
                <w:color w:val="065F46"/>
                <w:sz w:val="21"/>
                <w:szCs w:val="21"/>
              </w:rPr>
              <w:t xml:space="preserve">✓  Plan de transición al alta</w:t>
            </w:r>
          </w:p>
          <w:p>
            <w:pPr>
              <w:spacing w:after="60"/>
            </w:pPr>
            <w:r>
              <w:rPr>
                <w:rFonts w:ascii="Arial" w:cs="Arial" w:eastAsia="Arial" w:hAnsi="Arial"/>
                <w:color w:val="065F46"/>
                <w:sz w:val="21"/>
                <w:szCs w:val="21"/>
              </w:rPr>
              <w:t xml:space="preserve">✓  Seguimiento ambulatorio posterior</w:t>
            </w:r>
          </w:p>
          <w:p>
            <w:pPr>
              <w:spacing w:before="100" w:after="0"/>
              <w:jc w:val="center"/>
            </w:pPr>
            <w:r>
              <w:rPr>
                <w:rFonts w:ascii="Arial" w:cs="Arial" w:eastAsia="Arial" w:hAnsi="Arial"/>
                <w:b/>
                <w:bCs/>
                <w:color w:val="10B981"/>
                <w:sz w:val="22"/>
                <w:szCs w:val="22"/>
              </w:rPr>
              <w:t xml:space="preserve">Agenda tu consulta  →  </w:t>
            </w:r>
            <w:r>
              <w:rPr>
                <w:rFonts w:ascii="Arial" w:cs="Arial" w:eastAsia="Arial" w:hAnsi="Arial"/>
                <w:color w:val="059669"/>
                <w:sz w:val="22"/>
                <w:szCs w:val="22"/>
              </w:rPr>
              <w:t xml:space="preserve">clinicadenki.mx/contacto</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10B981" w:sz="2"/>
              <w:right w:val="none" w:sz="0"/>
            </w:tcBorders>
          </w:tcPr>
          <w:p>
            <w:pPr>
              <w:spacing w:after="0"/>
            </w:pPr>
          </w:p>
        </w:tc>
      </w:tr>
    </w:tbl>
    <w:p>
      <w:pPr>
        <w:spacing w:after="100"/>
      </w:pPr>
    </w:p>
    <w:p>
      <w:pPr>
        <w:pStyle w:val="Heading2"/>
      </w:pPr>
      <w:r>
        <w:rPr>
          <w:color w:val="065F46"/>
        </w:rPr>
        <w:t xml:space="preserve">Situaciones Clínicas que Atendemos</w:t>
      </w:r>
    </w:p>
    <w:p>
      <w:pPr>
        <w:pStyle w:val="Heading3"/>
      </w:pPr>
      <w:r>
        <w:t xml:space="preserve">Desnutrición Hospitalaria</w:t>
      </w:r>
    </w:p>
    <w:p>
      <w:pPr>
        <w:spacing w:after="160" w:line="300"/>
      </w:pPr>
      <w:r>
        <w:rPr>
          <w:rFonts w:ascii="Arial" w:cs="Arial" w:eastAsia="Arial" w:hAnsi="Arial"/>
          <w:color w:val="374151"/>
          <w:sz w:val="22"/>
          <w:szCs w:val="22"/>
        </w:rPr>
        <w:t xml:space="preserve">La desnutrición hospitalaria es más frecuente de lo que se piensa. Puede estar presente al ingreso (por enfermedad crónica, cáncer, problemas socioeconómicos) o desarrollarse durante la estancia. Identificarla y tratarla a tiempo cambia pronósticos. Realizamos tamizaje nutricional estandarizado y diseñamos intervenciones que van desde suplementación oral hasta soporte enteral o parenteral según la gravedad.</w:t>
      </w:r>
    </w:p>
    <w:p>
      <w:pPr>
        <w:pStyle w:val="Heading3"/>
      </w:pPr>
      <w:r>
        <w:t xml:space="preserve">Soporte Nutricional Enteral</w:t>
      </w:r>
    </w:p>
    <w:p>
      <w:pPr>
        <w:spacing w:after="160" w:line="300"/>
      </w:pPr>
      <w:r>
        <w:rPr>
          <w:rFonts w:ascii="Arial" w:cs="Arial" w:eastAsia="Arial" w:hAnsi="Arial"/>
          <w:color w:val="374151"/>
          <w:sz w:val="22"/>
          <w:szCs w:val="22"/>
        </w:rPr>
        <w:t xml:space="preserve">Cuando el paciente no puede alimentarse adecuadamente por vía oral pero su tracto digestivo funciona, la nutrición enteral es la vía de elección. Seleccionamos la fórmula enteral más apropiada según la patología, calculamos volúmenes y velocidades de infusión, y monitoreamos la tolerancia. Trabajamos con sondas nasogástricas, nasoyeyunales y gastrostomías.</w:t>
      </w:r>
    </w:p>
    <w:p>
      <w:pPr>
        <w:pStyle w:val="Heading3"/>
      </w:pPr>
      <w:r>
        <w:t xml:space="preserve">Nutrición Perioperatoria</w:t>
      </w:r>
    </w:p>
    <w:p>
      <w:pPr>
        <w:spacing w:after="160" w:line="300"/>
      </w:pPr>
      <w:r>
        <w:rPr>
          <w:rFonts w:ascii="Arial" w:cs="Arial" w:eastAsia="Arial" w:hAnsi="Arial"/>
          <w:color w:val="374151"/>
          <w:sz w:val="22"/>
          <w:szCs w:val="22"/>
        </w:rPr>
        <w:t xml:space="preserve">La evidencia demuestra que optimizar el estado nutricional antes y después de una cirugía reduce complicaciones, mejora la cicatrización y acorta la estancia hospitalaria. Nuestro protocolo perioperatorio incluye evaluación nutricional prequirúrgica (idealmente 7-14 días antes), inmunonutrición cuando está indicada, protocolo de realimentación postquirúrgica progresiva y monitoreo de indicadores de recuperación nutricional.</w:t>
      </w:r>
    </w:p>
    <w:p>
      <w:pPr>
        <w:pStyle w:val="Heading3"/>
      </w:pPr>
      <w:r>
        <w:t xml:space="preserve">Pacientes Oncológicos Hospitalizados</w:t>
      </w:r>
    </w:p>
    <w:p>
      <w:pPr>
        <w:spacing w:after="160" w:line="300"/>
      </w:pPr>
      <w:r>
        <w:rPr>
          <w:rFonts w:ascii="Arial" w:cs="Arial" w:eastAsia="Arial" w:hAnsi="Arial"/>
          <w:color w:val="374151"/>
          <w:sz w:val="22"/>
          <w:szCs w:val="22"/>
        </w:rPr>
        <w:t xml:space="preserve">El paciente con cáncer hospitalizado enfrenta un doble reto nutricional: el impacto de la enfermedad y los efectos secundarios del tratamiento. Náusea, mucositis, alteraciones del gusto, anorexia y malabsorción son comunes. Diseñamos estrategias que mantienen el aporte calórico-proteico, manejan síntomas que afectan la alimentación y preparan al paciente para la continuidad del tratamiento.</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10B981" w:sz="2"/>
              <w:right w:val="none" w:sz="0"/>
            </w:tcBorders>
          </w:tcPr>
          <w:p>
            <w:pPr>
              <w:spacing w:after="0"/>
            </w:pPr>
          </w:p>
        </w:tc>
      </w:tr>
    </w:tbl>
    <w:p>
      <w:pPr>
        <w:spacing w:after="100"/>
      </w:pPr>
    </w:p>
    <w:p>
      <w:pPr>
        <w:pStyle w:val="Heading2"/>
      </w:pPr>
      <w:r>
        <w:rPr>
          <w:color w:val="065F46"/>
        </w:rPr>
        <w:t xml:space="preserve">¿Cómo Funciona Nuestro Servicio?</w:t>
      </w:r>
    </w:p>
    <w:p>
      <w:pPr>
        <w:spacing w:after="160" w:line="300"/>
      </w:pPr>
      <w:r>
        <w:rPr>
          <w:rFonts w:ascii="Arial" w:cs="Arial" w:eastAsia="Arial" w:hAnsi="Arial"/>
          <w:color w:val="374151"/>
          <w:sz w:val="22"/>
          <w:szCs w:val="22"/>
        </w:rPr>
        <w:t xml:space="preserve">Entendemos que cuando un familiar está hospitalizado, la familia necesita claridad y orientación. Así funciona nuestro proceso:</w:t>
      </w:r>
    </w:p>
    <w:p>
      <w:pPr>
        <w:pStyle w:val="ListParagraph"/>
        <w:numPr>
          <w:ilvl w:val="0"/>
          <w:numId w:val="3"/>
        </w:numPr>
        <w:spacing w:after="80" w:line="280"/>
      </w:pPr>
      <w:r>
        <w:rPr>
          <w:rFonts w:ascii="Arial" w:cs="Arial" w:eastAsia="Arial" w:hAnsi="Arial"/>
          <w:color w:val="374151"/>
          <w:sz w:val="22"/>
          <w:szCs w:val="22"/>
        </w:rPr>
        <w:t xml:space="preserve">Contacto inicial: La familia o el equipo médico nos contacta. Recopilamos información básica sobre el diagnóstico, la estancia y las necesidades identificadas.</w:t>
      </w:r>
    </w:p>
    <w:p>
      <w:pPr>
        <w:pStyle w:val="ListParagraph"/>
        <w:numPr>
          <w:ilvl w:val="0"/>
          <w:numId w:val="3"/>
        </w:numPr>
        <w:spacing w:after="80" w:line="280"/>
      </w:pPr>
      <w:r>
        <w:rPr>
          <w:rFonts w:ascii="Arial" w:cs="Arial" w:eastAsia="Arial" w:hAnsi="Arial"/>
          <w:color w:val="374151"/>
          <w:sz w:val="22"/>
          <w:szCs w:val="22"/>
        </w:rPr>
        <w:t xml:space="preserve">Evaluación en hospital: Realizamos la valoración nutricional directamente en el hospital donde se encuentra el paciente, revisando expediente clínico, laboratorios y estado funcional.</w:t>
      </w:r>
    </w:p>
    <w:p>
      <w:pPr>
        <w:pStyle w:val="ListParagraph"/>
        <w:numPr>
          <w:ilvl w:val="0"/>
          <w:numId w:val="3"/>
        </w:numPr>
        <w:spacing w:after="80" w:line="280"/>
      </w:pPr>
      <w:r>
        <w:rPr>
          <w:rFonts w:ascii="Arial" w:cs="Arial" w:eastAsia="Arial" w:hAnsi="Arial"/>
          <w:color w:val="374151"/>
          <w:sz w:val="22"/>
          <w:szCs w:val="22"/>
        </w:rPr>
        <w:t xml:space="preserve">Plan y coordinación: Diseñamos el plan nutricional y lo comunicamos al equipo médico tratante para su integración en el manejo clínico global.</w:t>
      </w:r>
    </w:p>
    <w:p>
      <w:pPr>
        <w:pStyle w:val="ListParagraph"/>
        <w:numPr>
          <w:ilvl w:val="0"/>
          <w:numId w:val="3"/>
        </w:numPr>
        <w:spacing w:after="80" w:line="280"/>
      </w:pPr>
      <w:r>
        <w:rPr>
          <w:rFonts w:ascii="Arial" w:cs="Arial" w:eastAsia="Arial" w:hAnsi="Arial"/>
          <w:color w:val="374151"/>
          <w:sz w:val="22"/>
          <w:szCs w:val="22"/>
        </w:rPr>
        <w:t xml:space="preserve">Seguimiento hospitalario: Realizamos visitas de seguimiento según la evolución del paciente, ajustando el plan conforme cambia su condición clínica.</w:t>
      </w:r>
    </w:p>
    <w:p>
      <w:pPr>
        <w:pStyle w:val="ListParagraph"/>
        <w:numPr>
          <w:ilvl w:val="0"/>
          <w:numId w:val="3"/>
        </w:numPr>
        <w:spacing w:after="80" w:line="280"/>
      </w:pPr>
      <w:r>
        <w:rPr>
          <w:rFonts w:ascii="Arial" w:cs="Arial" w:eastAsia="Arial" w:hAnsi="Arial"/>
          <w:color w:val="374151"/>
          <w:sz w:val="22"/>
          <w:szCs w:val="22"/>
        </w:rPr>
        <w:t xml:space="preserve">Transición al alta: Antes del egreso, preparamos un plan nutricional para casa con indicaciones claras, y programamos seguimiento ambulatorio.</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10B981" w:sz="2"/>
              <w:right w:val="none" w:sz="0"/>
            </w:tcBorders>
          </w:tcPr>
          <w:p>
            <w:pPr>
              <w:spacing w:after="0"/>
            </w:pPr>
          </w:p>
        </w:tc>
      </w:tr>
    </w:tbl>
    <w:p>
      <w:pPr>
        <w:spacing w:after="100"/>
      </w:pPr>
    </w:p>
    <w:p>
      <w:pPr>
        <w:pStyle w:val="Heading2"/>
      </w:pPr>
      <w:r>
        <w:rPr>
          <w:color w:val="065F46"/>
        </w:rPr>
        <w:t xml:space="preserve">Preguntas Frecuentes</w:t>
      </w:r>
    </w:p>
    <w:p>
      <w:pPr>
        <w:spacing w:before="200" w:after="80"/>
      </w:pPr>
      <w:r>
        <w:rPr>
          <w:rFonts w:ascii="Arial" w:cs="Arial" w:eastAsia="Arial" w:hAnsi="Arial"/>
          <w:b/>
          <w:bCs/>
          <w:color w:val="065F46"/>
          <w:sz w:val="23"/>
          <w:szCs w:val="23"/>
        </w:rPr>
        <w:t xml:space="preserve">¿Pueden atender a mi familiar directamente en el hospital?</w:t>
      </w:r>
    </w:p>
    <w:p>
      <w:pPr>
        <w:spacing w:after="160" w:line="300"/>
      </w:pPr>
      <w:r>
        <w:rPr>
          <w:rFonts w:ascii="Arial" w:cs="Arial" w:eastAsia="Arial" w:hAnsi="Arial"/>
          <w:color w:val="374151"/>
          <w:sz w:val="22"/>
          <w:szCs w:val="22"/>
        </w:rPr>
        <w:t xml:space="preserve">Sí. Realizamos valoración nutricional en el hospital donde se encuentra el paciente. Coordinamos con el equipo médico del hospital para integrar nuestras recomendaciones al plan de manejo. Esto es especialmente útil cuando el hospital no cuenta con servicio de nutrición clínica dedicado o cuando se requiere una valoración especializada complementaria.</w:t>
      </w:r>
    </w:p>
    <w:p>
      <w:pPr>
        <w:spacing w:before="200" w:after="80"/>
      </w:pPr>
      <w:r>
        <w:rPr>
          <w:rFonts w:ascii="Arial" w:cs="Arial" w:eastAsia="Arial" w:hAnsi="Arial"/>
          <w:b/>
          <w:bCs/>
          <w:color w:val="065F46"/>
          <w:sz w:val="23"/>
          <w:szCs w:val="23"/>
        </w:rPr>
        <w:t xml:space="preserve">¿Cuándo es necesario solicitar soporte nutricional hospitalario?</w:t>
      </w:r>
    </w:p>
    <w:p>
      <w:pPr>
        <w:spacing w:after="160" w:line="300"/>
      </w:pPr>
      <w:r>
        <w:rPr>
          <w:rFonts w:ascii="Arial" w:cs="Arial" w:eastAsia="Arial" w:hAnsi="Arial"/>
          <w:color w:val="374151"/>
          <w:sz w:val="22"/>
          <w:szCs w:val="22"/>
        </w:rPr>
        <w:t xml:space="preserve">Lo ideal es solicitarlo lo antes posible, especialmente si el paciente lleva más de 5 días sin comer adecuadamente, ha perdido peso de forma involuntaria, será sometido a cirugía mayor, tiene diagnóstico de cáncer con tratamiento activo, es adulto mayor con estancia prolongada, o presenta dificultad para alimentarse por vía oral.</w:t>
      </w:r>
    </w:p>
    <w:p>
      <w:pPr>
        <w:spacing w:before="200" w:after="80"/>
      </w:pPr>
      <w:r>
        <w:rPr>
          <w:rFonts w:ascii="Arial" w:cs="Arial" w:eastAsia="Arial" w:hAnsi="Arial"/>
          <w:b/>
          <w:bCs/>
          <w:color w:val="065F46"/>
          <w:sz w:val="23"/>
          <w:szCs w:val="23"/>
        </w:rPr>
        <w:t xml:space="preserve">¿Trabajan con nutrición por sonda o solo alimentación oral?</w:t>
      </w:r>
    </w:p>
    <w:p>
      <w:pPr>
        <w:spacing w:after="160" w:line="300"/>
      </w:pPr>
      <w:r>
        <w:rPr>
          <w:rFonts w:ascii="Arial" w:cs="Arial" w:eastAsia="Arial" w:hAnsi="Arial"/>
          <w:color w:val="374151"/>
          <w:sz w:val="22"/>
          <w:szCs w:val="22"/>
        </w:rPr>
        <w:t xml:space="preserve">Manejamos todas las vías de alimentación: oral (con adaptaciones de textura y contenido), enteral (sonda nasogástrica, nasoyeyunal, gastrostomía) y orientación sobre nutrición parenteral cuando es indicada por el equipo médico. La elección de la vía depende del estado del tracto digestivo del paciente y de su condición clínica.</w:t>
      </w:r>
    </w:p>
    <w:p>
      <w:pPr>
        <w:spacing w:before="200" w:after="80"/>
      </w:pPr>
      <w:r>
        <w:rPr>
          <w:rFonts w:ascii="Arial" w:cs="Arial" w:eastAsia="Arial" w:hAnsi="Arial"/>
          <w:b/>
          <w:bCs/>
          <w:color w:val="065F46"/>
          <w:sz w:val="23"/>
          <w:szCs w:val="23"/>
        </w:rPr>
        <w:t xml:space="preserve">¿Qué pasa con la nutrición cuando el paciente sale del hospital?</w:t>
      </w:r>
    </w:p>
    <w:p>
      <w:pPr>
        <w:spacing w:after="160" w:line="300"/>
      </w:pPr>
      <w:r>
        <w:rPr>
          <w:rFonts w:ascii="Arial" w:cs="Arial" w:eastAsia="Arial" w:hAnsi="Arial"/>
          <w:color w:val="374151"/>
          <w:sz w:val="22"/>
          <w:szCs w:val="22"/>
        </w:rPr>
        <w:t xml:space="preserve">Diseñamos un plan de transición específico que incluye: recomendaciones alimentarias adaptadas a la condición del paciente al egreso, suplementación nutricional si es necesaria, educación al cuidador principal sobre preparación de alimentos y señales de alerta, y seguimiento ambulatorio programado para asegurar la continuidad de la recuperación.</w:t>
      </w:r>
    </w:p>
    <w:p>
      <w:pPr>
        <w:spacing w:before="200" w:after="80"/>
      </w:pPr>
      <w:r>
        <w:rPr>
          <w:rFonts w:ascii="Arial" w:cs="Arial" w:eastAsia="Arial" w:hAnsi="Arial"/>
          <w:b/>
          <w:bCs/>
          <w:color w:val="065F46"/>
          <w:sz w:val="23"/>
          <w:szCs w:val="23"/>
        </w:rPr>
        <w:t xml:space="preserve">¿La nutrición hospitalaria realmente hace diferencia en la recuperación?</w:t>
      </w:r>
    </w:p>
    <w:p>
      <w:pPr>
        <w:spacing w:after="160" w:line="300"/>
      </w:pPr>
      <w:r>
        <w:rPr>
          <w:rFonts w:ascii="Arial" w:cs="Arial" w:eastAsia="Arial" w:hAnsi="Arial"/>
          <w:color w:val="374151"/>
          <w:sz w:val="22"/>
          <w:szCs w:val="22"/>
        </w:rPr>
        <w:t xml:space="preserve">Sí. La evidencia científica es robusta: el soporte nutricional oportuno en pacientes hospitalizados reduce complicaciones infecciosas, mejora la cicatrización, acorta la estancia hospitalaria, disminuye tasas de readmisión y mejora la calidad de vida durante la recuperación. La Sociedad Europea de Nutrición Clínica y Metabolismo (ESPEN) recomienda tamizaje nutricional a todo paciente hospitalizado.</w:t>
      </w:r>
    </w:p>
    <w:p>
      <w:pPr>
        <w:spacing w:before="200" w:after="80"/>
      </w:pPr>
      <w:r>
        <w:rPr>
          <w:rFonts w:ascii="Arial" w:cs="Arial" w:eastAsia="Arial" w:hAnsi="Arial"/>
          <w:b/>
          <w:bCs/>
          <w:color w:val="065F46"/>
          <w:sz w:val="23"/>
          <w:szCs w:val="23"/>
        </w:rPr>
        <w:t xml:space="preserve">¿Cuánto cuesta el servicio de nutrición hospitalaria?</w:t>
      </w:r>
    </w:p>
    <w:p>
      <w:pPr>
        <w:spacing w:after="160" w:line="300"/>
      </w:pPr>
      <w:r>
        <w:rPr>
          <w:rFonts w:ascii="Arial" w:cs="Arial" w:eastAsia="Arial" w:hAnsi="Arial"/>
          <w:color w:val="374151"/>
          <w:sz w:val="22"/>
          <w:szCs w:val="22"/>
        </w:rPr>
        <w:t xml:space="preserve">El costo varía según la complejidad del caso, la frecuencia de visitas necesarias y la duración de la estancia hospitalaria. Ofrecemos evaluación inicial y paquetes de seguimiento. Contáctanos para una cotización personalizada basada en la situación específica de tu familiar.</w:t>
      </w:r>
    </w:p>
    <w:p>
      <w:pPr>
        <w:spacing w:before="200" w:after="80"/>
      </w:pPr>
      <w:r>
        <w:rPr>
          <w:rFonts w:ascii="Arial" w:cs="Arial" w:eastAsia="Arial" w:hAnsi="Arial"/>
          <w:b/>
          <w:bCs/>
          <w:color w:val="065F46"/>
          <w:sz w:val="23"/>
          <w:szCs w:val="23"/>
        </w:rPr>
        <w:t xml:space="preserve">¿En qué hospitales de CDMX pueden atender?</w:t>
      </w:r>
    </w:p>
    <w:p>
      <w:pPr>
        <w:spacing w:after="160" w:line="300"/>
      </w:pPr>
      <w:r>
        <w:rPr>
          <w:rFonts w:ascii="Arial" w:cs="Arial" w:eastAsia="Arial" w:hAnsi="Arial"/>
          <w:color w:val="374151"/>
          <w:sz w:val="22"/>
          <w:szCs w:val="22"/>
        </w:rPr>
        <w:t xml:space="preserve">Podemos realizar valoraciones en la mayoría de hospitales privados de la Ciudad de México, sujeto a las políticas de acceso de cada institución. Contáctanos con los datos del hospital y coordinamos la logística de la visita.</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10B981" w:sz="2"/>
              <w:right w:val="none" w:sz="0"/>
            </w:tcBorders>
          </w:tcPr>
          <w:p>
            <w:pPr>
              <w:spacing w:after="0"/>
            </w:pPr>
          </w:p>
        </w:tc>
      </w:tr>
    </w:tbl>
    <w:p>
      <w:pPr>
        <w:spacing w:after="100"/>
      </w:pPr>
    </w:p>
    <w:p>
      <w:pPr>
        <w:pStyle w:val="Heading2"/>
      </w:pPr>
      <w:r>
        <w:rPr>
          <w:color w:val="065F46"/>
        </w:rPr>
        <w:t xml:space="preserve">¿Necesitas Soporte Nutricional Hospitalario?</w:t>
      </w:r>
    </w:p>
    <w:p>
      <w:pPr>
        <w:spacing w:after="160" w:line="300"/>
      </w:pPr>
      <w:r>
        <w:rPr>
          <w:rFonts w:ascii="Arial" w:cs="Arial" w:eastAsia="Arial" w:hAnsi="Arial"/>
          <w:color w:val="374151"/>
          <w:sz w:val="22"/>
          <w:szCs w:val="22"/>
        </w:rPr>
        <w:t xml:space="preserve">Si tu familiar está hospitalizado y no está recibiendo atención nutricional especializada, o si tienes una cirugía programada y quieres optimizar tu recuperación, estamos aquí para ayudarte.</w:t>
      </w:r>
    </w:p>
    <w:p>
      <w:pPr>
        <w:spacing w:after="160" w:line="300"/>
      </w:pPr>
      <w:r>
        <w:rPr>
          <w:rFonts w:ascii="Arial" w:cs="Arial" w:eastAsia="Arial" w:hAnsi="Arial"/>
          <w:color w:val="374151"/>
          <w:sz w:val="22"/>
          <w:szCs w:val="22"/>
        </w:rPr>
        <w:t xml:space="preserve">La nutrición clínica hospitalaria no es un complemento opcional: es parte esencial del tratamiento. Cuanto antes se inicie, mejores serán los resultados.</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10B981" w:val="clear"/>
            <w:tcMar>
              <w:top w:type="dxa" w:w="160"/>
              <w:left w:type="dxa" w:w="200"/>
              <w:bottom w:type="dxa" w:w="120"/>
              <w:right w:type="dxa" w:w="200"/>
            </w:tcMar>
          </w:tcPr>
          <w:p>
            <w:pPr>
              <w:spacing w:after="80"/>
              <w:jc w:val="center"/>
            </w:pPr>
            <w:r>
              <w:rPr>
                <w:rFonts w:ascii="Arial" w:cs="Arial" w:eastAsia="Arial" w:hAnsi="Arial"/>
                <w:b/>
                <w:bCs/>
                <w:color w:val="FFFFFF"/>
                <w:sz w:val="26"/>
                <w:szCs w:val="26"/>
              </w:rPr>
              <w:t xml:space="preserve">Agenda una Valoración Nutricional Hospitalaria</w:t>
            </w:r>
          </w:p>
          <w:p>
            <w:pPr>
              <w:spacing w:after="0"/>
              <w:jc w:val="center"/>
            </w:pPr>
            <w:r>
              <w:rPr>
                <w:rFonts w:ascii="Arial" w:cs="Arial" w:eastAsia="Arial" w:hAnsi="Arial"/>
                <w:color w:val="FFFFFF"/>
                <w:sz w:val="22"/>
                <w:szCs w:val="22"/>
              </w:rPr>
              <w:t xml:space="preserve">Clínica Denki - Nutrición Clínica Especializada en CDMX</w:t>
            </w:r>
          </w:p>
        </w:tc>
      </w:tr>
      <w:tr>
        <w:tc>
          <w:tcPr>
            <w:tcW w:type="dxa" w:w="9360"/>
            <w:tcBorders>
              <w:top w:val="none" w:sz="0"/>
              <w:left w:val="none" w:sz="0"/>
              <w:bottom w:val="none" w:sz="0"/>
              <w:right w:val="none" w:sz="0"/>
            </w:tcBorders>
            <w:shd w:fill="D1FAE5" w:val="clear"/>
            <w:tcMar>
              <w:top w:type="dxa" w:w="140"/>
              <w:left w:type="dxa" w:w="200"/>
              <w:bottom w:type="dxa" w:w="140"/>
              <w:right w:type="dxa" w:w="200"/>
            </w:tcMar>
          </w:tcPr>
          <w:p>
            <w:pPr>
              <w:spacing w:after="60"/>
            </w:pPr>
            <w:r>
              <w:rPr>
                <w:rFonts w:ascii="Arial" w:cs="Arial" w:eastAsia="Arial" w:hAnsi="Arial"/>
                <w:color w:val="065F46"/>
                <w:sz w:val="21"/>
                <w:szCs w:val="21"/>
              </w:rPr>
              <w:t xml:space="preserve">✓  Evaluación integral en hospital</w:t>
            </w:r>
          </w:p>
          <w:p>
            <w:pPr>
              <w:spacing w:after="60"/>
            </w:pPr>
            <w:r>
              <w:rPr>
                <w:rFonts w:ascii="Arial" w:cs="Arial" w:eastAsia="Arial" w:hAnsi="Arial"/>
                <w:color w:val="065F46"/>
                <w:sz w:val="21"/>
                <w:szCs w:val="21"/>
              </w:rPr>
              <w:t xml:space="preserve">✓  Coordinación con equipo médico</w:t>
            </w:r>
          </w:p>
          <w:p>
            <w:pPr>
              <w:spacing w:after="60"/>
            </w:pPr>
            <w:r>
              <w:rPr>
                <w:rFonts w:ascii="Arial" w:cs="Arial" w:eastAsia="Arial" w:hAnsi="Arial"/>
                <w:color w:val="065F46"/>
                <w:sz w:val="21"/>
                <w:szCs w:val="21"/>
              </w:rPr>
              <w:t xml:space="preserve">✓  Plan de transición al alta</w:t>
            </w:r>
          </w:p>
          <w:p>
            <w:pPr>
              <w:spacing w:after="60"/>
            </w:pPr>
            <w:r>
              <w:rPr>
                <w:rFonts w:ascii="Arial" w:cs="Arial" w:eastAsia="Arial" w:hAnsi="Arial"/>
                <w:color w:val="065F46"/>
                <w:sz w:val="21"/>
                <w:szCs w:val="21"/>
              </w:rPr>
              <w:t xml:space="preserve">✓  Seguimiento ambulatorio incluido</w:t>
            </w:r>
          </w:p>
          <w:p>
            <w:pPr>
              <w:spacing w:after="60"/>
            </w:pPr>
            <w:r>
              <w:rPr>
                <w:rFonts w:ascii="Arial" w:cs="Arial" w:eastAsia="Arial" w:hAnsi="Arial"/>
                <w:color w:val="065F46"/>
                <w:sz w:val="21"/>
                <w:szCs w:val="21"/>
              </w:rPr>
              <w:t xml:space="preserve">✓  Consulta presencial: Del Valle, CDMX</w:t>
            </w:r>
          </w:p>
          <w:p>
            <w:pPr>
              <w:spacing w:after="60"/>
            </w:pPr>
            <w:r>
              <w:rPr>
                <w:rFonts w:ascii="Arial" w:cs="Arial" w:eastAsia="Arial" w:hAnsi="Arial"/>
                <w:color w:val="065F46"/>
                <w:sz w:val="21"/>
                <w:szCs w:val="21"/>
              </w:rPr>
              <w:t xml:space="preserve">✓  Consulta en línea: Todo México</w:t>
            </w:r>
          </w:p>
          <w:p>
            <w:pPr>
              <w:spacing w:before="100" w:after="0"/>
              <w:jc w:val="center"/>
            </w:pPr>
            <w:r>
              <w:rPr>
                <w:rFonts w:ascii="Arial" w:cs="Arial" w:eastAsia="Arial" w:hAnsi="Arial"/>
                <w:b/>
                <w:bCs/>
                <w:color w:val="10B981"/>
                <w:sz w:val="22"/>
                <w:szCs w:val="22"/>
              </w:rPr>
              <w:t xml:space="preserve">Agenda tu consulta  →  </w:t>
            </w:r>
            <w:r>
              <w:rPr>
                <w:rFonts w:ascii="Arial" w:cs="Arial" w:eastAsia="Arial" w:hAnsi="Arial"/>
                <w:color w:val="059669"/>
                <w:sz w:val="22"/>
                <w:szCs w:val="22"/>
              </w:rPr>
              <w:t xml:space="preserve">clinicadenki.mx/contacto</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10B981" w:sz="2"/>
              <w:right w:val="none" w:sz="0"/>
            </w:tcBorders>
          </w:tcPr>
          <w:p>
            <w:pPr>
              <w:spacing w:after="0"/>
            </w:pPr>
          </w:p>
        </w:tc>
      </w:tr>
    </w:tbl>
    <w:p>
      <w:pPr>
        <w:spacing w:after="100"/>
      </w:pPr>
    </w:p>
    <w:p>
      <w:pPr>
        <w:pStyle w:val="Heading2"/>
      </w:pPr>
      <w:r>
        <w:rPr>
          <w:color w:val="065F46"/>
        </w:rPr>
        <w:t xml:space="preserve">Contenido Relacionado</w:t>
      </w:r>
    </w:p>
    <w:p>
      <w:pPr>
        <w:spacing w:after="140" w:line="300"/>
      </w:pPr>
      <w:r>
        <w:rPr>
          <w:rFonts w:ascii="Arial" w:cs="Arial" w:eastAsia="Arial" w:hAnsi="Arial"/>
          <w:b/>
          <w:bCs/>
          <w:color w:val="111827"/>
          <w:sz w:val="22"/>
          <w:szCs w:val="22"/>
        </w:rPr>
        <w:t xml:space="preserve">También te puede interesar:</w:t>
      </w:r>
    </w:p>
    <w:p>
      <w:pPr>
        <w:pStyle w:val="ListParagraph"/>
        <w:numPr>
          <w:ilvl w:val="0"/>
          <w:numId w:val="4"/>
        </w:numPr>
        <w:spacing w:after="80" w:line="280"/>
      </w:pPr>
      <w:r>
        <w:rPr>
          <w:rFonts w:ascii="Arial" w:cs="Arial" w:eastAsia="Arial" w:hAnsi="Arial"/>
          <w:color w:val="374151"/>
          <w:sz w:val="22"/>
          <w:szCs w:val="22"/>
        </w:rPr>
        <w:t xml:space="preserve">Alimentación por Sonda: Guía Completa para Cuidadores  →  /blogs/guia-nutricion/alimentacion-sonda-enteral</w:t>
      </w:r>
    </w:p>
    <w:p>
      <w:pPr>
        <w:pStyle w:val="ListParagraph"/>
        <w:numPr>
          <w:ilvl w:val="0"/>
          <w:numId w:val="4"/>
        </w:numPr>
        <w:spacing w:after="80" w:line="280"/>
      </w:pPr>
      <w:r>
        <w:rPr>
          <w:rFonts w:ascii="Arial" w:cs="Arial" w:eastAsia="Arial" w:hAnsi="Arial"/>
          <w:color w:val="374151"/>
          <w:sz w:val="22"/>
          <w:szCs w:val="22"/>
        </w:rPr>
        <w:t xml:space="preserve">Disfagia: Cómo Adaptar la Alimentación Cuando Tragar es Difícil  →  /blogs/guia-nutricion/disfagia-alimentacion-segura</w:t>
      </w:r>
    </w:p>
    <w:p>
      <w:pPr>
        <w:pStyle w:val="ListParagraph"/>
        <w:numPr>
          <w:ilvl w:val="0"/>
          <w:numId w:val="4"/>
        </w:numPr>
        <w:spacing w:after="80" w:line="280"/>
      </w:pPr>
      <w:r>
        <w:rPr>
          <w:rFonts w:ascii="Arial" w:cs="Arial" w:eastAsia="Arial" w:hAnsi="Arial"/>
          <w:color w:val="374151"/>
          <w:sz w:val="22"/>
          <w:szCs w:val="22"/>
        </w:rPr>
        <w:t xml:space="preserve">Nutrición para Pacientes con Cáncer Durante Quimioterapia  →  /blogs/guia-nutricion/nutricion-quimioterapia</w:t>
      </w:r>
    </w:p>
    <w:p>
      <w:pPr>
        <w:pStyle w:val="ListParagraph"/>
        <w:numPr>
          <w:ilvl w:val="0"/>
          <w:numId w:val="4"/>
        </w:numPr>
        <w:spacing w:after="80" w:line="280"/>
      </w:pPr>
      <w:r>
        <w:rPr>
          <w:rFonts w:ascii="Arial" w:cs="Arial" w:eastAsia="Arial" w:hAnsi="Arial"/>
          <w:color w:val="374151"/>
          <w:sz w:val="22"/>
          <w:szCs w:val="22"/>
        </w:rPr>
        <w:t xml:space="preserve">Sarcopenia en Adultos Mayores: Prevención desde la Nutrición  →  /blogs/guia-nutricion/sarcopenia-prevencion-nutricion</w:t>
      </w:r>
    </w:p>
    <w:p>
      <w:pPr>
        <w:spacing w:after="100"/>
      </w:pPr>
    </w:p>
    <w:p>
      <w:pPr>
        <w:spacing w:after="140" w:line="300"/>
      </w:pPr>
      <w:r>
        <w:rPr>
          <w:rFonts w:ascii="Arial" w:cs="Arial" w:eastAsia="Arial" w:hAnsi="Arial"/>
          <w:b/>
          <w:bCs/>
          <w:color w:val="111827"/>
          <w:sz w:val="22"/>
          <w:szCs w:val="22"/>
        </w:rPr>
        <w:t xml:space="preserve">Servicios relacionados:</w:t>
      </w:r>
    </w:p>
    <w:p>
      <w:pPr>
        <w:pStyle w:val="ListParagraph"/>
        <w:numPr>
          <w:ilvl w:val="0"/>
          <w:numId w:val="4"/>
        </w:numPr>
        <w:spacing w:after="80" w:line="280"/>
      </w:pPr>
      <w:r>
        <w:rPr>
          <w:rFonts w:ascii="Arial" w:cs="Arial" w:eastAsia="Arial" w:hAnsi="Arial"/>
          <w:color w:val="374151"/>
          <w:sz w:val="22"/>
          <w:szCs w:val="22"/>
        </w:rPr>
        <w:t xml:space="preserve">Nutrición para Disfagia  →  /servicios/nutricion-clinica-hospitalaria/disfagia/</w:t>
      </w:r>
    </w:p>
    <w:p>
      <w:pPr>
        <w:pStyle w:val="ListParagraph"/>
        <w:numPr>
          <w:ilvl w:val="0"/>
          <w:numId w:val="4"/>
        </w:numPr>
        <w:spacing w:after="80" w:line="280"/>
      </w:pPr>
      <w:r>
        <w:rPr>
          <w:rFonts w:ascii="Arial" w:cs="Arial" w:eastAsia="Arial" w:hAnsi="Arial"/>
          <w:color w:val="374151"/>
          <w:sz w:val="22"/>
          <w:szCs w:val="22"/>
        </w:rPr>
        <w:t xml:space="preserve">Nutrición Enteral (Sonda)  →  /servicios/nutricion-clinica-hospitalaria/sonda-gastrostomia/</w:t>
      </w:r>
    </w:p>
    <w:p>
      <w:pPr>
        <w:pStyle w:val="ListParagraph"/>
        <w:numPr>
          <w:ilvl w:val="0"/>
          <w:numId w:val="4"/>
        </w:numPr>
        <w:spacing w:after="80" w:line="280"/>
      </w:pPr>
      <w:r>
        <w:rPr>
          <w:rFonts w:ascii="Arial" w:cs="Arial" w:eastAsia="Arial" w:hAnsi="Arial"/>
          <w:color w:val="374151"/>
          <w:sz w:val="22"/>
          <w:szCs w:val="22"/>
        </w:rPr>
        <w:t xml:space="preserve">Nutrición Geriátrica  →  /servicios/nutricion-geriatrica/adulto-mayor/</w:t>
      </w:r>
    </w:p>
    <w:p>
      <w:pPr>
        <w:pStyle w:val="ListParagraph"/>
        <w:numPr>
          <w:ilvl w:val="0"/>
          <w:numId w:val="4"/>
        </w:numPr>
        <w:spacing w:after="80" w:line="280"/>
      </w:pPr>
      <w:r>
        <w:rPr>
          <w:rFonts w:ascii="Arial" w:cs="Arial" w:eastAsia="Arial" w:hAnsi="Arial"/>
          <w:color w:val="374151"/>
          <w:sz w:val="22"/>
          <w:szCs w:val="22"/>
        </w:rPr>
        <w:t xml:space="preserve">Nutrición Oncológica  →  /servicios/nutricion-oncologica/cancer/</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10B981" w:sz="2"/>
              <w:right w:val="none" w:sz="0"/>
            </w:tcBorders>
          </w:tcPr>
          <w:p>
            <w:pPr>
              <w:spacing w:after="0"/>
            </w:pPr>
          </w:p>
        </w:tc>
      </w:tr>
    </w:tbl>
    <w:p>
      <w:pPr>
        <w:spacing w:after="100"/>
      </w:pPr>
    </w:p>
    <w:p>
      <w:pPr>
        <w:spacing w:after="60"/>
      </w:pPr>
      <w:r>
        <w:rPr>
          <w:rFonts w:ascii="Arial" w:cs="Arial" w:eastAsia="Arial" w:hAnsi="Arial"/>
          <w:b/>
          <w:bCs/>
          <w:color w:val="6B7280"/>
          <w:sz w:val="18"/>
          <w:szCs w:val="18"/>
        </w:rPr>
        <w:t xml:space="preserve">SCHEMA MARKUP (JSON-LD)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10B981" w:sz="2"/>
              <w:right w:val="none" w:sz="0"/>
            </w:tcBorders>
          </w:tcPr>
          <w:p>
            <w:pPr>
              <w:spacing w:after="0"/>
            </w:pPr>
          </w:p>
        </w:tc>
      </w:tr>
    </w:tbl>
    <w:p>
      <w:pPr>
        <w:spacing w:after="80"/>
      </w:pPr>
    </w:p>
    <w:p>
      <w:pPr>
        <w:spacing w:after="160" w:line="300"/>
        <w:rPr>
          <w:color w:val="6B7280"/>
          <w:sz w:val="20"/>
          <w:szCs w:val="20"/>
        </w:rPr>
      </w:pPr>
      <w:r>
        <w:rPr>
          <w:rFonts w:ascii="Arial" w:cs="Arial" w:eastAsia="Arial" w:hAnsi="Arial"/>
          <w:color w:val="6B7280"/>
          <w:sz w:val="20"/>
          <w:szCs w:val="20"/>
        </w:rPr>
        <w:t xml:space="preserve">Implementar en el &lt;head&gt; de la página:</w:t>
      </w:r>
    </w:p>
    <w:p>
      <w:pPr>
        <w:spacing w:after="200"/>
      </w:pPr>
      <w:r>
        <w:rPr>
          <w:rFonts w:ascii="Courier New" w:cs="Courier New" w:eastAsia="Courier New" w:hAnsi="Courier New"/>
          <w:color w:val="6B7280"/>
          <w:sz w:val="16"/>
          <w:szCs w:val="16"/>
        </w:rPr>
        <w:t xml:space="preserve">{
  "@context": "https://schema.org",
  "@type": "MedicalWebPage",
  "name": "Nutrición Clínica Hospitalaria",
  "description": "Servicio especializado de nutrición clínica hospitalaria en CDMX",
  "url": "https://clinicadenki.mx/servicios/nutricion-clinica-hospitalaria/",
  "specialty": "Clinical Nutrition",
  "about": {
    "@type": "MedicalTherapy",
    "name": "Soporte nutricional hospitalario",
    "relevantSpecialty": "Clinical Nutrition"
  },
  "provider": {
    "@type": "MedicalClinic",
    "name": "Clínica Denki",
    "address": {
      "@type": "PostalAddress",
      "addressLocality": "Ciudad de México",
      "addressRegion": "CDMX",
      "addressCountry": "MX"
    }
  }
}</w:t>
      </w:r>
    </w:p>
    <w:p>
      <w:pPr>
        <w:spacing w:after="60"/>
      </w:pPr>
      <w:r>
        <w:rPr>
          <w:rFonts w:ascii="Arial" w:cs="Arial" w:eastAsia="Arial" w:hAnsi="Arial"/>
          <w:b/>
          <w:bCs/>
          <w:color w:val="6B7280"/>
          <w:sz w:val="18"/>
          <w:szCs w:val="18"/>
        </w:rPr>
        <w:t xml:space="preserve">CHECKLIST PRE-PUBLICACIÓN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10B981" w:sz="2"/>
              <w:right w:val="none" w:sz="0"/>
            </w:tcBorders>
          </w:tcPr>
          <w:p>
            <w:pPr>
              <w:spacing w:after="0"/>
            </w:pPr>
          </w:p>
        </w:tc>
      </w:tr>
    </w:tbl>
    <w:p>
      <w:pPr>
        <w:spacing w:after="80"/>
      </w:pPr>
    </w:p>
    <w:p>
      <w:pPr>
        <w:spacing w:after="60"/>
      </w:pPr>
      <w:r>
        <w:rPr>
          <w:rFonts w:ascii="Arial" w:cs="Arial" w:eastAsia="Arial" w:hAnsi="Arial"/>
          <w:color w:val="6B7280"/>
          <w:sz w:val="20"/>
          <w:szCs w:val="20"/>
        </w:rPr>
        <w:t xml:space="preserve">☐  </w:t>
      </w:r>
      <w:r>
        <w:rPr>
          <w:rFonts w:ascii="Arial" w:cs="Arial" w:eastAsia="Arial" w:hAnsi="Arial"/>
          <w:color w:val="6B7280"/>
          <w:sz w:val="20"/>
          <w:szCs w:val="20"/>
        </w:rPr>
        <w:t xml:space="preserve">Title tag optimizado (50-60 caracteres)</w:t>
      </w:r>
    </w:p>
    <w:p>
      <w:pPr>
        <w:spacing w:after="60"/>
      </w:pPr>
      <w:r>
        <w:rPr>
          <w:rFonts w:ascii="Arial" w:cs="Arial" w:eastAsia="Arial" w:hAnsi="Arial"/>
          <w:color w:val="6B7280"/>
          <w:sz w:val="20"/>
          <w:szCs w:val="20"/>
        </w:rPr>
        <w:t xml:space="preserve">☐  </w:t>
      </w:r>
      <w:r>
        <w:rPr>
          <w:rFonts w:ascii="Arial" w:cs="Arial" w:eastAsia="Arial" w:hAnsi="Arial"/>
          <w:color w:val="6B7280"/>
          <w:sz w:val="20"/>
          <w:szCs w:val="20"/>
        </w:rPr>
        <w:t xml:space="preserve">Meta description con CTA (150-160 caracteres)</w:t>
      </w:r>
    </w:p>
    <w:p>
      <w:pPr>
        <w:spacing w:after="60"/>
      </w:pPr>
      <w:r>
        <w:rPr>
          <w:rFonts w:ascii="Arial" w:cs="Arial" w:eastAsia="Arial" w:hAnsi="Arial"/>
          <w:color w:val="6B7280"/>
          <w:sz w:val="20"/>
          <w:szCs w:val="20"/>
        </w:rPr>
        <w:t xml:space="preserve">☐  </w:t>
      </w:r>
      <w:r>
        <w:rPr>
          <w:rFonts w:ascii="Arial" w:cs="Arial" w:eastAsia="Arial" w:hAnsi="Arial"/>
          <w:color w:val="6B7280"/>
          <w:sz w:val="20"/>
          <w:szCs w:val="20"/>
        </w:rPr>
        <w:t xml:space="preserve">URL limpia y descriptiva</w:t>
      </w:r>
    </w:p>
    <w:p>
      <w:pPr>
        <w:spacing w:after="60"/>
      </w:pPr>
      <w:r>
        <w:rPr>
          <w:rFonts w:ascii="Arial" w:cs="Arial" w:eastAsia="Arial" w:hAnsi="Arial"/>
          <w:color w:val="6B7280"/>
          <w:sz w:val="20"/>
          <w:szCs w:val="20"/>
        </w:rPr>
        <w:t xml:space="preserve">☐  </w:t>
      </w:r>
      <w:r>
        <w:rPr>
          <w:rFonts w:ascii="Arial" w:cs="Arial" w:eastAsia="Arial" w:hAnsi="Arial"/>
          <w:color w:val="6B7280"/>
          <w:sz w:val="20"/>
          <w:szCs w:val="20"/>
        </w:rPr>
        <w:t xml:space="preserve">H1 único con keyword principal</w:t>
      </w:r>
    </w:p>
    <w:p>
      <w:pPr>
        <w:spacing w:after="60"/>
      </w:pPr>
      <w:r>
        <w:rPr>
          <w:rFonts w:ascii="Arial" w:cs="Arial" w:eastAsia="Arial" w:hAnsi="Arial"/>
          <w:color w:val="6B7280"/>
          <w:sz w:val="20"/>
          <w:szCs w:val="20"/>
        </w:rPr>
        <w:t xml:space="preserve">☐  </w:t>
      </w:r>
      <w:r>
        <w:rPr>
          <w:rFonts w:ascii="Arial" w:cs="Arial" w:eastAsia="Arial" w:hAnsi="Arial"/>
          <w:color w:val="6B7280"/>
          <w:sz w:val="20"/>
          <w:szCs w:val="20"/>
        </w:rPr>
        <w:t xml:space="preserve">Estructura H2-H6 lógica</w:t>
      </w:r>
    </w:p>
    <w:p>
      <w:pPr>
        <w:spacing w:after="60"/>
      </w:pPr>
      <w:r>
        <w:rPr>
          <w:rFonts w:ascii="Arial" w:cs="Arial" w:eastAsia="Arial" w:hAnsi="Arial"/>
          <w:color w:val="6B7280"/>
          <w:sz w:val="20"/>
          <w:szCs w:val="20"/>
        </w:rPr>
        <w:t xml:space="preserve">☐  </w:t>
      </w:r>
      <w:r>
        <w:rPr>
          <w:rFonts w:ascii="Arial" w:cs="Arial" w:eastAsia="Arial" w:hAnsi="Arial"/>
          <w:color w:val="6B7280"/>
          <w:sz w:val="20"/>
          <w:szCs w:val="20"/>
        </w:rPr>
        <w:t xml:space="preserve">Contenido de 1,500-2,500 palabras</w:t>
      </w:r>
    </w:p>
    <w:p>
      <w:pPr>
        <w:spacing w:after="60"/>
      </w:pPr>
      <w:r>
        <w:rPr>
          <w:rFonts w:ascii="Arial" w:cs="Arial" w:eastAsia="Arial" w:hAnsi="Arial"/>
          <w:color w:val="6B7280"/>
          <w:sz w:val="20"/>
          <w:szCs w:val="20"/>
        </w:rPr>
        <w:t xml:space="preserve">☐  </w:t>
      </w:r>
      <w:r>
        <w:rPr>
          <w:rFonts w:ascii="Arial" w:cs="Arial" w:eastAsia="Arial" w:hAnsi="Arial"/>
          <w:color w:val="6B7280"/>
          <w:sz w:val="20"/>
          <w:szCs w:val="20"/>
        </w:rPr>
        <w:t xml:space="preserve">3-5 CTAs distribuidos estratégicamente</w:t>
      </w:r>
    </w:p>
    <w:p>
      <w:pPr>
        <w:spacing w:after="60"/>
      </w:pPr>
      <w:r>
        <w:rPr>
          <w:rFonts w:ascii="Arial" w:cs="Arial" w:eastAsia="Arial" w:hAnsi="Arial"/>
          <w:color w:val="6B7280"/>
          <w:sz w:val="20"/>
          <w:szCs w:val="20"/>
        </w:rPr>
        <w:t xml:space="preserve">☐  </w:t>
      </w:r>
      <w:r>
        <w:rPr>
          <w:rFonts w:ascii="Arial" w:cs="Arial" w:eastAsia="Arial" w:hAnsi="Arial"/>
          <w:color w:val="6B7280"/>
          <w:sz w:val="20"/>
          <w:szCs w:val="20"/>
        </w:rPr>
        <w:t xml:space="preserve">Formulario de contacto funcional</w:t>
      </w:r>
    </w:p>
    <w:p>
      <w:pPr>
        <w:spacing w:after="60"/>
      </w:pPr>
      <w:r>
        <w:rPr>
          <w:rFonts w:ascii="Arial" w:cs="Arial" w:eastAsia="Arial" w:hAnsi="Arial"/>
          <w:color w:val="6B7280"/>
          <w:sz w:val="20"/>
          <w:szCs w:val="20"/>
        </w:rPr>
        <w:t xml:space="preserve">☐  </w:t>
      </w:r>
      <w:r>
        <w:rPr>
          <w:rFonts w:ascii="Arial" w:cs="Arial" w:eastAsia="Arial" w:hAnsi="Arial"/>
          <w:color w:val="6B7280"/>
          <w:sz w:val="20"/>
          <w:szCs w:val="20"/>
        </w:rPr>
        <w:t xml:space="preserve">Teléfono y WhatsApp clickeables</w:t>
      </w:r>
    </w:p>
    <w:p>
      <w:pPr>
        <w:spacing w:after="60"/>
      </w:pPr>
      <w:r>
        <w:rPr>
          <w:rFonts w:ascii="Arial" w:cs="Arial" w:eastAsia="Arial" w:hAnsi="Arial"/>
          <w:color w:val="6B7280"/>
          <w:sz w:val="20"/>
          <w:szCs w:val="20"/>
        </w:rPr>
        <w:t xml:space="preserve">☐  </w:t>
      </w:r>
      <w:r>
        <w:rPr>
          <w:rFonts w:ascii="Arial" w:cs="Arial" w:eastAsia="Arial" w:hAnsi="Arial"/>
          <w:color w:val="6B7280"/>
          <w:sz w:val="20"/>
          <w:szCs w:val="20"/>
        </w:rPr>
        <w:t xml:space="preserve">Schema markup implementado (Service + FAQ)</w:t>
      </w:r>
    </w:p>
    <w:p>
      <w:pPr>
        <w:spacing w:after="60"/>
      </w:pPr>
      <w:r>
        <w:rPr>
          <w:rFonts w:ascii="Arial" w:cs="Arial" w:eastAsia="Arial" w:hAnsi="Arial"/>
          <w:color w:val="6B7280"/>
          <w:sz w:val="20"/>
          <w:szCs w:val="20"/>
        </w:rPr>
        <w:t xml:space="preserve">☐  </w:t>
      </w:r>
      <w:r>
        <w:rPr>
          <w:rFonts w:ascii="Arial" w:cs="Arial" w:eastAsia="Arial" w:hAnsi="Arial"/>
          <w:color w:val="6B7280"/>
          <w:sz w:val="20"/>
          <w:szCs w:val="20"/>
        </w:rPr>
        <w:t xml:space="preserve">5-10 internal links relevantes</w:t>
      </w:r>
    </w:p>
    <w:p>
      <w:pPr>
        <w:spacing w:after="60"/>
      </w:pPr>
      <w:r>
        <w:rPr>
          <w:rFonts w:ascii="Arial" w:cs="Arial" w:eastAsia="Arial" w:hAnsi="Arial"/>
          <w:color w:val="6B7280"/>
          <w:sz w:val="20"/>
          <w:szCs w:val="20"/>
        </w:rPr>
        <w:t xml:space="preserve">☐  </w:t>
      </w:r>
      <w:r>
        <w:rPr>
          <w:rFonts w:ascii="Arial" w:cs="Arial" w:eastAsia="Arial" w:hAnsi="Arial"/>
          <w:color w:val="6B7280"/>
          <w:sz w:val="20"/>
          <w:szCs w:val="20"/>
        </w:rPr>
        <w:t xml:space="preserve">1-2 external links a fuentes médicas autorizadas</w:t>
      </w:r>
    </w:p>
    <w:p>
      <w:pPr>
        <w:spacing w:after="60"/>
      </w:pPr>
      <w:r>
        <w:rPr>
          <w:rFonts w:ascii="Arial" w:cs="Arial" w:eastAsia="Arial" w:hAnsi="Arial"/>
          <w:color w:val="6B7280"/>
          <w:sz w:val="20"/>
          <w:szCs w:val="20"/>
        </w:rPr>
        <w:t xml:space="preserve">☐  </w:t>
      </w:r>
      <w:r>
        <w:rPr>
          <w:rFonts w:ascii="Arial" w:cs="Arial" w:eastAsia="Arial" w:hAnsi="Arial"/>
          <w:color w:val="6B7280"/>
          <w:sz w:val="20"/>
          <w:szCs w:val="20"/>
        </w:rPr>
        <w:t xml:space="preserve">Mobile responsive</w:t>
      </w:r>
    </w:p>
    <w:p>
      <w:pPr>
        <w:spacing w:after="60"/>
      </w:pPr>
      <w:r>
        <w:rPr>
          <w:rFonts w:ascii="Arial" w:cs="Arial" w:eastAsia="Arial" w:hAnsi="Arial"/>
          <w:color w:val="6B7280"/>
          <w:sz w:val="20"/>
          <w:szCs w:val="20"/>
        </w:rPr>
        <w:t xml:space="preserve">☐  </w:t>
      </w:r>
      <w:r>
        <w:rPr>
          <w:rFonts w:ascii="Arial" w:cs="Arial" w:eastAsia="Arial" w:hAnsi="Arial"/>
          <w:color w:val="6B7280"/>
          <w:sz w:val="20"/>
          <w:szCs w:val="20"/>
        </w:rPr>
        <w:t xml:space="preserve">Velocidad de carga &lt;3 segundos</w:t>
      </w:r>
    </w:p>
    <w:p>
      <w:pPr>
        <w:spacing w:after="60"/>
      </w:pPr>
      <w:r>
        <w:rPr>
          <w:rFonts w:ascii="Arial" w:cs="Arial" w:eastAsia="Arial" w:hAnsi="Arial"/>
          <w:color w:val="6B7280"/>
          <w:sz w:val="20"/>
          <w:szCs w:val="20"/>
        </w:rPr>
        <w:t xml:space="preserve">☐  </w:t>
      </w:r>
      <w:r>
        <w:rPr>
          <w:rFonts w:ascii="Arial" w:cs="Arial" w:eastAsia="Arial" w:hAnsi="Arial"/>
          <w:color w:val="6B7280"/>
          <w:sz w:val="20"/>
          <w:szCs w:val="20"/>
        </w:rPr>
        <w:t xml:space="preserve">Revisión médica completada</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clinicadenki.mx  |  Del Valle, Benito Juárez, CDMX  |  </w:t>
    </w:r>
    <w:r>
      <w:rPr>
        <w:rFonts w:ascii="Arial" w:cs="Arial" w:eastAsia="Arial" w:hAnsi="Arial"/>
        <w:color w:val="6B7280"/>
        <w:sz w:val="16"/>
        <w:szCs w:val="16"/>
      </w:rPr>
      <w:t xml:space="preserve">Página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10B981"/>
        <w:sz w:val="16"/>
        <w:szCs w:val="16"/>
      </w:rPr>
      <w:t xml:space="preserve">CLÍNICA DENKI</w:t>
    </w:r>
    <w:r>
      <w:rPr>
        <w:rFonts w:ascii="Arial" w:cs="Arial" w:eastAsia="Arial" w:hAnsi="Arial"/>
        <w:color w:val="6B7280"/>
        <w:sz w:val="16"/>
        <w:szCs w:val="16"/>
      </w:rPr>
      <w:t xml:space="preserve">  |  Nutrición Clínica Especializada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065F46"/>
      <w:sz w:val="36"/>
      <w:szCs w:val="36"/>
    </w:rPr>
  </w:style>
  <w:style w:type="paragraph" w:styleId="Heading2">
    <w:name w:val="Heading 2"/>
    <w:basedOn w:val="Normal"/>
    <w:next w:val="Normal"/>
    <w:qFormat/>
    <w:pPr>
      <w:spacing w:before="280" w:after="180"/>
      <w:outlineLvl w:val="1"/>
    </w:pPr>
    <w:rPr>
      <w:rFonts w:ascii="Arial" w:cs="Arial" w:eastAsia="Arial" w:hAnsi="Arial"/>
      <w:b/>
      <w:bCs/>
      <w:color w:val="065F46"/>
      <w:sz w:val="30"/>
      <w:szCs w:val="30"/>
    </w:rPr>
  </w:style>
  <w:style w:type="paragraph" w:styleId="Heading3">
    <w:name w:val="Heading 3"/>
    <w:basedOn w:val="Normal"/>
    <w:next w:val="Normal"/>
    <w:qFormat/>
    <w:pPr>
      <w:spacing w:before="200" w:after="140"/>
      <w:outlineLvl w:val="2"/>
    </w:pPr>
    <w:rPr>
      <w:rFonts w:ascii="Arial" w:cs="Arial" w:eastAsia="Arial" w:hAnsi="Arial"/>
      <w:b/>
      <w:bCs/>
      <w:color w:val="05966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2026-02-02T04:26:38.293Z</dcterms:created>
  <dcterms:modified xsi:type="dcterms:W3CDTF">2026-02-02T04:26:38.293Z</dcterms:modified>
</cp:coreProperties>
</file>

<file path=docProps/custom.xml><?xml version="1.0" encoding="utf-8"?>
<Properties xmlns="http://schemas.openxmlformats.org/officeDocument/2006/custom-properties" xmlns:vt="http://schemas.openxmlformats.org/officeDocument/2006/docPropsVTypes"/>
</file>