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907"/>
        <w:gridCol w:w="8554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3B95432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Elevated Work Platform 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>–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63E3A427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Experienced mechanical aerospace engineer with a combined 10+ years of dedication and proven ability in project engineering, product design/development, system engineering and integration, design supervision, and commissioning process.</w:t>
            </w:r>
          </w:p>
          <w:p w14:paraId="2F1D63AE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Throughout my various positions and projects in the Aerospace and Energy industry, I always enjoyed forming trust-based relationships, solving complex customer problems, and leading teams to achieve challenging goals.</w:t>
            </w:r>
          </w:p>
          <w:p w14:paraId="05AB41FE" w14:textId="1585D930" w:rsid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My guiding principles are simple: work hard, lead by example, and positively impact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0A1D2140" w14:textId="0A342E41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Senior Systems/ Project Engineer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Robotics &amp; Space Operations</w:t>
            </w:r>
          </w:p>
          <w:p w14:paraId="1A915A89" w14:textId="646E8142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MDA</w:t>
            </w:r>
          </w:p>
          <w:p w14:paraId="554AFBC8" w14:textId="3022070B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February 2022 — Present</w:t>
            </w:r>
          </w:p>
          <w:p w14:paraId="38AA0278" w14:textId="5AC176DD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DB0BAB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Brampton (ON), Canada</w:t>
            </w:r>
            <w:r w:rsidR="00675566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E6FF7B" w14:textId="20B2D83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Performs systems engineering functions and acts as project authority for on-orbit and planetary robotic systems to conduct space operations.</w:t>
            </w:r>
          </w:p>
          <w:p w14:paraId="33E3D173" w14:textId="56AB82E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Lead and coordinate day-to-day execution of the multi-disciplinary project team, in support of the Program Manager, to meet technical, schedule requirements and budget constraints.</w:t>
            </w:r>
          </w:p>
          <w:p w14:paraId="45E6F25B" w14:textId="5B952E3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Ensure ongoing project team coordination and communication, especially across disciplines, to ensure full buy-in to project objectives. Work to resolve any issues and ensure team buy-in.</w:t>
            </w:r>
          </w:p>
          <w:p w14:paraId="47EC7522" w14:textId="48E51CA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high-level system requirements based on end-user needs and stated requirements.</w:t>
            </w:r>
          </w:p>
          <w:p w14:paraId="55567EA7" w14:textId="55FC5DF0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Apply engineering knowledge to large and complex projects in the design, development, test, integration, verification, validation and operation of complex, specialized products and technologies;</w:t>
            </w:r>
          </w:p>
          <w:p w14:paraId="7245BCAF" w14:textId="7AFEF5D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Analyze and decompose systems-level requirements and allocate requirements and design margin across subsystem elements.</w:t>
            </w:r>
          </w:p>
          <w:p w14:paraId="7864749D" w14:textId="786B7F7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Advocate for design to cost, design for test, and design for manufacture approach throughout the organization for effective productization of commercial space systems.</w:t>
            </w:r>
          </w:p>
          <w:p w14:paraId="40DAB2BB" w14:textId="483A9BB1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Drive the development of system architecture, design and interface documentation.</w:t>
            </w:r>
          </w:p>
          <w:p w14:paraId="210787FA" w14:textId="225DDF48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technical and interface requirements throughout all project phases.</w:t>
            </w:r>
          </w:p>
          <w:p w14:paraId="38F845B5" w14:textId="0B8ADCC3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high-level system and subsystem design.</w:t>
            </w:r>
          </w:p>
          <w:p w14:paraId="2796F9F6" w14:textId="165CD0C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 trade studies, analyses, and modelling to support requirements and system development.</w:t>
            </w:r>
          </w:p>
          <w:p w14:paraId="66001799" w14:textId="44878A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Create and maintain system budgets.</w:t>
            </w:r>
          </w:p>
          <w:p w14:paraId="2C96427E" w14:textId="24D3DF0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Identify, assess and handle project risks.</w:t>
            </w:r>
          </w:p>
          <w:p w14:paraId="1B81A38F" w14:textId="3EBA5BF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Provide technical leadership and review support.</w:t>
            </w:r>
          </w:p>
          <w:p w14:paraId="576C58E0" w14:textId="1546C46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test plans and procedures for verification and validation of system requirements.</w:t>
            </w:r>
          </w:p>
          <w:p w14:paraId="729A5E7E" w14:textId="06C842E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Coordinate and support integration and testing activities.</w:t>
            </w:r>
          </w:p>
          <w:p w14:paraId="2727EECD" w14:textId="5F63A085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verification and test plans.</w:t>
            </w:r>
          </w:p>
          <w:p w14:paraId="4200FF05" w14:textId="11377332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Understand and assess design issues, determine appropriate resolutions, and work with the team to address them.</w:t>
            </w:r>
          </w:p>
          <w:p w14:paraId="3B4446C5" w14:textId="356CCEFD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Troubleshoot system behaviour anomalies, determine root cause, and the appropriate technical resolution.</w:t>
            </w:r>
          </w:p>
          <w:p w14:paraId="455BD93E" w14:textId="361B60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Review, analyze, and interpret telemetry from deployed systems with context and understanding of the systems development life cycle.</w:t>
            </w:r>
          </w:p>
          <w:p w14:paraId="6FAA0C04" w14:textId="7702FED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lastRenderedPageBreak/>
              <w:t>Collaborate with project managers and business stakeholders to maintain project schedules and budgets while accomplishing project deliverables.</w:t>
            </w:r>
          </w:p>
          <w:p w14:paraId="2E880A94" w14:textId="2B9997AD" w:rsidR="00675566" w:rsidRDefault="00DB0BAB" w:rsidP="00DB0BAB">
            <w:pPr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Support project managers and the business development team with cost estimation and proposals.</w:t>
            </w:r>
            <w:r w:rsidRPr="00DB0BAB">
              <w:rPr>
                <w:rFonts w:asciiTheme="minorHAnsi" w:hAnsiTheme="minorHAnsi"/>
                <w:noProof/>
                <w:lang w:val="en-GB"/>
              </w:rPr>
              <w:t xml:space="preserve"> </w:t>
            </w:r>
          </w:p>
          <w:p w14:paraId="340A8BEF" w14:textId="7F548D74" w:rsidR="00675566" w:rsidRDefault="00675566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69C3A588" w14:textId="77777777" w:rsidR="00D63518" w:rsidRPr="004733F0" w:rsidRDefault="00D63518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1466D624" w14:textId="27FEA555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Gas Turbine Applications Engineer (Systems Integrator)</w:t>
            </w:r>
          </w:p>
          <w:p w14:paraId="26A554C0" w14:textId="4AAAAD6D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MDS Gas Turbine Engine Solutions</w:t>
            </w:r>
          </w:p>
          <w:p w14:paraId="5110A10C" w14:textId="27A7E94A" w:rsidR="00F85313" w:rsidRPr="001A29B1" w:rsidRDefault="00DB0BAB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 — February 2022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9623E52" w14:textId="625D7D0A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Developed and deployed custom-built test facilities and test systems for aviation, industrial, and marine Gas Turbine (GT) engines, emphasizing the following areas:</w:t>
            </w:r>
          </w:p>
          <w:p w14:paraId="58FDA907" w14:textId="3C838FC5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Data Acquisition System (DAS) applications and software development</w:t>
            </w:r>
          </w:p>
          <w:p w14:paraId="164A5833" w14:textId="31552DB7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Instrumentation and control systems</w:t>
            </w:r>
          </w:p>
          <w:p w14:paraId="3D264A29" w14:textId="3CDDD321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Mechanical static and dynamic systems (including rotor-dynamics)</w:t>
            </w:r>
          </w:p>
          <w:p w14:paraId="00F7D220" w14:textId="53285576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Aerodynamic and acoustics design</w:t>
            </w:r>
          </w:p>
          <w:p w14:paraId="3E44D730" w14:textId="391F35D4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Environmental engineering</w:t>
            </w:r>
          </w:p>
          <w:p w14:paraId="720023CD" w14:textId="266E89DC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Manufacturing, fabrication, production, and assembly</w:t>
            </w:r>
          </w:p>
          <w:p w14:paraId="37A0E108" w14:textId="7CA4F375" w:rsidR="00B658FC" w:rsidRPr="001A29B1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Facilities planning and construction</w:t>
            </w:r>
            <w:r w:rsidR="00264162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6D402ECA" w14:textId="77777777" w:rsidR="00A723E7" w:rsidRDefault="00923BF9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86B1298" w14:textId="296D6CEB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— CFM56-5B, CFM56-7B, GE90-115B, GE90-94B, EA GP7200, GEnx-1B, GEnx-2B</w:t>
            </w:r>
          </w:p>
          <w:p w14:paraId="1EB53AA5" w14:textId="26AC069F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GKN Aerospace (Sweden) — Volvo RM12 and RM16 (Gripen fighter jet)</w:t>
            </w:r>
          </w:p>
          <w:p w14:paraId="29979539" w14:textId="7215AA97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Standard Aero (formerly Vector Aerospace) (Canada) — P&amp;WC JT15D (multiple variants)</w:t>
            </w:r>
          </w:p>
          <w:p w14:paraId="374477E9" w14:textId="42807C6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Lockheed Martin Commercial Engine Solutions (Canada) — CFM56-2A, CFM56-2B, CFM56-2C, CFM56-3, CFM56-5A, CFM56-5B, CFM56-5C, CFM56-7B, GE CF6-50C2</w:t>
            </w:r>
          </w:p>
          <w:p w14:paraId="58B8F511" w14:textId="20521A96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 Services Morocco (Morocco) — CFM56 (multiple variants)</w:t>
            </w:r>
          </w:p>
          <w:p w14:paraId="4A9E7BB2" w14:textId="3ADF605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 (UK) — Consoles</w:t>
            </w:r>
          </w:p>
          <w:p w14:paraId="2AD59958" w14:textId="1760532D" w:rsidR="00BD4904" w:rsidRPr="00BD4904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GA Telesis Engine Services (Finland) — CFM56-5B, CFM56-7B, GE CF6-80C2</w:t>
            </w: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3F540DE7" w14:textId="1E628F9C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Rolls-Royce/ NASA Stennis Space Center (USA) — Outdoor Jet Engine Test Facility (development and certification testing)</w:t>
            </w:r>
          </w:p>
          <w:p w14:paraId="16A633D5" w14:textId="01DC7BE3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Engines (formerly Snecma) (France) — CFM LEAP-1A (certification testing), CFM56 (endurance testing)</w:t>
            </w:r>
          </w:p>
          <w:p w14:paraId="011F2EDA" w14:textId="12D35AD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MAN Energy Solutions (Germany) — Industrial Gas Turbine MGT6000-2S, MG8000-1S</w:t>
            </w:r>
          </w:p>
          <w:p w14:paraId="245504B7" w14:textId="1A895B52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Siemens (Canada) — Industrial RB211</w:t>
            </w:r>
          </w:p>
          <w:p w14:paraId="6CA297B4" w14:textId="6316295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MDS AeroTest/ GLACIER Test Facility (Canada) — Emissions analyser system support</w:t>
            </w:r>
          </w:p>
          <w:p w14:paraId="34A2B4B6" w14:textId="2496EE0B" w:rsid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AVIC Commercial Aircraft Engines (ACAE) / Aeroengine Corporation of China (AECC) (China) — Fan, Booster, HPC, and Turbine (development testing)</w:t>
            </w:r>
          </w:p>
          <w:p w14:paraId="4D36EA39" w14:textId="67F6DE90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Shanghai Electric Blower Works Co. (China) — Compressor (development testing)</w:t>
            </w:r>
            <w:r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2DDBCF49" w14:textId="715BB0CF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Interpreted contract technical requirements based on end-user needs and used these to develop project specifications, organize work breakdown structures, generate requirements matrices, and execute system-level project plans.</w:t>
            </w:r>
          </w:p>
          <w:p w14:paraId="64ABE9F3" w14:textId="13EF4683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Maintained accountability through design, procurement, manufacturing, assembly, installation, commissioning and testing activities by maintaining tight liaison throughout their completion.</w:t>
            </w:r>
          </w:p>
          <w:p w14:paraId="323B0597" w14:textId="793A7DE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 xml:space="preserve">Developed execution strategies and communicated technical direction for the project's entire technical effort to achieve objectives defined by Management. Monitored activities and the </w:t>
            </w:r>
            <w:r w:rsidRPr="00264162">
              <w:rPr>
                <w:rFonts w:asciiTheme="minorHAnsi" w:hAnsiTheme="minorHAnsi"/>
                <w:noProof/>
                <w:lang w:val="en-GB"/>
              </w:rPr>
              <w:lastRenderedPageBreak/>
              <w:t>generation of deliverables required to achieve the objectives and ensured any roadblocks were resolved.</w:t>
            </w:r>
          </w:p>
          <w:p w14:paraId="1D52446E" w14:textId="219CE5E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Planned and managed the interfaces between the various subsystems that make up the project scope of work as well as between the various internal/external stakeholders on the individual subsystems.</w:t>
            </w:r>
          </w:p>
          <w:p w14:paraId="7817E9E1" w14:textId="5A49155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Monitored test systems schedule, budget, and technical compliance. Identified, assessed, analyzed, and supported the design team with any related risks, nonconformances, change orders, or concerns.</w:t>
            </w:r>
          </w:p>
          <w:p w14:paraId="4874463D" w14:textId="7BEDE8C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Integrated multi-disciplinary knowledge of engineering to achieve the best overall product and service within the project's technical, cost and schedule constraints. Reviewed engineering team designs to ensure conformance and own multi-disciplinary.</w:t>
            </w:r>
          </w:p>
          <w:p w14:paraId="2FB76269" w14:textId="53C13E7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Participated in the vendor selection process and liaised with the procurement Point of Contact to monitor vendor progress.</w:t>
            </w:r>
          </w:p>
          <w:p w14:paraId="29471E3A" w14:textId="2B2CEA4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Planed the high-level engineering deliverable structure to support the smooth interface with the company Enterprise Resource Planning (ERP) system and procurement process.</w:t>
            </w:r>
          </w:p>
          <w:p w14:paraId="285F66DF" w14:textId="2BADBAC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Liaised with the production planner to track, monitor and manage the progress of work orders for materials ad subcontracts through the ERP system.</w:t>
            </w:r>
          </w:p>
          <w:p w14:paraId="6EFA3DA5" w14:textId="67DCD49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Traveled to customer sites worldwide to attend design reviews and monitor progress at the critical points of installation and commissioning.</w:t>
            </w:r>
          </w:p>
          <w:p w14:paraId="111BCB78" w14:textId="44ABFA0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Configured Data Acquisition System (DAS), prepared post-analysis report templates, created real-time display interfaces and automated test sequences to meet customer needs.</w:t>
            </w:r>
          </w:p>
          <w:p w14:paraId="72597D0D" w14:textId="142A952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Defined the relevant engine and facility parameters to be measured and calculated by the Data Acquisition System (DAS) for engine turbine testing.</w:t>
            </w:r>
          </w:p>
          <w:p w14:paraId="6E1F6058" w14:textId="59B925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Designed the customer's operations consoles and the integration of HMI to control and monitor the DAS and facility equipment.</w:t>
            </w:r>
          </w:p>
          <w:p w14:paraId="2411BC72" w14:textId="77777777" w:rsidR="00D63518" w:rsidRPr="00264162" w:rsidRDefault="00D63518" w:rsidP="00D63518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Developed verification and test plans. Wrote and ran in-house and on-site Acceptance Test Procedures (ATP) with customers to validate deliverables that comply with contract technical and commercial requirements.</w:t>
            </w:r>
          </w:p>
          <w:p w14:paraId="44BFFD4A" w14:textId="468BB17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Prepared/Supervised and reviewed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7C185ED7" w14:textId="79EDF9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customer's operations of GT engine testing during and beyond the commissioning phase (Field Service Representative) for extended periods (6+ months). Troubleshoot system behaviour anomalies, determine root cause, and the appropriate technical resolution.</w:t>
            </w:r>
          </w:p>
          <w:p w14:paraId="4DFB6341" w14:textId="53E79E6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Provided on-site and remote customer training in collaboration with Customer Service.</w:t>
            </w:r>
          </w:p>
          <w:p w14:paraId="62AF47DA" w14:textId="00DE9D36" w:rsid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and prepared bids, proposals or tenders.</w:t>
            </w:r>
          </w:p>
          <w:p w14:paraId="20CF8BDA" w14:textId="7DEE5A9C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3C170D2E" w14:textId="77777777" w:rsidR="00D63518" w:rsidRDefault="00D63518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359746D5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Combustion &amp; Pollutant Emissions Engineer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Aerothermal (intern)</w:t>
            </w:r>
          </w:p>
          <w:p w14:paraId="266A7770" w14:textId="1FC5B5CF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Siemens Canada (formerly Rolls-Royce Canada)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</w:t>
            </w:r>
            <w:r w:rsidR="00BC0850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Research and Technology</w:t>
            </w:r>
          </w:p>
          <w:p w14:paraId="5D74D8A8" w14:textId="669F832C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</w:t>
            </w:r>
            <w:r w:rsidR="00D63518" w:rsidRPr="00D63518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5C907C8A" w14:textId="590D7072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39FB966" w14:textId="3D9FCF5F" w:rsidR="00D63518" w:rsidRDefault="00D63518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6E3550A" w14:textId="77777777" w:rsidR="00C923A4" w:rsidRPr="001A29B1" w:rsidRDefault="00C923A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7F183CEC" w:rsidR="00987CE4" w:rsidRPr="001A29B1" w:rsidRDefault="00447D11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>Research &amp; Teaching Assistant</w:t>
            </w:r>
            <w:r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Dr. Alain De Champlain</w:t>
            </w:r>
          </w:p>
          <w:p w14:paraId="4F8C906D" w14:textId="34BD136B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Combustion 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Engineering </w:t>
            </w: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Research Laboratory at Laval University</w:t>
            </w:r>
          </w:p>
          <w:p w14:paraId="5E8D917E" w14:textId="09078339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2011 — December 2012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6C45B45B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24E8C4" w14:textId="77777777" w:rsidR="00690F20" w:rsidRPr="001A29B1" w:rsidRDefault="00690F20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1F1D41B" w:rsidR="00987CE4" w:rsidRPr="00447D1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Independent Study in Mechanical Engineering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w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ith Dr. Razvan Rusovici</w:t>
            </w:r>
          </w:p>
          <w:p w14:paraId="0244DACB" w14:textId="5F4328E0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Institute of Technology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6D3E8E26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Formula SAE Series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Stephanie</w:t>
            </w:r>
            <w:r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Hopper and Dr. Youngsik Choi</w:t>
            </w:r>
          </w:p>
          <w:p w14:paraId="58D3F922" w14:textId="31488AAC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Tech Motorsports (FIT)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098B8FE2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Service Engineer (intern)</w:t>
            </w:r>
          </w:p>
          <w:p w14:paraId="479D7192" w14:textId="7EB44709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Prestige Dentaire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296A4D24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>Military Experience (volunteer)</w:t>
            </w: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Sar El Program</w:t>
            </w:r>
          </w:p>
          <w:p w14:paraId="7727FC48" w14:textId="2A2E6D57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Tsahal, Israeli Army Training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Skills &amp; Abilities</w:t>
            </w:r>
          </w:p>
          <w:p w14:paraId="35AFCAB6" w14:textId="042ABE9B" w:rsidR="003D20DC" w:rsidRDefault="00CC2982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System Integration,  Systems Engineering, Project Engineering, Project Management, Aerospace Engineering, Business Strategy, Testing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D4CDC6D" w:rsidR="00860BFE" w:rsidRPr="001A29B1" w:rsidRDefault="00860BFE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Turbomachinery, Gas Turbines/ Jet Engines/Propulsion, Data Acquisition Systems, Aerodynamics, Thermodynamics, Combustion, Fluid Dynamics, Energy and Climate Change, Blockchain and Cryptocurrency Technologies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5418773D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AutoCAD, SolidWorks, Pro/ENGINEER &amp; Creo, CATIA, ANSYS Workbench Platform, ANSYS Parametric Design Language (APDL), Cosmos Design, Solid Concepts, CNC Software/Mastercam</w:t>
            </w:r>
          </w:p>
          <w:p w14:paraId="35315029" w14:textId="419B0859" w:rsidR="009C3E34" w:rsidRPr="001A29B1" w:rsidRDefault="00C12C02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NI LabVIEW, proDAS and nxDAS (MDS Aero Support Corp), iDDS (instrumentation Data Distribution Service), LaVision FlowMaster (PIV)</w:t>
            </w:r>
          </w:p>
          <w:p w14:paraId="5A7512DB" w14:textId="4DD06346" w:rsidR="009C3E34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MS Excel/VBA, Python, MATLAB, Java, SQL database, HTML CSS programming</w:t>
            </w:r>
            <w:r w:rsidR="00AA55BF">
              <w:rPr>
                <w:rFonts w:asciiTheme="minorHAnsi" w:hAnsiTheme="minorHAnsi"/>
                <w:noProof/>
                <w:lang w:val="en-GB"/>
              </w:rPr>
              <w:t>, XML, Apache, LaTex, Mediawiki</w:t>
            </w:r>
          </w:p>
          <w:p w14:paraId="26C56B78" w14:textId="26C8A760" w:rsidR="001D0A54" w:rsidRPr="00AA55BF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Microsoft Office 365, Unix/Linux architecture (e.g CentOS, Red Hat, Ubuntu), Computer networking, G Suite, NetBeans, MATLAB, Mathcad, Maple, Adobe Photoshop, Adobe Lightroom, Adobe XD, Adobe Premiere Pro, computer virtualization (e.g. VMware), Wi-Fi security and penetration testing (e.g. Kali Linux), source code repositories (e.g. Git, Subversion) and bug tracking systems (e.g. Bugzilla, JIRA)</w:t>
            </w:r>
          </w:p>
          <w:p w14:paraId="35D275F4" w14:textId="59D6326A" w:rsidR="00AA55BF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Hardware skills:</w:t>
            </w:r>
            <w:r w:rsidRPr="00AA55BF">
              <w:rPr>
                <w:rFonts w:asciiTheme="minorHAnsi" w:hAnsiTheme="minorHAnsi"/>
                <w:noProof/>
                <w:lang w:val="en-GB"/>
              </w:rPr>
              <w:t xml:space="preserve">  Network configuration, Tech support and troubleshooting, WAN/LAN and routers</w:t>
            </w:r>
          </w:p>
          <w:p w14:paraId="0958F244" w14:textId="77F0E630" w:rsidR="00AA55BF" w:rsidRPr="001A29B1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  <w:r>
              <w:rPr>
                <w:rFonts w:asciiTheme="minorHAnsi" w:hAnsiTheme="minorHAnsi"/>
                <w:b/>
                <w:noProof/>
                <w:lang w:val="en-GB"/>
              </w:rPr>
              <w:t xml:space="preserve"> Lifecycle Management (PLM):  </w:t>
            </w:r>
            <w:r w:rsidRPr="00AA55BF">
              <w:rPr>
                <w:rFonts w:asciiTheme="minorHAnsi" w:hAnsiTheme="minorHAnsi"/>
                <w:noProof/>
                <w:lang w:val="en-GB"/>
              </w:rPr>
              <w:t>PTC Windchill, Omnify Empower</w:t>
            </w:r>
          </w:p>
          <w:p w14:paraId="2FC759CA" w14:textId="77777777" w:rsidR="009C3E34" w:rsidRPr="00C923A4" w:rsidRDefault="009C3E34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C923A4" w:rsidRDefault="00414D83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79451F90" w14:textId="77777777" w:rsidR="001A29B1" w:rsidRPr="001A29B1" w:rsidRDefault="001A29B1" w:rsidP="00C923A4">
            <w:pPr>
              <w:ind w:left="0"/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675566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>M.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>Youssef, J.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Agou, 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9E653B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1B8673D9" w14:textId="146F22A8" w:rsidR="00052ED5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 [Jun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B</w:t>
            </w:r>
            <w:r w:rsidRPr="004F647A">
              <w:rPr>
                <w:rFonts w:asciiTheme="minorHAnsi" w:hAnsiTheme="minorHAnsi"/>
                <w:noProof/>
                <w:lang w:val="en-GB"/>
              </w:rPr>
              <w:t xml:space="preserve">utterfly Aero Training, License </w:t>
            </w:r>
            <w:r w:rsidRPr="004F647A">
              <w:rPr>
                <w:rFonts w:asciiTheme="minorHAnsi" w:hAnsiTheme="minorHAnsi"/>
                <w:noProof/>
                <w:lang w:val="en-GB"/>
              </w:rPr>
              <w:t>GB81580A20140623</w:t>
            </w:r>
          </w:p>
          <w:p w14:paraId="101716C3" w14:textId="076373C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Customer Service Training [Sep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0D102E4" w14:textId="6D094138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D68CCAE" w14:textId="5C956FA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COVID-19 Employee Health and Safety Training [Jun 2020]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4880FF9C" w14:textId="47DDF05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Electrical Safety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DD59F87" w14:textId="77777777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18CA240C" w:rsidR="00A0181F" w:rsidRPr="001A29B1" w:rsidRDefault="009E653B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4B04EAC6" w14:textId="59802650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ESD (Electrostatic Discharge) Control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6AF90EA" w14:textId="20493644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68571275" w14:textId="33434949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Instant HR - Workplace Hazards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F6C0E35" w14:textId="5C89E164" w:rsidR="00052ED5" w:rsidRPr="00052ED5" w:rsidRDefault="004F647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</w:t>
            </w:r>
            <w:r w:rsidR="00052ED5" w:rsidRPr="00052ED5">
              <w:rPr>
                <w:rFonts w:asciiTheme="minorHAnsi" w:hAnsiTheme="minorHAnsi"/>
                <w:b/>
                <w:noProof/>
                <w:lang w:val="en-GB"/>
              </w:rPr>
              <w:t>T Risk and Cybersecurity Training for Employees [Aug 2019]</w:t>
            </w:r>
            <w:r w:rsidR="00052ED5"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F6A0330" w14:textId="4E168086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Certificate [May 2011]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41090CB3" w14:textId="59A2EEA7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338F4B7" w14:textId="3418252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0B10C11D" w14:textId="0C6AF5E3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NEXUS [Jan 2019]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7FC7B4E4" w14:textId="12CABD0D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8EDCBC0" w14:textId="146EF55D" w:rsidR="005C2D97" w:rsidRPr="008253A5" w:rsidRDefault="009E653B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7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9E653B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8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3137830" w14:textId="77777777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Task Area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CF6C1B2" w14:textId="5768B861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Training [Jan 2015]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3171B809" w14:textId="526A146B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7DE968EA" w14:textId="23AD1F10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2015 New Hire Assessement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E6A52ED" w14:textId="480B8B3C" w:rsidR="00923BF9" w:rsidRPr="008253A5" w:rsidRDefault="009E653B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9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6B28EB23" w:rsidR="00E416EB" w:rsidRDefault="009E653B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0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1BD19095" w14:textId="1527F71A" w:rsidR="00C923A4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393F60F6" w14:textId="77777777" w:rsidR="00C923A4" w:rsidRPr="00E416EB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  <w:bookmarkStart w:id="0" w:name="_GoBack"/>
            <w:bookmarkEnd w:id="0"/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21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01EAD05B" w:rsidR="00FC5282" w:rsidRDefault="00AB3770" w:rsidP="0034463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4463D" w:rsidRPr="0034463D">
              <w:rPr>
                <w:rFonts w:asciiTheme="minorHAnsi" w:hAnsiTheme="minorHAnsi"/>
                <w:noProof/>
                <w:lang w:val="en-GB"/>
              </w:rPr>
              <w:t>Member #6153388042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5690127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fr-FR"/>
              </w:rPr>
            </w:pPr>
            <w:r w:rsidRPr="0034463D">
              <w:rPr>
                <w:rFonts w:asciiTheme="minorHAnsi" w:hAnsiTheme="minorHAnsi"/>
                <w:b/>
                <w:noProof/>
                <w:lang w:val="fr-FR"/>
              </w:rPr>
              <w:t>Jean-Luc Dicaire</w:t>
            </w:r>
          </w:p>
          <w:p w14:paraId="70209D4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Manager of Applications</w:t>
            </w:r>
          </w:p>
          <w:p w14:paraId="2E3F26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7A4B3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x2210</w:t>
            </w:r>
          </w:p>
          <w:p w14:paraId="1482F34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483-8082</w:t>
            </w:r>
          </w:p>
          <w:p w14:paraId="7EBB862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Jean-Luc.Dicaire@mdsaero.com</w:t>
            </w:r>
          </w:p>
          <w:p w14:paraId="7B15F86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4E6914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fr-FR"/>
              </w:rPr>
            </w:pPr>
            <w:r w:rsidRPr="0034463D">
              <w:rPr>
                <w:rFonts w:asciiTheme="minorHAnsi" w:hAnsiTheme="minorHAnsi"/>
                <w:b/>
                <w:noProof/>
                <w:lang w:val="fr-FR"/>
              </w:rPr>
              <w:t>Qing Li</w:t>
            </w:r>
          </w:p>
          <w:p w14:paraId="6C5F59B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Technical Support Engineer – Asia</w:t>
            </w:r>
          </w:p>
          <w:p w14:paraId="2102431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ED4690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x2284</w:t>
            </w:r>
          </w:p>
          <w:p w14:paraId="65CEEB3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Qing.Li@mdsaero.com</w:t>
            </w:r>
          </w:p>
          <w:p w14:paraId="4E219E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ABC1DF8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</w:p>
          <w:p w14:paraId="1DD6A5F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Software Engineer</w:t>
            </w:r>
          </w:p>
          <w:p w14:paraId="4EA993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A87AEE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x2477</w:t>
            </w:r>
          </w:p>
          <w:p w14:paraId="224CC1E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Robert.Schroeder@mdsaero.com</w:t>
            </w:r>
          </w:p>
          <w:p w14:paraId="75B6D44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1FA14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William Corbett</w:t>
            </w:r>
          </w:p>
          <w:p w14:paraId="71ECF22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Technical Director</w:t>
            </w:r>
          </w:p>
          <w:p w14:paraId="2A12BA5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B840D1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299-2968</w:t>
            </w:r>
          </w:p>
          <w:p w14:paraId="03F7625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William.Corbett@mdsaero.com</w:t>
            </w:r>
          </w:p>
          <w:p w14:paraId="448420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CFB13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Patrick Mullington</w:t>
            </w:r>
          </w:p>
          <w:p w14:paraId="09CED19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5E4C622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35F590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x2493</w:t>
            </w:r>
          </w:p>
          <w:p w14:paraId="6BE62A1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Patrick.Mullington@mdsaero.com</w:t>
            </w:r>
          </w:p>
          <w:p w14:paraId="77EAA7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038FFA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Denis Stang</w:t>
            </w:r>
          </w:p>
          <w:p w14:paraId="25B440F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0F2D56B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965876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x2014</w:t>
            </w:r>
          </w:p>
          <w:p w14:paraId="2709104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Denis.Stang@mdsaero.com</w:t>
            </w:r>
          </w:p>
          <w:p w14:paraId="21C1552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ED3E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Aleksander Wisniewski</w:t>
            </w:r>
          </w:p>
          <w:p w14:paraId="787E7DA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Gas Turbine Applications Engineer</w:t>
            </w:r>
          </w:p>
          <w:p w14:paraId="27A66F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70C2A5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707-0724</w:t>
            </w:r>
          </w:p>
          <w:p w14:paraId="68C2263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Aleksander.Wisniewski@mdsaero.com</w:t>
            </w:r>
          </w:p>
          <w:p w14:paraId="7B413CE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C9A4B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22BFADB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</w:p>
          <w:p w14:paraId="2E77D45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618FFE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x2230</w:t>
            </w:r>
          </w:p>
          <w:p w14:paraId="481EA1B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Dionne.Barwise@mdsaero.com</w:t>
            </w:r>
          </w:p>
          <w:p w14:paraId="5A2E4D3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3D55BE4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Michael Ambacher</w:t>
            </w:r>
          </w:p>
          <w:p w14:paraId="1D718E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Flight Simulator Test Specialist</w:t>
            </w:r>
          </w:p>
          <w:p w14:paraId="28775CA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CAE Inc., 8585 Chem. de la Côte-de-Liesse, Saint-Laurent, QC H4T 1G6</w:t>
            </w:r>
          </w:p>
          <w:p w14:paraId="0629E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627-9005</w:t>
            </w:r>
          </w:p>
          <w:p w14:paraId="10471B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12F1C7D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Mina Youssef</w:t>
            </w:r>
          </w:p>
          <w:p w14:paraId="608BF2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Engineer</w:t>
            </w:r>
          </w:p>
          <w:p w14:paraId="73DC199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Nova Bus - Volvo, 1000 Bd Industriel, Saint-Eustache, QC J7R 5A5, Canada</w:t>
            </w:r>
          </w:p>
          <w:p w14:paraId="5DCF967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967-4100</w:t>
            </w:r>
          </w:p>
          <w:p w14:paraId="7FCC4BF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5B8A27E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Alain de Champlain</w:t>
            </w:r>
          </w:p>
          <w:p w14:paraId="5E2AA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Laboratory.</w:t>
            </w:r>
          </w:p>
          <w:p w14:paraId="250D003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7ECEC83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DE3348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x2198</w:t>
            </w:r>
          </w:p>
          <w:p w14:paraId="7062FD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alain.dechamplain@gmc.ulaval.ca</w:t>
            </w:r>
          </w:p>
          <w:p w14:paraId="209F400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867A1E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5ABB33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Research Engineer, Supervisor of Combustion Research Laboratory.</w:t>
            </w:r>
          </w:p>
          <w:p w14:paraId="5AC3BB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1EEA50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B3DAE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x6809</w:t>
            </w:r>
          </w:p>
          <w:p w14:paraId="6855632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bernard.paquet@gmc.ulaval.ca</w:t>
            </w:r>
          </w:p>
          <w:p w14:paraId="2EC956B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D1151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Robert Gordon</w:t>
            </w:r>
          </w:p>
          <w:p w14:paraId="1C6C8D8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Combustion Specialist, Team Leader of Research &amp; Technology division.</w:t>
            </w:r>
          </w:p>
          <w:p w14:paraId="0B7D1A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Rolls-Royce Canada, 9500 Côte de Liesse, Montreal, Quebec, H8T 1A2, Canada</w:t>
            </w:r>
          </w:p>
          <w:p w14:paraId="595E3C0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636-0964 x7316</w:t>
            </w:r>
          </w:p>
          <w:p w14:paraId="0F32567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robert.gordon2@rolls-royce.com</w:t>
            </w:r>
          </w:p>
          <w:p w14:paraId="192C500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5407D2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Yan Grasselli</w:t>
            </w:r>
          </w:p>
          <w:p w14:paraId="4B1E63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67DEC8C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68CA6ED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+33 (0) 4 93 95 44 03</w:t>
            </w:r>
          </w:p>
          <w:p w14:paraId="10780AD6" w14:textId="5C873D33" w:rsid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yan.grasselli@skema.edu</w:t>
            </w:r>
          </w:p>
          <w:p w14:paraId="4B43C0EB" w14:textId="31215798" w:rsidR="00C923A4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B60080" w14:textId="1281A8E2" w:rsidR="00C923A4" w:rsidRPr="0034463D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88CFE8C" w14:textId="0C305098" w:rsidR="00AC46C2" w:rsidRPr="00C923A4" w:rsidRDefault="00AC54BA" w:rsidP="00C923A4">
            <w:pPr>
              <w:jc w:val="center"/>
              <w:rPr>
                <w:rFonts w:asciiTheme="minorHAnsi" w:hAnsiTheme="minorHAnsi"/>
                <w:i/>
                <w:iCs/>
                <w:noProof/>
                <w:color w:val="404040" w:themeColor="text1" w:themeTint="BF"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</w:tc>
      </w:tr>
    </w:tbl>
    <w:p w14:paraId="0EA64213" w14:textId="03C84B60" w:rsidR="00FA2A27" w:rsidRPr="001A29B1" w:rsidRDefault="00FA2A27" w:rsidP="00C923A4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DB0BAB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720" w:right="576" w:bottom="720" w:left="432" w:header="216" w:footer="2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A58B1" w14:textId="77777777" w:rsidR="009E653B" w:rsidRDefault="009E653B">
      <w:r>
        <w:separator/>
      </w:r>
    </w:p>
  </w:endnote>
  <w:endnote w:type="continuationSeparator" w:id="0">
    <w:p w14:paraId="0206720F" w14:textId="77777777" w:rsidR="009E653B" w:rsidRDefault="009E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424D" w14:textId="10C8EBF2" w:rsidR="00A156AF" w:rsidRPr="00CC2982" w:rsidRDefault="00447D11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Updated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675566">
      <w:rPr>
        <w:rFonts w:asciiTheme="minorHAnsi" w:hAnsiTheme="minorHAnsi" w:cstheme="minorHAnsi"/>
        <w:color w:val="7F7F7F" w:themeColor="text1" w:themeTint="80"/>
        <w:sz w:val="18"/>
      </w:rPr>
      <w:t>22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יהויקים אגו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9E653B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EB5A9" w14:textId="77777777" w:rsidR="009E653B" w:rsidRDefault="009E653B">
      <w:r>
        <w:separator/>
      </w:r>
    </w:p>
  </w:footnote>
  <w:footnote w:type="continuationSeparator" w:id="0">
    <w:p w14:paraId="7B08CD48" w14:textId="77777777" w:rsidR="009E653B" w:rsidRDefault="009E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FB8A" w14:textId="284B85B0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="00C923A4">
          <w:rPr>
            <w:rFonts w:asciiTheme="minorHAnsi" w:hAnsiTheme="minorHAnsi" w:cstheme="minorHAnsi"/>
            <w:noProof/>
          </w:rPr>
          <w:t>1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34463D">
          <w:rPr>
            <w:rFonts w:asciiTheme="minorHAnsi" w:hAnsiTheme="minorHAnsi" w:cstheme="minorHAnsi"/>
            <w:noProof/>
            <w:color w:val="7F7F7F" w:themeColor="text1" w:themeTint="80"/>
          </w:rPr>
          <w:t>9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4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tKwFAOF8Zjg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2ED5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56F1C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432B"/>
    <w:rsid w:val="00255B6F"/>
    <w:rsid w:val="0026249F"/>
    <w:rsid w:val="00264162"/>
    <w:rsid w:val="0026593B"/>
    <w:rsid w:val="00265FCB"/>
    <w:rsid w:val="00266406"/>
    <w:rsid w:val="00270F58"/>
    <w:rsid w:val="00274D8E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463D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47D11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4F647A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46DB6"/>
    <w:rsid w:val="00651A58"/>
    <w:rsid w:val="006610C1"/>
    <w:rsid w:val="00662F5C"/>
    <w:rsid w:val="00667946"/>
    <w:rsid w:val="0067556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E653B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55BF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04AD"/>
    <w:rsid w:val="00B94EA4"/>
    <w:rsid w:val="00B96F8A"/>
    <w:rsid w:val="00BA48F2"/>
    <w:rsid w:val="00BA6D2A"/>
    <w:rsid w:val="00BB0E2A"/>
    <w:rsid w:val="00BB2766"/>
    <w:rsid w:val="00BB645A"/>
    <w:rsid w:val="00BC0850"/>
    <w:rsid w:val="00BC2C9E"/>
    <w:rsid w:val="00BC3FC6"/>
    <w:rsid w:val="00BC6B6C"/>
    <w:rsid w:val="00BD0BBE"/>
    <w:rsid w:val="00BD1611"/>
    <w:rsid w:val="00BD3625"/>
    <w:rsid w:val="00BD38CA"/>
    <w:rsid w:val="00BD4904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4AF3"/>
    <w:rsid w:val="00C45A69"/>
    <w:rsid w:val="00C46261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23A4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3518"/>
    <w:rsid w:val="00D669BF"/>
    <w:rsid w:val="00D735B3"/>
    <w:rsid w:val="00D74BB7"/>
    <w:rsid w:val="00D867E2"/>
    <w:rsid w:val="00DA0F63"/>
    <w:rsid w:val="00DA2744"/>
    <w:rsid w:val="00DA2923"/>
    <w:rsid w:val="00DA73F3"/>
    <w:rsid w:val="00DB0BAB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531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6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customStyle="1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https://drive.google.com/file/d/1DFz-Vmox12AD2b2dph6Oo7hOzXfIYdY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a.ag/MembershipAS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drive.google.com/file/d/1sz_HVoLwNT-542IyYWLJzcagES-ohwWr/vie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https://drive.google.com/file/d/12vmQnp35PmfH3GiQz2vT52DsdKhgnXUS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6B732-175E-481B-AFAB-D7D9EBCF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3571</Words>
  <Characters>20361</Characters>
  <Application>Microsoft Office Word</Application>
  <DocSecurity>2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23885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10</cp:revision>
  <cp:lastPrinted>2021-09-21T17:52:00Z</cp:lastPrinted>
  <dcterms:created xsi:type="dcterms:W3CDTF">2021-09-17T17:54:00Z</dcterms:created>
  <dcterms:modified xsi:type="dcterms:W3CDTF">2022-03-25T17:51:00Z</dcterms:modified>
  <cp:category>Resume</cp:category>
  <cp:contentStatus>Good</cp:contentStatus>
</cp:coreProperties>
</file>