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2d2d2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d2d2d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d2d2d"/>
          <w:sz w:val="28"/>
          <w:szCs w:val="28"/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2d2d2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8"/>
          <w:szCs w:val="28"/>
          <w:rtl w:val="0"/>
        </w:rPr>
        <w:t xml:space="preserve">Live status is not based on successfully reaching funding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d2d2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8"/>
          <w:szCs w:val="28"/>
          <w:rtl w:val="0"/>
        </w:rPr>
        <w:t xml:space="preserve">The music kickstarters are the most likely to reach a successful funding state.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d2d2d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2d2d"/>
          <w:sz w:val="28"/>
          <w:szCs w:val="28"/>
          <w:rtl w:val="0"/>
        </w:rPr>
        <w:t xml:space="preserve">Status is not conditional to funding.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e2e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8"/>
          <w:szCs w:val="28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e2e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8"/>
          <w:szCs w:val="28"/>
          <w:rtl w:val="0"/>
        </w:rPr>
        <w:t xml:space="preserve">Average amount each backer donated did not account for possible max/min outliers.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e2e2e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8"/>
          <w:szCs w:val="28"/>
          <w:rtl w:val="0"/>
        </w:rPr>
        <w:t xml:space="preserve">Time frame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e2e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8"/>
          <w:szCs w:val="28"/>
          <w:rtl w:val="0"/>
        </w:rPr>
        <w:t xml:space="preserve">What are some other possible tables and/or graphs that we could create?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 of Pie graph: Pie chart of ‘State’ broken down further by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d2d2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