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AI Threat Hunt Program</w:t>
      </w:r>
    </w:p>
    <w:p>
      <w:pPr>
        <w:jc w:val="center"/>
      </w:pPr>
      <w:r>
        <w:rPr>
          <w:rFonts w:ascii="Aptos Display" w:hAnsi="Aptos Display"/>
          <w:b/>
          <w:sz w:val="32"/>
        </w:rPr>
        <w:t>D-Evidence: Turning D-Control Into Defensible Proof</w:t>
      </w:r>
    </w:p>
    <w:p>
      <w:pPr>
        <w:jc w:val="center"/>
      </w:pPr>
      <w:r>
        <w:rPr>
          <w:i/>
          <w:sz w:val="18"/>
        </w:rPr>
        <w:t>Draft chapter section for Angie Agee, CISSP | Agee Cyber Advisory | May 2026</w:t>
      </w:r>
    </w:p>
    <w:p>
      <w:pPr>
        <w:spacing w:before="160"/>
      </w:pPr>
      <w:r>
        <w:rPr>
          <w:b/>
        </w:rPr>
        <w:t xml:space="preserve">Placement in the book: </w:t>
      </w:r>
      <w:r>
        <w:t>This section follows D-Control. D-Control defines how an AI threat hunting program constrains unsafe or unauthorized behavior. D-Evidence defines how the program proves what happened, what control acted, what failed, and what decision leadership must own.</w:t>
      </w:r>
    </w:p>
    <w:p>
      <w:pPr>
        <w:pStyle w:val="Heading1"/>
      </w:pPr>
      <w:r>
        <w:t>1. Executive Intent</w:t>
      </w:r>
    </w:p>
    <w:p>
      <w:r>
        <w:rPr>
          <w:b/>
        </w:rPr>
        <w:t xml:space="preserve">D-Evidence is the proof layer of the AI Threat Hunt Program. </w:t>
      </w:r>
      <w:r>
        <w:t>It converts control activity into evidence that can survive executive review, legal review, incident response, audit scrutiny, and post-incident lessons learned. In traditional security operations, analysts often prove compromise through endpoint, network, identity, and cloud telemetry. In AI-enabled environments, that evidence model must expand. The system may not only move data; it may summarize it, transform it, retrieve it, approve it, send it, or trigger a downstream business process. If the organization cannot reconstruct that chain, it cannot confidently determine whether an AI-enabled workflow behaved as intended or became an attack path.</w:t>
      </w:r>
    </w:p>
    <w:p>
      <w:r>
        <w:rPr>
          <w:b/>
        </w:rPr>
        <w:t xml:space="preserve">The purpose of this section is simple: </w:t>
      </w:r>
      <w:r>
        <w:t>a control that cannot be evidenced is not a defensible control. It may reduce some operational risk, but it cannot reliably support incident response, regulatory inquiry, customer notification decisions, board reporting, or contractual accountability.</w:t>
      </w:r>
    </w:p>
    <w:p>
      <w:pPr>
        <w:pStyle w:val="Heading1"/>
      </w:pPr>
      <w:r>
        <w:t>2. The Signature Loop</w:t>
      </w:r>
    </w:p>
    <w:p>
      <w:r>
        <w:rPr>
          <w:b/>
        </w:rPr>
        <w:t>The program loop should now read as follows:</w:t>
      </w:r>
    </w:p>
    <w:p>
      <w:pPr>
        <w:pStyle w:val="ListNumber"/>
        <w:spacing w:after="40"/>
      </w:pPr>
      <w:r>
        <w:t>Threat intelligence or control concern identifies a plausible AI-enabled abuse path.</w:t>
      </w:r>
    </w:p>
    <w:p>
      <w:pPr>
        <w:pStyle w:val="ListNumber"/>
        <w:spacing w:after="40"/>
      </w:pPr>
      <w:r>
        <w:t>The hunt team writes a hypothesis that can be tested against available telemetry.</w:t>
      </w:r>
    </w:p>
    <w:p>
      <w:pPr>
        <w:pStyle w:val="ListNumber"/>
        <w:spacing w:after="40"/>
      </w:pPr>
      <w:r>
        <w:t>D-Control defines which preventive, detective, corrective, or compensating controls should constrain the behavior.</w:t>
      </w:r>
    </w:p>
    <w:p>
      <w:pPr>
        <w:pStyle w:val="ListNumber"/>
        <w:spacing w:after="40"/>
      </w:pPr>
      <w:r>
        <w:t>D-Evidence proves whether the behavior occurred, whether the control acted, whether the control was bypassed, and what residual risk remains.</w:t>
      </w:r>
    </w:p>
    <w:p>
      <w:pPr>
        <w:pStyle w:val="ListNumber"/>
        <w:spacing w:after="40"/>
      </w:pPr>
      <w:r>
        <w:t>Leadership makes a documented risk decision: accept, avoid, mitigate, or transfer.</w:t>
      </w:r>
    </w:p>
    <w:p>
      <w:pPr>
        <w:pStyle w:val="ListNumber"/>
        <w:spacing w:after="40"/>
      </w:pPr>
      <w:r>
        <w:t>The program improves the control, detection, telemetry, ownership model, or procurement standard.</w:t>
      </w:r>
    </w:p>
    <w:p>
      <w:pPr>
        <w:pStyle w:val="ListNumber"/>
        <w:spacing w:after="40"/>
      </w:pPr>
      <w:r>
        <w:t>The hunt is re-run or converted into continuous monitoring.</w:t>
      </w:r>
    </w:p>
    <w:p>
      <w:r>
        <w:rPr>
          <w:b/>
        </w:rPr>
        <w:t xml:space="preserve">This is the practical difference between hunting for interesting anomalies and operating a defensible threat hunting program. </w:t>
      </w:r>
      <w:r>
        <w:t>The output is not only an alert. The output is a decision-quality evidence package.</w:t>
      </w:r>
    </w:p>
    <w:p>
      <w:pPr>
        <w:pStyle w:val="Heading1"/>
      </w:pPr>
      <w:r>
        <w:t>3. D-Evidence Principle</w:t>
      </w:r>
    </w:p>
    <w:p>
      <w:r>
        <w:rPr>
          <w:b/>
        </w:rPr>
        <w:t xml:space="preserve">D-Evidence principle: </w:t>
      </w:r>
      <w:r>
        <w:t>Every AI-enabled security concern must be traceable across identity, intent, action, data, control, state, and time. If any link is missing, the organization should label that missing link as a risk finding, not as an analyst inconvenience.</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D9EAD3"/>
          </w:tcPr>
          <w:p>
            <w:pPr>
              <w:spacing w:after="40"/>
            </w:pPr>
            <w:r/>
            <w:r>
              <w:rPr>
                <w:rFonts w:ascii="Aptos" w:hAnsi="Aptos"/>
                <w:b/>
                <w:sz w:val="17"/>
              </w:rPr>
              <w:t>Evidence Domain</w:t>
            </w:r>
          </w:p>
        </w:tc>
        <w:tc>
          <w:tcPr>
            <w:tcW w:type="dxa" w:w="2736"/>
            <w:vAlign w:val="top"/>
            <w:shd w:fill="D9EAD3"/>
          </w:tcPr>
          <w:p>
            <w:pPr>
              <w:spacing w:after="40"/>
            </w:pPr>
            <w:r/>
            <w:r>
              <w:rPr>
                <w:rFonts w:ascii="Aptos" w:hAnsi="Aptos"/>
                <w:b/>
                <w:sz w:val="17"/>
              </w:rPr>
              <w:t>Question It Must Answer</w:t>
            </w:r>
          </w:p>
        </w:tc>
        <w:tc>
          <w:tcPr>
            <w:tcW w:type="dxa" w:w="5904"/>
            <w:vAlign w:val="top"/>
            <w:shd w:fill="D9EAD3"/>
          </w:tcPr>
          <w:p>
            <w:pPr>
              <w:spacing w:after="40"/>
            </w:pPr>
            <w:r/>
            <w:r>
              <w:rPr>
                <w:rFonts w:ascii="Aptos" w:hAnsi="Aptos"/>
                <w:b/>
                <w:sz w:val="17"/>
              </w:rPr>
              <w:t>Minimum Evidence Examples</w:t>
            </w:r>
          </w:p>
        </w:tc>
      </w:tr>
      <w:tr>
        <w:tc>
          <w:tcPr>
            <w:tcW w:type="dxa" w:w="1728"/>
            <w:vAlign w:val="top"/>
          </w:tcPr>
          <w:p>
            <w:pPr>
              <w:spacing w:after="40"/>
            </w:pPr>
            <w:r/>
            <w:r>
              <w:rPr>
                <w:rFonts w:ascii="Aptos" w:hAnsi="Aptos"/>
                <w:b w:val="0"/>
                <w:sz w:val="17"/>
              </w:rPr>
              <w:t>Identity</w:t>
            </w:r>
          </w:p>
        </w:tc>
        <w:tc>
          <w:tcPr>
            <w:tcW w:type="dxa" w:w="2736"/>
            <w:vAlign w:val="top"/>
          </w:tcPr>
          <w:p>
            <w:pPr>
              <w:spacing w:after="40"/>
            </w:pPr>
            <w:r/>
            <w:r>
              <w:rPr>
                <w:rFonts w:ascii="Aptos" w:hAnsi="Aptos"/>
                <w:b w:val="0"/>
                <w:sz w:val="17"/>
              </w:rPr>
              <w:t>Who or what initiated the action?</w:t>
            </w:r>
          </w:p>
        </w:tc>
        <w:tc>
          <w:tcPr>
            <w:tcW w:type="dxa" w:w="5904"/>
            <w:vAlign w:val="top"/>
          </w:tcPr>
          <w:p>
            <w:pPr>
              <w:spacing w:after="40"/>
            </w:pPr>
            <w:r/>
            <w:r>
              <w:rPr>
                <w:rFonts w:ascii="Aptos" w:hAnsi="Aptos"/>
                <w:b w:val="0"/>
                <w:sz w:val="17"/>
              </w:rPr>
              <w:t>Human user, agent identity, service account, app registration, workload identity, delegated token, device/session context.</w:t>
            </w:r>
          </w:p>
        </w:tc>
      </w:tr>
      <w:tr>
        <w:tc>
          <w:tcPr>
            <w:tcW w:type="dxa" w:w="1728"/>
            <w:vAlign w:val="top"/>
          </w:tcPr>
          <w:p>
            <w:pPr>
              <w:spacing w:after="40"/>
            </w:pPr>
            <w:r/>
            <w:r>
              <w:rPr>
                <w:rFonts w:ascii="Aptos" w:hAnsi="Aptos"/>
                <w:b w:val="0"/>
                <w:sz w:val="17"/>
              </w:rPr>
              <w:t>Intent / Trigger</w:t>
            </w:r>
          </w:p>
        </w:tc>
        <w:tc>
          <w:tcPr>
            <w:tcW w:type="dxa" w:w="2736"/>
            <w:vAlign w:val="top"/>
          </w:tcPr>
          <w:p>
            <w:pPr>
              <w:spacing w:after="40"/>
            </w:pPr>
            <w:r/>
            <w:r>
              <w:rPr>
                <w:rFonts w:ascii="Aptos" w:hAnsi="Aptos"/>
                <w:b w:val="0"/>
                <w:sz w:val="17"/>
              </w:rPr>
              <w:t>Why did the action occur?</w:t>
            </w:r>
          </w:p>
        </w:tc>
        <w:tc>
          <w:tcPr>
            <w:tcW w:type="dxa" w:w="5904"/>
            <w:vAlign w:val="top"/>
          </w:tcPr>
          <w:p>
            <w:pPr>
              <w:spacing w:after="40"/>
            </w:pPr>
            <w:r/>
            <w:r>
              <w:rPr>
                <w:rFonts w:ascii="Aptos" w:hAnsi="Aptos"/>
                <w:b w:val="0"/>
                <w:sz w:val="17"/>
              </w:rPr>
              <w:t>Prompt, workflow trigger, scheduled job, ticket, approval record, policy rule, business process context.</w:t>
            </w:r>
          </w:p>
        </w:tc>
      </w:tr>
      <w:tr>
        <w:tc>
          <w:tcPr>
            <w:tcW w:type="dxa" w:w="1728"/>
            <w:vAlign w:val="top"/>
          </w:tcPr>
          <w:p>
            <w:pPr>
              <w:spacing w:after="40"/>
            </w:pPr>
            <w:r/>
            <w:r>
              <w:rPr>
                <w:rFonts w:ascii="Aptos" w:hAnsi="Aptos"/>
                <w:b w:val="0"/>
                <w:sz w:val="17"/>
              </w:rPr>
              <w:t>Action</w:t>
            </w:r>
          </w:p>
        </w:tc>
        <w:tc>
          <w:tcPr>
            <w:tcW w:type="dxa" w:w="2736"/>
            <w:vAlign w:val="top"/>
          </w:tcPr>
          <w:p>
            <w:pPr>
              <w:spacing w:after="40"/>
            </w:pPr>
            <w:r/>
            <w:r>
              <w:rPr>
                <w:rFonts w:ascii="Aptos" w:hAnsi="Aptos"/>
                <w:b w:val="0"/>
                <w:sz w:val="17"/>
              </w:rPr>
              <w:t>What did the system actually do?</w:t>
            </w:r>
          </w:p>
        </w:tc>
        <w:tc>
          <w:tcPr>
            <w:tcW w:type="dxa" w:w="5904"/>
            <w:vAlign w:val="top"/>
          </w:tcPr>
          <w:p>
            <w:pPr>
              <w:spacing w:after="40"/>
            </w:pPr>
            <w:r/>
            <w:r>
              <w:rPr>
                <w:rFonts w:ascii="Aptos" w:hAnsi="Aptos"/>
                <w:b w:val="0"/>
                <w:sz w:val="17"/>
              </w:rPr>
              <w:t>Tool call, API request, data query, file access, message sent, workflow update, admin change, model/tool invocation.</w:t>
            </w:r>
          </w:p>
        </w:tc>
      </w:tr>
      <w:tr>
        <w:tc>
          <w:tcPr>
            <w:tcW w:type="dxa" w:w="1728"/>
            <w:vAlign w:val="top"/>
          </w:tcPr>
          <w:p>
            <w:pPr>
              <w:spacing w:after="40"/>
            </w:pPr>
            <w:r/>
            <w:r>
              <w:rPr>
                <w:rFonts w:ascii="Aptos" w:hAnsi="Aptos"/>
                <w:b w:val="0"/>
                <w:sz w:val="17"/>
              </w:rPr>
              <w:t>Data</w:t>
            </w:r>
          </w:p>
        </w:tc>
        <w:tc>
          <w:tcPr>
            <w:tcW w:type="dxa" w:w="2736"/>
            <w:vAlign w:val="top"/>
          </w:tcPr>
          <w:p>
            <w:pPr>
              <w:spacing w:after="40"/>
            </w:pPr>
            <w:r/>
            <w:r>
              <w:rPr>
                <w:rFonts w:ascii="Aptos" w:hAnsi="Aptos"/>
                <w:b w:val="0"/>
                <w:sz w:val="17"/>
              </w:rPr>
              <w:t>What information was touched?</w:t>
            </w:r>
          </w:p>
        </w:tc>
        <w:tc>
          <w:tcPr>
            <w:tcW w:type="dxa" w:w="5904"/>
            <w:vAlign w:val="top"/>
          </w:tcPr>
          <w:p>
            <w:pPr>
              <w:spacing w:after="40"/>
            </w:pPr>
            <w:r/>
            <w:r>
              <w:rPr>
                <w:rFonts w:ascii="Aptos" w:hAnsi="Aptos"/>
                <w:b w:val="0"/>
                <w:sz w:val="17"/>
              </w:rPr>
              <w:t>RAG retrieval records, document/object access, database query, data classification, egress path, output artifact.</w:t>
            </w:r>
          </w:p>
        </w:tc>
      </w:tr>
      <w:tr>
        <w:tc>
          <w:tcPr>
            <w:tcW w:type="dxa" w:w="1728"/>
            <w:vAlign w:val="top"/>
          </w:tcPr>
          <w:p>
            <w:pPr>
              <w:spacing w:after="40"/>
            </w:pPr>
            <w:r/>
            <w:r>
              <w:rPr>
                <w:rFonts w:ascii="Aptos" w:hAnsi="Aptos"/>
                <w:b w:val="0"/>
                <w:sz w:val="17"/>
              </w:rPr>
              <w:t>Control</w:t>
            </w:r>
          </w:p>
        </w:tc>
        <w:tc>
          <w:tcPr>
            <w:tcW w:type="dxa" w:w="2736"/>
            <w:vAlign w:val="top"/>
          </w:tcPr>
          <w:p>
            <w:pPr>
              <w:spacing w:after="40"/>
            </w:pPr>
            <w:r/>
            <w:r>
              <w:rPr>
                <w:rFonts w:ascii="Aptos" w:hAnsi="Aptos"/>
                <w:b w:val="0"/>
                <w:sz w:val="17"/>
              </w:rPr>
              <w:t>What allowed, blocked, warned, logged, or escalated it?</w:t>
            </w:r>
          </w:p>
        </w:tc>
        <w:tc>
          <w:tcPr>
            <w:tcW w:type="dxa" w:w="5904"/>
            <w:vAlign w:val="top"/>
          </w:tcPr>
          <w:p>
            <w:pPr>
              <w:spacing w:after="40"/>
            </w:pPr>
            <w:r/>
            <w:r>
              <w:rPr>
                <w:rFonts w:ascii="Aptos" w:hAnsi="Aptos"/>
                <w:b w:val="0"/>
                <w:sz w:val="17"/>
              </w:rPr>
              <w:t>Policy decision point, IAM rule, DLP event, CASB/SSE log, model guardrail, approval gate, EDR/network control.</w:t>
            </w:r>
          </w:p>
        </w:tc>
      </w:tr>
      <w:tr>
        <w:tc>
          <w:tcPr>
            <w:tcW w:type="dxa" w:w="1728"/>
            <w:vAlign w:val="top"/>
          </w:tcPr>
          <w:p>
            <w:pPr>
              <w:spacing w:after="40"/>
            </w:pPr>
            <w:r/>
            <w:r>
              <w:rPr>
                <w:rFonts w:ascii="Aptos" w:hAnsi="Aptos"/>
                <w:b w:val="0"/>
                <w:sz w:val="17"/>
              </w:rPr>
              <w:t>State</w:t>
            </w:r>
          </w:p>
        </w:tc>
        <w:tc>
          <w:tcPr>
            <w:tcW w:type="dxa" w:w="2736"/>
            <w:vAlign w:val="top"/>
          </w:tcPr>
          <w:p>
            <w:pPr>
              <w:spacing w:after="40"/>
            </w:pPr>
            <w:r/>
            <w:r>
              <w:rPr>
                <w:rFonts w:ascii="Aptos" w:hAnsi="Aptos"/>
                <w:b w:val="0"/>
                <w:sz w:val="17"/>
              </w:rPr>
              <w:t>What version/configuration was active?</w:t>
            </w:r>
          </w:p>
        </w:tc>
        <w:tc>
          <w:tcPr>
            <w:tcW w:type="dxa" w:w="5904"/>
            <w:vAlign w:val="top"/>
          </w:tcPr>
          <w:p>
            <w:pPr>
              <w:spacing w:after="40"/>
            </w:pPr>
            <w:r/>
            <w:r>
              <w:rPr>
                <w:rFonts w:ascii="Aptos" w:hAnsi="Aptos"/>
                <w:b w:val="0"/>
                <w:sz w:val="17"/>
              </w:rPr>
              <w:t>Model version, system prompt/template version, agent configuration, plugin/tool version, policy version, exception state.</w:t>
            </w:r>
          </w:p>
        </w:tc>
      </w:tr>
      <w:tr>
        <w:tc>
          <w:tcPr>
            <w:tcW w:type="dxa" w:w="1728"/>
            <w:vAlign w:val="top"/>
          </w:tcPr>
          <w:p>
            <w:pPr>
              <w:spacing w:after="40"/>
            </w:pPr>
            <w:r/>
            <w:r>
              <w:rPr>
                <w:rFonts w:ascii="Aptos" w:hAnsi="Aptos"/>
                <w:b w:val="0"/>
                <w:sz w:val="17"/>
              </w:rPr>
              <w:t>Time</w:t>
            </w:r>
          </w:p>
        </w:tc>
        <w:tc>
          <w:tcPr>
            <w:tcW w:type="dxa" w:w="2736"/>
            <w:vAlign w:val="top"/>
          </w:tcPr>
          <w:p>
            <w:pPr>
              <w:spacing w:after="40"/>
            </w:pPr>
            <w:r/>
            <w:r>
              <w:rPr>
                <w:rFonts w:ascii="Aptos" w:hAnsi="Aptos"/>
                <w:b w:val="0"/>
                <w:sz w:val="17"/>
              </w:rPr>
              <w:t>Can the chain be reconstructed?</w:t>
            </w:r>
          </w:p>
        </w:tc>
        <w:tc>
          <w:tcPr>
            <w:tcW w:type="dxa" w:w="5904"/>
            <w:vAlign w:val="top"/>
          </w:tcPr>
          <w:p>
            <w:pPr>
              <w:spacing w:after="40"/>
            </w:pPr>
            <w:r/>
            <w:r>
              <w:rPr>
                <w:rFonts w:ascii="Aptos" w:hAnsi="Aptos"/>
                <w:b w:val="0"/>
                <w:sz w:val="17"/>
              </w:rPr>
              <w:t>Normalized timestamps, correlation IDs, retention period, exportability, chain-of-custody handling.</w:t>
            </w:r>
          </w:p>
        </w:tc>
      </w:tr>
    </w:tbl>
    <w:p/>
    <w:p>
      <w:pPr>
        <w:pStyle w:val="Heading1"/>
      </w:pPr>
      <w:r>
        <w:t>4. Why D-Evidence Comes After D-Control</w:t>
      </w:r>
    </w:p>
    <w:p>
      <w:r>
        <w:rPr>
          <w:b/>
        </w:rPr>
        <w:t xml:space="preserve">D-Control answers, “What should have constrained this behavior?” D-Evidence answers, “Can we prove whether it did?” </w:t>
      </w:r>
      <w:r>
        <w:t>This order matters because AI-enabled systems create a false sense of control when governance artifacts exist but telemetry does not. A policy may say that agents cannot access sensitive records, but the hunt must prove whether access was technically impossible, merely discouraged, silently allowed, or allowed through an inherited integration path.</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top"/>
            <w:shd w:fill="D9EAD3"/>
          </w:tcPr>
          <w:p>
            <w:pPr>
              <w:spacing w:after="40"/>
            </w:pPr>
            <w:r/>
            <w:r>
              <w:rPr>
                <w:rFonts w:ascii="Aptos" w:hAnsi="Aptos"/>
                <w:b/>
                <w:sz w:val="17"/>
              </w:rPr>
              <w:t>D-Control Question</w:t>
            </w:r>
          </w:p>
        </w:tc>
        <w:tc>
          <w:tcPr>
            <w:tcW w:type="dxa" w:w="4464"/>
            <w:vAlign w:val="top"/>
            <w:shd w:fill="D9EAD3"/>
          </w:tcPr>
          <w:p>
            <w:pPr>
              <w:spacing w:after="40"/>
            </w:pPr>
            <w:r/>
            <w:r>
              <w:rPr>
                <w:rFonts w:ascii="Aptos" w:hAnsi="Aptos"/>
                <w:b/>
                <w:sz w:val="17"/>
              </w:rPr>
              <w:t>D-Evidence Follow-Up</w:t>
            </w:r>
          </w:p>
        </w:tc>
        <w:tc>
          <w:tcPr>
            <w:tcW w:type="dxa" w:w="2880"/>
            <w:vAlign w:val="top"/>
            <w:shd w:fill="D9EAD3"/>
          </w:tcPr>
          <w:p>
            <w:pPr>
              <w:spacing w:after="40"/>
            </w:pPr>
            <w:r/>
            <w:r>
              <w:rPr>
                <w:rFonts w:ascii="Aptos" w:hAnsi="Aptos"/>
                <w:b/>
                <w:sz w:val="17"/>
              </w:rPr>
              <w:t>Risk Finding if Missing</w:t>
            </w:r>
          </w:p>
        </w:tc>
      </w:tr>
      <w:tr>
        <w:tc>
          <w:tcPr>
            <w:tcW w:type="dxa" w:w="3024"/>
            <w:vAlign w:val="top"/>
          </w:tcPr>
          <w:p>
            <w:pPr>
              <w:spacing w:after="40"/>
            </w:pPr>
            <w:r/>
            <w:r>
              <w:rPr>
                <w:rFonts w:ascii="Aptos" w:hAnsi="Aptos"/>
                <w:b w:val="0"/>
                <w:sz w:val="17"/>
              </w:rPr>
              <w:t>Was the agent supposed to access this SaaS app?</w:t>
            </w:r>
          </w:p>
        </w:tc>
        <w:tc>
          <w:tcPr>
            <w:tcW w:type="dxa" w:w="4464"/>
            <w:vAlign w:val="top"/>
          </w:tcPr>
          <w:p>
            <w:pPr>
              <w:spacing w:after="40"/>
            </w:pPr>
            <w:r/>
            <w:r>
              <w:rPr>
                <w:rFonts w:ascii="Aptos" w:hAnsi="Aptos"/>
                <w:b w:val="0"/>
                <w:sz w:val="17"/>
              </w:rPr>
              <w:t>Show the grant, scope, approver, owner, and last-use evidence.</w:t>
            </w:r>
          </w:p>
        </w:tc>
        <w:tc>
          <w:tcPr>
            <w:tcW w:type="dxa" w:w="2880"/>
            <w:vAlign w:val="top"/>
          </w:tcPr>
          <w:p>
            <w:pPr>
              <w:spacing w:after="40"/>
            </w:pPr>
            <w:r/>
            <w:r>
              <w:rPr>
                <w:rFonts w:ascii="Aptos" w:hAnsi="Aptos"/>
                <w:b w:val="0"/>
                <w:sz w:val="17"/>
              </w:rPr>
              <w:t>Unknown non-human access path.</w:t>
            </w:r>
          </w:p>
        </w:tc>
      </w:tr>
      <w:tr>
        <w:tc>
          <w:tcPr>
            <w:tcW w:type="dxa" w:w="3024"/>
            <w:vAlign w:val="top"/>
          </w:tcPr>
          <w:p>
            <w:pPr>
              <w:spacing w:after="40"/>
            </w:pPr>
            <w:r/>
            <w:r>
              <w:rPr>
                <w:rFonts w:ascii="Aptos" w:hAnsi="Aptos"/>
                <w:b w:val="0"/>
                <w:sz w:val="17"/>
              </w:rPr>
              <w:t>Was the tool call allowed?</w:t>
            </w:r>
          </w:p>
        </w:tc>
        <w:tc>
          <w:tcPr>
            <w:tcW w:type="dxa" w:w="4464"/>
            <w:vAlign w:val="top"/>
          </w:tcPr>
          <w:p>
            <w:pPr>
              <w:spacing w:after="40"/>
            </w:pPr>
            <w:r/>
            <w:r>
              <w:rPr>
                <w:rFonts w:ascii="Aptos" w:hAnsi="Aptos"/>
                <w:b w:val="0"/>
                <w:sz w:val="17"/>
              </w:rPr>
              <w:t>Show the policy decision, request context, response, and correlation ID.</w:t>
            </w:r>
          </w:p>
        </w:tc>
        <w:tc>
          <w:tcPr>
            <w:tcW w:type="dxa" w:w="2880"/>
            <w:vAlign w:val="top"/>
          </w:tcPr>
          <w:p>
            <w:pPr>
              <w:spacing w:after="40"/>
            </w:pPr>
            <w:r/>
            <w:r>
              <w:rPr>
                <w:rFonts w:ascii="Aptos" w:hAnsi="Aptos"/>
                <w:b w:val="0"/>
                <w:sz w:val="17"/>
              </w:rPr>
              <w:t>Control may be unenforced or untestable.</w:t>
            </w:r>
          </w:p>
        </w:tc>
      </w:tr>
      <w:tr>
        <w:tc>
          <w:tcPr>
            <w:tcW w:type="dxa" w:w="3024"/>
            <w:vAlign w:val="top"/>
          </w:tcPr>
          <w:p>
            <w:pPr>
              <w:spacing w:after="40"/>
            </w:pPr>
            <w:r/>
            <w:r>
              <w:rPr>
                <w:rFonts w:ascii="Aptos" w:hAnsi="Aptos"/>
                <w:b w:val="0"/>
                <w:sz w:val="17"/>
              </w:rPr>
              <w:t>Was sensitive data retrieved?</w:t>
            </w:r>
          </w:p>
        </w:tc>
        <w:tc>
          <w:tcPr>
            <w:tcW w:type="dxa" w:w="4464"/>
            <w:vAlign w:val="top"/>
          </w:tcPr>
          <w:p>
            <w:pPr>
              <w:spacing w:after="40"/>
            </w:pPr>
            <w:r/>
            <w:r>
              <w:rPr>
                <w:rFonts w:ascii="Aptos" w:hAnsi="Aptos"/>
                <w:b w:val="0"/>
                <w:sz w:val="17"/>
              </w:rPr>
              <w:t>Show object access, retrieval source, classification, output path, and retention.</w:t>
            </w:r>
          </w:p>
        </w:tc>
        <w:tc>
          <w:tcPr>
            <w:tcW w:type="dxa" w:w="2880"/>
            <w:vAlign w:val="top"/>
          </w:tcPr>
          <w:p>
            <w:pPr>
              <w:spacing w:after="40"/>
            </w:pPr>
            <w:r/>
            <w:r>
              <w:rPr>
                <w:rFonts w:ascii="Aptos" w:hAnsi="Aptos"/>
                <w:b w:val="0"/>
                <w:sz w:val="17"/>
              </w:rPr>
              <w:t>Data exposure cannot be bounded.</w:t>
            </w:r>
          </w:p>
        </w:tc>
      </w:tr>
      <w:tr>
        <w:tc>
          <w:tcPr>
            <w:tcW w:type="dxa" w:w="3024"/>
            <w:vAlign w:val="top"/>
          </w:tcPr>
          <w:p>
            <w:pPr>
              <w:spacing w:after="40"/>
            </w:pPr>
            <w:r/>
            <w:r>
              <w:rPr>
                <w:rFonts w:ascii="Aptos" w:hAnsi="Aptos"/>
                <w:b w:val="0"/>
                <w:sz w:val="17"/>
              </w:rPr>
              <w:t>Was human approval required?</w:t>
            </w:r>
          </w:p>
        </w:tc>
        <w:tc>
          <w:tcPr>
            <w:tcW w:type="dxa" w:w="4464"/>
            <w:vAlign w:val="top"/>
          </w:tcPr>
          <w:p>
            <w:pPr>
              <w:spacing w:after="40"/>
            </w:pPr>
            <w:r/>
            <w:r>
              <w:rPr>
                <w:rFonts w:ascii="Aptos" w:hAnsi="Aptos"/>
                <w:b w:val="0"/>
                <w:sz w:val="17"/>
              </w:rPr>
              <w:t>Show approval workflow, approver identity, timestamp, and exception logic.</w:t>
            </w:r>
          </w:p>
        </w:tc>
        <w:tc>
          <w:tcPr>
            <w:tcW w:type="dxa" w:w="2880"/>
            <w:vAlign w:val="top"/>
          </w:tcPr>
          <w:p>
            <w:pPr>
              <w:spacing w:after="40"/>
            </w:pPr>
            <w:r/>
            <w:r>
              <w:rPr>
                <w:rFonts w:ascii="Aptos" w:hAnsi="Aptos"/>
                <w:b w:val="0"/>
                <w:sz w:val="17"/>
              </w:rPr>
              <w:t>Delegated automation may bypass accountability.</w:t>
            </w:r>
          </w:p>
        </w:tc>
      </w:tr>
      <w:tr>
        <w:tc>
          <w:tcPr>
            <w:tcW w:type="dxa" w:w="3024"/>
            <w:vAlign w:val="top"/>
          </w:tcPr>
          <w:p>
            <w:pPr>
              <w:spacing w:after="40"/>
            </w:pPr>
            <w:r/>
            <w:r>
              <w:rPr>
                <w:rFonts w:ascii="Aptos" w:hAnsi="Aptos"/>
                <w:b w:val="0"/>
                <w:sz w:val="17"/>
              </w:rPr>
              <w:t>Was containment completed?</w:t>
            </w:r>
          </w:p>
        </w:tc>
        <w:tc>
          <w:tcPr>
            <w:tcW w:type="dxa" w:w="4464"/>
            <w:vAlign w:val="top"/>
          </w:tcPr>
          <w:p>
            <w:pPr>
              <w:spacing w:after="40"/>
            </w:pPr>
            <w:r/>
            <w:r>
              <w:rPr>
                <w:rFonts w:ascii="Aptos" w:hAnsi="Aptos"/>
                <w:b w:val="0"/>
                <w:sz w:val="17"/>
              </w:rPr>
              <w:t>Show revocation, session kill, token invalidation, access review, and validation hunt.</w:t>
            </w:r>
          </w:p>
        </w:tc>
        <w:tc>
          <w:tcPr>
            <w:tcW w:type="dxa" w:w="2880"/>
            <w:vAlign w:val="top"/>
          </w:tcPr>
          <w:p>
            <w:pPr>
              <w:spacing w:after="40"/>
            </w:pPr>
            <w:r/>
            <w:r>
              <w:rPr>
                <w:rFonts w:ascii="Aptos" w:hAnsi="Aptos"/>
                <w:b w:val="0"/>
                <w:sz w:val="17"/>
              </w:rPr>
              <w:t>Residual access may remain active.</w:t>
            </w:r>
          </w:p>
        </w:tc>
      </w:tr>
    </w:tbl>
    <w:p/>
    <w:p>
      <w:pPr>
        <w:pStyle w:val="Heading1"/>
      </w:pPr>
      <w:r>
        <w:t>5. Hunt Questions for D-Evidence</w:t>
      </w:r>
    </w:p>
    <w:p>
      <w:pPr>
        <w:pStyle w:val="ListBullet"/>
        <w:spacing w:after="40"/>
      </w:pPr>
      <w:r>
        <w:t>Which AI agents, plugins, automations, or integrations have standing access to sensitive systems or regulated data?</w:t>
      </w:r>
    </w:p>
    <w:p>
      <w:pPr>
        <w:pStyle w:val="ListBullet"/>
        <w:spacing w:after="40"/>
      </w:pPr>
      <w:r>
        <w:t>Which actions can be performed by a non-human identity without a fresh human approval record?</w:t>
      </w:r>
    </w:p>
    <w:p>
      <w:pPr>
        <w:pStyle w:val="ListBullet"/>
        <w:spacing w:after="40"/>
      </w:pPr>
      <w:r>
        <w:t>Which OAuth grants, API tokens, service principals, or delegated permissions are older than the business purpose that created them?</w:t>
      </w:r>
    </w:p>
    <w:p>
      <w:pPr>
        <w:pStyle w:val="ListBullet"/>
        <w:spacing w:after="40"/>
      </w:pPr>
      <w:r>
        <w:t>Which agent actions lack a correlation ID that ties prompt/request, tool call, identity, and data access into one timeline?</w:t>
      </w:r>
    </w:p>
    <w:p>
      <w:pPr>
        <w:pStyle w:val="ListBullet"/>
        <w:spacing w:after="40"/>
      </w:pPr>
      <w:r>
        <w:t>Which controls generate alerts but do not preserve enough evidence for incident response or audit review?</w:t>
      </w:r>
    </w:p>
    <w:p>
      <w:pPr>
        <w:pStyle w:val="ListBullet"/>
        <w:spacing w:after="40"/>
      </w:pPr>
      <w:r>
        <w:t>Which model, prompt, policy, or agent configuration changed shortly before an abnormal action?</w:t>
      </w:r>
    </w:p>
    <w:p>
      <w:pPr>
        <w:pStyle w:val="ListBullet"/>
        <w:spacing w:after="40"/>
      </w:pPr>
      <w:r>
        <w:t>Which logs are available only inside a vendor console and cannot be exported into the organization’s evidence repository?</w:t>
      </w:r>
    </w:p>
    <w:p>
      <w:pPr>
        <w:pStyle w:val="ListBullet"/>
        <w:spacing w:after="40"/>
      </w:pPr>
      <w:r>
        <w:t>Which containment actions can be validated through a re-hunt rather than assumed from a ticket closure?</w:t>
      </w:r>
    </w:p>
    <w:p>
      <w:pPr>
        <w:pStyle w:val="Heading1"/>
      </w:pPr>
      <w:r>
        <w:t>6. Decision-Grade Evidence Package</w:t>
      </w:r>
    </w:p>
    <w:p>
      <w:r>
        <w:rPr>
          <w:b/>
        </w:rPr>
        <w:t xml:space="preserve">The evidence package should be small enough for leadership to read and precise enough for analysts to defend. </w:t>
      </w:r>
      <w:r>
        <w:t>For each material AI threat hunt finding, the program should produce the following:</w:t>
      </w:r>
    </w:p>
    <w:p>
      <w:pPr>
        <w:pStyle w:val="ListBullet"/>
        <w:spacing w:after="40"/>
      </w:pPr>
      <w:r>
        <w:t>One-sentence finding: what happened or what could not be proven.</w:t>
      </w:r>
    </w:p>
    <w:p>
      <w:pPr>
        <w:pStyle w:val="ListBullet"/>
        <w:spacing w:after="40"/>
      </w:pPr>
      <w:r>
        <w:t>Affected asset/process: system, data flow, business process, user group, customer impact path, or CUI/regulatory boundary.</w:t>
      </w:r>
    </w:p>
    <w:p>
      <w:pPr>
        <w:pStyle w:val="ListBullet"/>
        <w:spacing w:after="40"/>
      </w:pPr>
      <w:r>
        <w:t>Evidence chain: identity, trigger, action, data, control, state, and time.</w:t>
      </w:r>
    </w:p>
    <w:p>
      <w:pPr>
        <w:pStyle w:val="ListBullet"/>
        <w:spacing w:after="40"/>
      </w:pPr>
      <w:r>
        <w:t>Control assessment: passed, failed, bypassed, partially effective, not observable, or not applicable.</w:t>
      </w:r>
    </w:p>
    <w:p>
      <w:pPr>
        <w:pStyle w:val="ListBullet"/>
        <w:spacing w:after="40"/>
      </w:pPr>
      <w:r>
        <w:t>Risk decision required: accept, avoid, mitigate, or transfer.</w:t>
      </w:r>
    </w:p>
    <w:p>
      <w:pPr>
        <w:pStyle w:val="ListBullet"/>
        <w:spacing w:after="40"/>
      </w:pPr>
      <w:r>
        <w:t>Owner and deadline: named accountable owner for remediation, exception approval, or control redesign.</w:t>
      </w:r>
    </w:p>
    <w:p>
      <w:pPr>
        <w:pStyle w:val="ListBullet"/>
        <w:spacing w:after="40"/>
      </w:pPr>
      <w:r>
        <w:t>Validation method: re-hunt query, control test, tabletop, access review, log export, or independent evidence check.</w:t>
      </w:r>
    </w:p>
    <w:p>
      <w:pPr>
        <w:pStyle w:val="Heading1"/>
      </w:pPr>
      <w:r>
        <w:t>7. D-Evidence Maturity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top"/>
            <w:shd w:fill="D9EAD3"/>
          </w:tcPr>
          <w:p>
            <w:pPr>
              <w:spacing w:after="40"/>
            </w:pPr>
            <w:r/>
            <w:r>
              <w:rPr>
                <w:rFonts w:ascii="Aptos" w:hAnsi="Aptos"/>
                <w:b/>
                <w:sz w:val="17"/>
              </w:rPr>
              <w:t>Level</w:t>
            </w:r>
          </w:p>
        </w:tc>
        <w:tc>
          <w:tcPr>
            <w:tcW w:type="dxa" w:w="1944"/>
            <w:vAlign w:val="top"/>
            <w:shd w:fill="D9EAD3"/>
          </w:tcPr>
          <w:p>
            <w:pPr>
              <w:spacing w:after="40"/>
            </w:pPr>
            <w:r/>
            <w:r>
              <w:rPr>
                <w:rFonts w:ascii="Aptos" w:hAnsi="Aptos"/>
                <w:b/>
                <w:sz w:val="17"/>
              </w:rPr>
              <w:t>Name</w:t>
            </w:r>
          </w:p>
        </w:tc>
        <w:tc>
          <w:tcPr>
            <w:tcW w:type="dxa" w:w="4752"/>
            <w:vAlign w:val="top"/>
            <w:shd w:fill="D9EAD3"/>
          </w:tcPr>
          <w:p>
            <w:pPr>
              <w:spacing w:after="40"/>
            </w:pPr>
            <w:r/>
            <w:r>
              <w:rPr>
                <w:rFonts w:ascii="Aptos" w:hAnsi="Aptos"/>
                <w:b/>
                <w:sz w:val="17"/>
              </w:rPr>
              <w:t>Evidence Behavior</w:t>
            </w:r>
          </w:p>
        </w:tc>
        <w:tc>
          <w:tcPr>
            <w:tcW w:type="dxa" w:w="2880"/>
            <w:vAlign w:val="top"/>
            <w:shd w:fill="D9EAD3"/>
          </w:tcPr>
          <w:p>
            <w:pPr>
              <w:spacing w:after="40"/>
            </w:pPr>
            <w:r/>
            <w:r>
              <w:rPr>
                <w:rFonts w:ascii="Aptos" w:hAnsi="Aptos"/>
                <w:b/>
                <w:sz w:val="17"/>
              </w:rPr>
              <w:t>Leadership Risk</w:t>
            </w:r>
          </w:p>
        </w:tc>
      </w:tr>
      <w:tr>
        <w:tc>
          <w:tcPr>
            <w:tcW w:type="dxa" w:w="792"/>
            <w:vAlign w:val="top"/>
          </w:tcPr>
          <w:p>
            <w:pPr>
              <w:spacing w:after="40"/>
            </w:pPr>
            <w:r/>
            <w:r>
              <w:rPr>
                <w:rFonts w:ascii="Aptos" w:hAnsi="Aptos"/>
                <w:b w:val="0"/>
                <w:sz w:val="17"/>
              </w:rPr>
              <w:t>0</w:t>
            </w:r>
          </w:p>
        </w:tc>
        <w:tc>
          <w:tcPr>
            <w:tcW w:type="dxa" w:w="1944"/>
            <w:vAlign w:val="top"/>
          </w:tcPr>
          <w:p>
            <w:pPr>
              <w:spacing w:after="40"/>
            </w:pPr>
            <w:r/>
            <w:r>
              <w:rPr>
                <w:rFonts w:ascii="Aptos" w:hAnsi="Aptos"/>
                <w:b w:val="0"/>
                <w:sz w:val="17"/>
              </w:rPr>
              <w:t>Blind</w:t>
            </w:r>
          </w:p>
        </w:tc>
        <w:tc>
          <w:tcPr>
            <w:tcW w:type="dxa" w:w="4752"/>
            <w:vAlign w:val="top"/>
          </w:tcPr>
          <w:p>
            <w:pPr>
              <w:spacing w:after="40"/>
            </w:pPr>
            <w:r/>
            <w:r>
              <w:rPr>
                <w:rFonts w:ascii="Aptos" w:hAnsi="Aptos"/>
                <w:b w:val="0"/>
                <w:sz w:val="17"/>
              </w:rPr>
              <w:t>AI workflows execute with limited identity, prompt, tool, or data-access logging.</w:t>
            </w:r>
          </w:p>
        </w:tc>
        <w:tc>
          <w:tcPr>
            <w:tcW w:type="dxa" w:w="2880"/>
            <w:vAlign w:val="top"/>
          </w:tcPr>
          <w:p>
            <w:pPr>
              <w:spacing w:after="40"/>
            </w:pPr>
            <w:r/>
            <w:r>
              <w:rPr>
                <w:rFonts w:ascii="Aptos" w:hAnsi="Aptos"/>
                <w:b w:val="0"/>
                <w:sz w:val="17"/>
              </w:rPr>
              <w:t>Material AI workflow risk cannot be bounded after an incident.</w:t>
            </w:r>
          </w:p>
        </w:tc>
      </w:tr>
      <w:tr>
        <w:tc>
          <w:tcPr>
            <w:tcW w:type="dxa" w:w="792"/>
            <w:vAlign w:val="top"/>
          </w:tcPr>
          <w:p>
            <w:pPr>
              <w:spacing w:after="40"/>
            </w:pPr>
            <w:r/>
            <w:r>
              <w:rPr>
                <w:rFonts w:ascii="Aptos" w:hAnsi="Aptos"/>
                <w:b w:val="0"/>
                <w:sz w:val="17"/>
              </w:rPr>
              <w:t>1</w:t>
            </w:r>
          </w:p>
        </w:tc>
        <w:tc>
          <w:tcPr>
            <w:tcW w:type="dxa" w:w="1944"/>
            <w:vAlign w:val="top"/>
          </w:tcPr>
          <w:p>
            <w:pPr>
              <w:spacing w:after="40"/>
            </w:pPr>
            <w:r/>
            <w:r>
              <w:rPr>
                <w:rFonts w:ascii="Aptos" w:hAnsi="Aptos"/>
                <w:b w:val="0"/>
                <w:sz w:val="17"/>
              </w:rPr>
              <w:t>Fragmented</w:t>
            </w:r>
          </w:p>
        </w:tc>
        <w:tc>
          <w:tcPr>
            <w:tcW w:type="dxa" w:w="4752"/>
            <w:vAlign w:val="top"/>
          </w:tcPr>
          <w:p>
            <w:pPr>
              <w:spacing w:after="40"/>
            </w:pPr>
            <w:r/>
            <w:r>
              <w:rPr>
                <w:rFonts w:ascii="Aptos" w:hAnsi="Aptos"/>
                <w:b w:val="0"/>
                <w:sz w:val="17"/>
              </w:rPr>
              <w:t>Some logs exist, but identity, data access, and tool actions are not correlated.</w:t>
            </w:r>
          </w:p>
        </w:tc>
        <w:tc>
          <w:tcPr>
            <w:tcW w:type="dxa" w:w="2880"/>
            <w:vAlign w:val="top"/>
          </w:tcPr>
          <w:p>
            <w:pPr>
              <w:spacing w:after="40"/>
            </w:pPr>
            <w:r/>
            <w:r>
              <w:rPr>
                <w:rFonts w:ascii="Aptos" w:hAnsi="Aptos"/>
                <w:b w:val="0"/>
                <w:sz w:val="17"/>
              </w:rPr>
              <w:t>Investigations depend on manual reconstruction and vendor cooperation.</w:t>
            </w:r>
          </w:p>
        </w:tc>
      </w:tr>
      <w:tr>
        <w:tc>
          <w:tcPr>
            <w:tcW w:type="dxa" w:w="792"/>
            <w:vAlign w:val="top"/>
          </w:tcPr>
          <w:p>
            <w:pPr>
              <w:spacing w:after="40"/>
            </w:pPr>
            <w:r/>
            <w:r>
              <w:rPr>
                <w:rFonts w:ascii="Aptos" w:hAnsi="Aptos"/>
                <w:b w:val="0"/>
                <w:sz w:val="17"/>
              </w:rPr>
              <w:t>2</w:t>
            </w:r>
          </w:p>
        </w:tc>
        <w:tc>
          <w:tcPr>
            <w:tcW w:type="dxa" w:w="1944"/>
            <w:vAlign w:val="top"/>
          </w:tcPr>
          <w:p>
            <w:pPr>
              <w:spacing w:after="40"/>
            </w:pPr>
            <w:r/>
            <w:r>
              <w:rPr>
                <w:rFonts w:ascii="Aptos" w:hAnsi="Aptos"/>
                <w:b w:val="0"/>
                <w:sz w:val="17"/>
              </w:rPr>
              <w:t>Traceable</w:t>
            </w:r>
          </w:p>
        </w:tc>
        <w:tc>
          <w:tcPr>
            <w:tcW w:type="dxa" w:w="4752"/>
            <w:vAlign w:val="top"/>
          </w:tcPr>
          <w:p>
            <w:pPr>
              <w:spacing w:after="40"/>
            </w:pPr>
            <w:r/>
            <w:r>
              <w:rPr>
                <w:rFonts w:ascii="Aptos" w:hAnsi="Aptos"/>
                <w:b w:val="0"/>
                <w:sz w:val="17"/>
              </w:rPr>
              <w:t>Core actions have correlation IDs and enough telemetry to reconstruct high-risk events.</w:t>
            </w:r>
          </w:p>
        </w:tc>
        <w:tc>
          <w:tcPr>
            <w:tcW w:type="dxa" w:w="2880"/>
            <w:vAlign w:val="top"/>
          </w:tcPr>
          <w:p>
            <w:pPr>
              <w:spacing w:after="40"/>
            </w:pPr>
            <w:r/>
            <w:r>
              <w:rPr>
                <w:rFonts w:ascii="Aptos" w:hAnsi="Aptos"/>
                <w:b w:val="0"/>
                <w:sz w:val="17"/>
              </w:rPr>
              <w:t>Incident response is possible but may be slow or incomplete.</w:t>
            </w:r>
          </w:p>
        </w:tc>
      </w:tr>
      <w:tr>
        <w:tc>
          <w:tcPr>
            <w:tcW w:type="dxa" w:w="792"/>
            <w:vAlign w:val="top"/>
          </w:tcPr>
          <w:p>
            <w:pPr>
              <w:spacing w:after="40"/>
            </w:pPr>
            <w:r/>
            <w:r>
              <w:rPr>
                <w:rFonts w:ascii="Aptos" w:hAnsi="Aptos"/>
                <w:b w:val="0"/>
                <w:sz w:val="17"/>
              </w:rPr>
              <w:t>3</w:t>
            </w:r>
          </w:p>
        </w:tc>
        <w:tc>
          <w:tcPr>
            <w:tcW w:type="dxa" w:w="1944"/>
            <w:vAlign w:val="top"/>
          </w:tcPr>
          <w:p>
            <w:pPr>
              <w:spacing w:after="40"/>
            </w:pPr>
            <w:r/>
            <w:r>
              <w:rPr>
                <w:rFonts w:ascii="Aptos" w:hAnsi="Aptos"/>
                <w:b w:val="0"/>
                <w:sz w:val="17"/>
              </w:rPr>
              <w:t>Decision-grade</w:t>
            </w:r>
          </w:p>
        </w:tc>
        <w:tc>
          <w:tcPr>
            <w:tcW w:type="dxa" w:w="4752"/>
            <w:vAlign w:val="top"/>
          </w:tcPr>
          <w:p>
            <w:pPr>
              <w:spacing w:after="40"/>
            </w:pPr>
            <w:r/>
            <w:r>
              <w:rPr>
                <w:rFonts w:ascii="Aptos" w:hAnsi="Aptos"/>
                <w:b w:val="0"/>
                <w:sz w:val="17"/>
              </w:rPr>
              <w:t>Evidence supports control validation, risk decisions, legal review, and audit requests.</w:t>
            </w:r>
          </w:p>
        </w:tc>
        <w:tc>
          <w:tcPr>
            <w:tcW w:type="dxa" w:w="2880"/>
            <w:vAlign w:val="top"/>
          </w:tcPr>
          <w:p>
            <w:pPr>
              <w:spacing w:after="40"/>
            </w:pPr>
            <w:r/>
            <w:r>
              <w:rPr>
                <w:rFonts w:ascii="Aptos" w:hAnsi="Aptos"/>
                <w:b w:val="0"/>
                <w:sz w:val="17"/>
              </w:rPr>
              <w:t>Leadership can defend decisions with proof instead of assumptions.</w:t>
            </w:r>
          </w:p>
        </w:tc>
      </w:tr>
      <w:tr>
        <w:tc>
          <w:tcPr>
            <w:tcW w:type="dxa" w:w="792"/>
            <w:vAlign w:val="top"/>
          </w:tcPr>
          <w:p>
            <w:pPr>
              <w:spacing w:after="40"/>
            </w:pPr>
            <w:r/>
            <w:r>
              <w:rPr>
                <w:rFonts w:ascii="Aptos" w:hAnsi="Aptos"/>
                <w:b w:val="0"/>
                <w:sz w:val="17"/>
              </w:rPr>
              <w:t>4</w:t>
            </w:r>
          </w:p>
        </w:tc>
        <w:tc>
          <w:tcPr>
            <w:tcW w:type="dxa" w:w="1944"/>
            <w:vAlign w:val="top"/>
          </w:tcPr>
          <w:p>
            <w:pPr>
              <w:spacing w:after="40"/>
            </w:pPr>
            <w:r/>
            <w:r>
              <w:rPr>
                <w:rFonts w:ascii="Aptos" w:hAnsi="Aptos"/>
                <w:b w:val="0"/>
                <w:sz w:val="17"/>
              </w:rPr>
              <w:t>Continuously validated</w:t>
            </w:r>
          </w:p>
        </w:tc>
        <w:tc>
          <w:tcPr>
            <w:tcW w:type="dxa" w:w="4752"/>
            <w:vAlign w:val="top"/>
          </w:tcPr>
          <w:p>
            <w:pPr>
              <w:spacing w:after="40"/>
            </w:pPr>
            <w:r/>
            <w:r>
              <w:rPr>
                <w:rFonts w:ascii="Aptos" w:hAnsi="Aptos"/>
                <w:b w:val="0"/>
                <w:sz w:val="17"/>
              </w:rPr>
              <w:t>Findings convert into continuous monitoring, automated evidence collection, and periodic re-hunts.</w:t>
            </w:r>
          </w:p>
        </w:tc>
        <w:tc>
          <w:tcPr>
            <w:tcW w:type="dxa" w:w="2880"/>
            <w:vAlign w:val="top"/>
          </w:tcPr>
          <w:p>
            <w:pPr>
              <w:spacing w:after="40"/>
            </w:pPr>
            <w:r/>
            <w:r>
              <w:rPr>
                <w:rFonts w:ascii="Aptos" w:hAnsi="Aptos"/>
                <w:b w:val="0"/>
                <w:sz w:val="17"/>
              </w:rPr>
              <w:t>The program proves ongoing control effectiveness, not one-time compliance.</w:t>
            </w:r>
          </w:p>
        </w:tc>
      </w:tr>
    </w:tbl>
    <w:p/>
    <w:p>
      <w:pPr>
        <w:pStyle w:val="Heading1"/>
      </w:pPr>
      <w:r>
        <w:t>8. 30 / 60 / 90-Day Build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vAlign w:val="top"/>
            <w:shd w:fill="D9EAD3"/>
          </w:tcPr>
          <w:p>
            <w:pPr>
              <w:spacing w:after="40"/>
            </w:pPr>
            <w:r/>
            <w:r>
              <w:rPr>
                <w:rFonts w:ascii="Aptos" w:hAnsi="Aptos"/>
                <w:b/>
                <w:sz w:val="17"/>
              </w:rPr>
              <w:t>Timeframe</w:t>
            </w:r>
          </w:p>
        </w:tc>
        <w:tc>
          <w:tcPr>
            <w:tcW w:type="dxa" w:w="4320"/>
            <w:vAlign w:val="top"/>
            <w:shd w:fill="D9EAD3"/>
          </w:tcPr>
          <w:p>
            <w:pPr>
              <w:spacing w:after="40"/>
            </w:pPr>
            <w:r/>
            <w:r>
              <w:rPr>
                <w:rFonts w:ascii="Aptos" w:hAnsi="Aptos"/>
                <w:b/>
                <w:sz w:val="17"/>
              </w:rPr>
              <w:t>Action</w:t>
            </w:r>
          </w:p>
        </w:tc>
        <w:tc>
          <w:tcPr>
            <w:tcW w:type="dxa" w:w="2304"/>
            <w:vAlign w:val="top"/>
            <w:shd w:fill="D9EAD3"/>
          </w:tcPr>
          <w:p>
            <w:pPr>
              <w:spacing w:after="40"/>
            </w:pPr>
            <w:r/>
            <w:r>
              <w:rPr>
                <w:rFonts w:ascii="Aptos" w:hAnsi="Aptos"/>
                <w:b/>
                <w:sz w:val="17"/>
              </w:rPr>
              <w:t>Owner</w:t>
            </w:r>
          </w:p>
        </w:tc>
        <w:tc>
          <w:tcPr>
            <w:tcW w:type="dxa" w:w="2448"/>
            <w:vAlign w:val="top"/>
            <w:shd w:fill="D9EAD3"/>
          </w:tcPr>
          <w:p>
            <w:pPr>
              <w:spacing w:after="40"/>
            </w:pPr>
            <w:r/>
            <w:r>
              <w:rPr>
                <w:rFonts w:ascii="Aptos" w:hAnsi="Aptos"/>
                <w:b/>
                <w:sz w:val="17"/>
              </w:rPr>
              <w:t>Output</w:t>
            </w:r>
          </w:p>
        </w:tc>
      </w:tr>
      <w:tr>
        <w:tc>
          <w:tcPr>
            <w:tcW w:type="dxa" w:w="1296"/>
            <w:vAlign w:val="top"/>
          </w:tcPr>
          <w:p>
            <w:pPr>
              <w:spacing w:after="40"/>
            </w:pPr>
            <w:r/>
            <w:r>
              <w:rPr>
                <w:rFonts w:ascii="Aptos" w:hAnsi="Aptos"/>
                <w:b w:val="0"/>
                <w:sz w:val="17"/>
              </w:rPr>
              <w:t>30 days</w:t>
            </w:r>
          </w:p>
        </w:tc>
        <w:tc>
          <w:tcPr>
            <w:tcW w:type="dxa" w:w="4320"/>
            <w:vAlign w:val="top"/>
          </w:tcPr>
          <w:p>
            <w:pPr>
              <w:spacing w:after="40"/>
            </w:pPr>
            <w:r/>
            <w:r>
              <w:rPr>
                <w:rFonts w:ascii="Aptos" w:hAnsi="Aptos"/>
                <w:b w:val="0"/>
                <w:sz w:val="17"/>
              </w:rPr>
              <w:t>Inventory AI agents, app registrations, OAuth grants, plugins, service accounts, and high-risk automations.</w:t>
            </w:r>
          </w:p>
        </w:tc>
        <w:tc>
          <w:tcPr>
            <w:tcW w:type="dxa" w:w="2304"/>
            <w:vAlign w:val="top"/>
          </w:tcPr>
          <w:p>
            <w:pPr>
              <w:spacing w:after="40"/>
            </w:pPr>
            <w:r/>
            <w:r>
              <w:rPr>
                <w:rFonts w:ascii="Aptos" w:hAnsi="Aptos"/>
                <w:b w:val="0"/>
                <w:sz w:val="17"/>
              </w:rPr>
              <w:t>IAM + Security Operations + AI Platform Owner</w:t>
            </w:r>
          </w:p>
        </w:tc>
        <w:tc>
          <w:tcPr>
            <w:tcW w:type="dxa" w:w="2448"/>
            <w:vAlign w:val="top"/>
          </w:tcPr>
          <w:p>
            <w:pPr>
              <w:spacing w:after="40"/>
            </w:pPr>
            <w:r/>
            <w:r>
              <w:rPr>
                <w:rFonts w:ascii="Aptos" w:hAnsi="Aptos"/>
                <w:b w:val="0"/>
                <w:sz w:val="17"/>
              </w:rPr>
              <w:t>AI identity and integration register.</w:t>
            </w:r>
          </w:p>
        </w:tc>
      </w:tr>
      <w:tr>
        <w:tc>
          <w:tcPr>
            <w:tcW w:type="dxa" w:w="1296"/>
            <w:vAlign w:val="top"/>
          </w:tcPr>
          <w:p>
            <w:pPr>
              <w:spacing w:after="40"/>
            </w:pPr>
            <w:r/>
            <w:r>
              <w:rPr>
                <w:rFonts w:ascii="Aptos" w:hAnsi="Aptos"/>
                <w:b w:val="0"/>
                <w:sz w:val="17"/>
              </w:rPr>
              <w:t>30 days</w:t>
            </w:r>
          </w:p>
        </w:tc>
        <w:tc>
          <w:tcPr>
            <w:tcW w:type="dxa" w:w="4320"/>
            <w:vAlign w:val="top"/>
          </w:tcPr>
          <w:p>
            <w:pPr>
              <w:spacing w:after="40"/>
            </w:pPr>
            <w:r/>
            <w:r>
              <w:rPr>
                <w:rFonts w:ascii="Aptos" w:hAnsi="Aptos"/>
                <w:b w:val="0"/>
                <w:sz w:val="17"/>
              </w:rPr>
              <w:t>Identify the top five workflows where AI can access, transform, send, approve, or trigger business actions.</w:t>
            </w:r>
          </w:p>
        </w:tc>
        <w:tc>
          <w:tcPr>
            <w:tcW w:type="dxa" w:w="2304"/>
            <w:vAlign w:val="top"/>
          </w:tcPr>
          <w:p>
            <w:pPr>
              <w:spacing w:after="40"/>
            </w:pPr>
            <w:r/>
            <w:r>
              <w:rPr>
                <w:rFonts w:ascii="Aptos" w:hAnsi="Aptos"/>
                <w:b w:val="0"/>
                <w:sz w:val="17"/>
              </w:rPr>
              <w:t>Business Owner + GRC + Security</w:t>
            </w:r>
          </w:p>
        </w:tc>
        <w:tc>
          <w:tcPr>
            <w:tcW w:type="dxa" w:w="2448"/>
            <w:vAlign w:val="top"/>
          </w:tcPr>
          <w:p>
            <w:pPr>
              <w:spacing w:after="40"/>
            </w:pPr>
            <w:r/>
            <w:r>
              <w:rPr>
                <w:rFonts w:ascii="Aptos" w:hAnsi="Aptos"/>
                <w:b w:val="0"/>
                <w:sz w:val="17"/>
              </w:rPr>
              <w:t>High-risk AI workflow map.</w:t>
            </w:r>
          </w:p>
        </w:tc>
      </w:tr>
      <w:tr>
        <w:tc>
          <w:tcPr>
            <w:tcW w:type="dxa" w:w="1296"/>
            <w:vAlign w:val="top"/>
          </w:tcPr>
          <w:p>
            <w:pPr>
              <w:spacing w:after="40"/>
            </w:pPr>
            <w:r/>
            <w:r>
              <w:rPr>
                <w:rFonts w:ascii="Aptos" w:hAnsi="Aptos"/>
                <w:b w:val="0"/>
                <w:sz w:val="17"/>
              </w:rPr>
              <w:t>60 days</w:t>
            </w:r>
          </w:p>
        </w:tc>
        <w:tc>
          <w:tcPr>
            <w:tcW w:type="dxa" w:w="4320"/>
            <w:vAlign w:val="top"/>
          </w:tcPr>
          <w:p>
            <w:pPr>
              <w:spacing w:after="40"/>
            </w:pPr>
            <w:r/>
            <w:r>
              <w:rPr>
                <w:rFonts w:ascii="Aptos" w:hAnsi="Aptos"/>
                <w:b w:val="0"/>
                <w:sz w:val="17"/>
              </w:rPr>
              <w:t>Define minimum evidence fields for each workflow: identity, trigger, action, data, control, state, and time.</w:t>
            </w:r>
          </w:p>
        </w:tc>
        <w:tc>
          <w:tcPr>
            <w:tcW w:type="dxa" w:w="2304"/>
            <w:vAlign w:val="top"/>
          </w:tcPr>
          <w:p>
            <w:pPr>
              <w:spacing w:after="40"/>
            </w:pPr>
            <w:r/>
            <w:r>
              <w:rPr>
                <w:rFonts w:ascii="Aptos" w:hAnsi="Aptos"/>
                <w:b w:val="0"/>
                <w:sz w:val="17"/>
              </w:rPr>
              <w:t>Detection Engineering + DFIR</w:t>
            </w:r>
          </w:p>
        </w:tc>
        <w:tc>
          <w:tcPr>
            <w:tcW w:type="dxa" w:w="2448"/>
            <w:vAlign w:val="top"/>
          </w:tcPr>
          <w:p>
            <w:pPr>
              <w:spacing w:after="40"/>
            </w:pPr>
            <w:r/>
            <w:r>
              <w:rPr>
                <w:rFonts w:ascii="Aptos" w:hAnsi="Aptos"/>
                <w:b w:val="0"/>
                <w:sz w:val="17"/>
              </w:rPr>
              <w:t>D-Evidence schema.</w:t>
            </w:r>
          </w:p>
        </w:tc>
      </w:tr>
      <w:tr>
        <w:tc>
          <w:tcPr>
            <w:tcW w:type="dxa" w:w="1296"/>
            <w:vAlign w:val="top"/>
          </w:tcPr>
          <w:p>
            <w:pPr>
              <w:spacing w:after="40"/>
            </w:pPr>
            <w:r/>
            <w:r>
              <w:rPr>
                <w:rFonts w:ascii="Aptos" w:hAnsi="Aptos"/>
                <w:b w:val="0"/>
                <w:sz w:val="17"/>
              </w:rPr>
              <w:t>60 days</w:t>
            </w:r>
          </w:p>
        </w:tc>
        <w:tc>
          <w:tcPr>
            <w:tcW w:type="dxa" w:w="4320"/>
            <w:vAlign w:val="top"/>
          </w:tcPr>
          <w:p>
            <w:pPr>
              <w:spacing w:after="40"/>
            </w:pPr>
            <w:r/>
            <w:r>
              <w:rPr>
                <w:rFonts w:ascii="Aptos" w:hAnsi="Aptos"/>
                <w:b w:val="0"/>
                <w:sz w:val="17"/>
              </w:rPr>
              <w:t>Test whether logs can be exported, retained, correlated, and preserved outside vendor consoles.</w:t>
            </w:r>
          </w:p>
        </w:tc>
        <w:tc>
          <w:tcPr>
            <w:tcW w:type="dxa" w:w="2304"/>
            <w:vAlign w:val="top"/>
          </w:tcPr>
          <w:p>
            <w:pPr>
              <w:spacing w:after="40"/>
            </w:pPr>
            <w:r/>
            <w:r>
              <w:rPr>
                <w:rFonts w:ascii="Aptos" w:hAnsi="Aptos"/>
                <w:b w:val="0"/>
                <w:sz w:val="17"/>
              </w:rPr>
              <w:t>Security Engineering + Legal/Compliance</w:t>
            </w:r>
          </w:p>
        </w:tc>
        <w:tc>
          <w:tcPr>
            <w:tcW w:type="dxa" w:w="2448"/>
            <w:vAlign w:val="top"/>
          </w:tcPr>
          <w:p>
            <w:pPr>
              <w:spacing w:after="40"/>
            </w:pPr>
            <w:r/>
            <w:r>
              <w:rPr>
                <w:rFonts w:ascii="Aptos" w:hAnsi="Aptos"/>
                <w:b w:val="0"/>
                <w:sz w:val="17"/>
              </w:rPr>
              <w:t>Evidence retention and export gap assessment.</w:t>
            </w:r>
          </w:p>
        </w:tc>
      </w:tr>
      <w:tr>
        <w:tc>
          <w:tcPr>
            <w:tcW w:type="dxa" w:w="1296"/>
            <w:vAlign w:val="top"/>
          </w:tcPr>
          <w:p>
            <w:pPr>
              <w:spacing w:after="40"/>
            </w:pPr>
            <w:r/>
            <w:r>
              <w:rPr>
                <w:rFonts w:ascii="Aptos" w:hAnsi="Aptos"/>
                <w:b w:val="0"/>
                <w:sz w:val="17"/>
              </w:rPr>
              <w:t>90 days</w:t>
            </w:r>
          </w:p>
        </w:tc>
        <w:tc>
          <w:tcPr>
            <w:tcW w:type="dxa" w:w="4320"/>
            <w:vAlign w:val="top"/>
          </w:tcPr>
          <w:p>
            <w:pPr>
              <w:spacing w:after="40"/>
            </w:pPr>
            <w:r/>
            <w:r>
              <w:rPr>
                <w:rFonts w:ascii="Aptos" w:hAnsi="Aptos"/>
                <w:b w:val="0"/>
                <w:sz w:val="17"/>
              </w:rPr>
              <w:t>Create re-hunt procedures for OAuth abuse, abnormal tool calls, sensitive data retrieval, and control bypass.</w:t>
            </w:r>
          </w:p>
        </w:tc>
        <w:tc>
          <w:tcPr>
            <w:tcW w:type="dxa" w:w="2304"/>
            <w:vAlign w:val="top"/>
          </w:tcPr>
          <w:p>
            <w:pPr>
              <w:spacing w:after="40"/>
            </w:pPr>
            <w:r/>
            <w:r>
              <w:rPr>
                <w:rFonts w:ascii="Aptos" w:hAnsi="Aptos"/>
                <w:b w:val="0"/>
                <w:sz w:val="17"/>
              </w:rPr>
              <w:t>SOC / Threat Hunt Lead</w:t>
            </w:r>
          </w:p>
        </w:tc>
        <w:tc>
          <w:tcPr>
            <w:tcW w:type="dxa" w:w="2448"/>
            <w:vAlign w:val="top"/>
          </w:tcPr>
          <w:p>
            <w:pPr>
              <w:spacing w:after="40"/>
            </w:pPr>
            <w:r/>
            <w:r>
              <w:rPr>
                <w:rFonts w:ascii="Aptos" w:hAnsi="Aptos"/>
                <w:b w:val="0"/>
                <w:sz w:val="17"/>
              </w:rPr>
              <w:t>Repeatable D-Evidence hunt pack.</w:t>
            </w:r>
          </w:p>
        </w:tc>
      </w:tr>
      <w:tr>
        <w:tc>
          <w:tcPr>
            <w:tcW w:type="dxa" w:w="1296"/>
            <w:vAlign w:val="top"/>
          </w:tcPr>
          <w:p>
            <w:pPr>
              <w:spacing w:after="40"/>
            </w:pPr>
            <w:r/>
            <w:r>
              <w:rPr>
                <w:rFonts w:ascii="Aptos" w:hAnsi="Aptos"/>
                <w:b w:val="0"/>
                <w:sz w:val="17"/>
              </w:rPr>
              <w:t>90 days</w:t>
            </w:r>
          </w:p>
        </w:tc>
        <w:tc>
          <w:tcPr>
            <w:tcW w:type="dxa" w:w="4320"/>
            <w:vAlign w:val="top"/>
          </w:tcPr>
          <w:p>
            <w:pPr>
              <w:spacing w:after="40"/>
            </w:pPr>
            <w:r/>
            <w:r>
              <w:rPr>
                <w:rFonts w:ascii="Aptos" w:hAnsi="Aptos"/>
                <w:b w:val="0"/>
                <w:sz w:val="17"/>
              </w:rPr>
              <w:t>Convert findings into executive risk memos with accept/avoid/mitigate/transfer decisions.</w:t>
            </w:r>
          </w:p>
        </w:tc>
        <w:tc>
          <w:tcPr>
            <w:tcW w:type="dxa" w:w="2304"/>
            <w:vAlign w:val="top"/>
          </w:tcPr>
          <w:p>
            <w:pPr>
              <w:spacing w:after="40"/>
            </w:pPr>
            <w:r/>
            <w:r>
              <w:rPr>
                <w:rFonts w:ascii="Aptos" w:hAnsi="Aptos"/>
                <w:b w:val="0"/>
                <w:sz w:val="17"/>
              </w:rPr>
              <w:t>CISO / Risk Owner</w:t>
            </w:r>
          </w:p>
        </w:tc>
        <w:tc>
          <w:tcPr>
            <w:tcW w:type="dxa" w:w="2448"/>
            <w:vAlign w:val="top"/>
          </w:tcPr>
          <w:p>
            <w:pPr>
              <w:spacing w:after="40"/>
            </w:pPr>
            <w:r/>
            <w:r>
              <w:rPr>
                <w:rFonts w:ascii="Aptos" w:hAnsi="Aptos"/>
                <w:b w:val="0"/>
                <w:sz w:val="17"/>
              </w:rPr>
              <w:t>Decision register and remediation roadmap.</w:t>
            </w:r>
          </w:p>
        </w:tc>
      </w:tr>
    </w:tbl>
    <w:p/>
    <w:p>
      <w:pPr>
        <w:pStyle w:val="Heading1"/>
      </w:pPr>
      <w:r>
        <w:t>9. Language for the Book</w:t>
      </w:r>
    </w:p>
    <w:p>
      <w:r>
        <w:rPr>
          <w:b/>
        </w:rPr>
        <w:t xml:space="preserve">The blunt version: </w:t>
      </w:r>
      <w:r>
        <w:t>AI threat hunting cannot stop at “we saw something unusual.” It must answer whether the organization can prove who or what acted, why the action occurred, what data was touched, which control made the decision, what state the system was in, and whether leadership has enough evidence to make a defensible risk decision.</w:t>
      </w:r>
    </w:p>
    <w:p>
      <w:r>
        <w:rPr>
          <w:b/>
        </w:rPr>
        <w:t xml:space="preserve">The executive version: </w:t>
      </w:r>
      <w:r>
        <w:t>D-Evidence turns threat hunting into governance-grade security intelligence. It helps leaders distinguish between a contained event, a control failure, an evidence gap, and an accepted business risk.</w:t>
      </w:r>
    </w:p>
    <w:p>
      <w:r>
        <w:rPr>
          <w:b/>
        </w:rPr>
        <w:t xml:space="preserve">The practitioner version: </w:t>
      </w:r>
      <w:r>
        <w:t>If the finding cannot be tied to identity, action, data, control, state, and time, the next hunt should not be for more alerts. It should be for the missing evidence.</w:t>
      </w:r>
    </w:p>
    <w:p>
      <w:pPr>
        <w:pStyle w:val="Heading1"/>
      </w:pPr>
      <w:r>
        <w:t>10. Transition to the Next Section</w:t>
      </w:r>
    </w:p>
    <w:p>
      <w:r>
        <w:rPr>
          <w:b/>
        </w:rPr>
        <w:t xml:space="preserve">D-Evidence creates the proof record. The next section should be D-Decision: the operating model for converting threat hunt findings into executive action. </w:t>
      </w:r>
      <w:r>
        <w:t>D-Decision will define how leaders document whether they accept, avoid, mitigate, or transfer the risk, and how analysts avoid the common failure mode where technically valid findings die inside ticket queues without a clear owner or business decision.</w:t>
      </w:r>
    </w:p>
    <w:p>
      <w:pPr>
        <w:pStyle w:val="Heading1"/>
      </w:pPr>
      <w:r>
        <w:t>Source Notes / Anchors</w:t>
      </w:r>
    </w:p>
    <w:p>
      <w:pPr>
        <w:pStyle w:val="ListBullet"/>
        <w:spacing w:after="40"/>
      </w:pPr>
      <w:r>
        <w:t>Internal program anchor: AI-Securing Threat Hunt Program, structured around hypotheses, telemetry, detections, response actions, and leadership reporting.</w:t>
      </w:r>
    </w:p>
    <w:p>
      <w:pPr>
        <w:pStyle w:val="ListBullet"/>
        <w:spacing w:after="40"/>
      </w:pPr>
      <w:r>
        <w:t>Internal topic anchor: DFIR for AI-Enabled Environments - evidence model for prompts, outputs, tool calls, identity, data access, approvals, and model/version state.</w:t>
      </w:r>
    </w:p>
    <w:p>
      <w:pPr>
        <w:pStyle w:val="ListBullet"/>
        <w:spacing w:after="40"/>
      </w:pPr>
      <w:r>
        <w:t>NIST AI RMF Generative AI Profile: supports the need to manage generative AI risks according to organizational goals and priorities.</w:t>
      </w:r>
    </w:p>
    <w:p>
      <w:pPr>
        <w:pStyle w:val="ListBullet"/>
        <w:spacing w:after="40"/>
      </w:pPr>
      <w:r>
        <w:t>NIST SP 800-61 Rev. 3: supports integrating incident response considerations into cybersecurity risk management activities.</w:t>
      </w:r>
    </w:p>
    <w:p>
      <w:pPr>
        <w:pStyle w:val="ListBullet"/>
        <w:spacing w:after="40"/>
      </w:pPr>
      <w:r>
        <w:t>NIST Cyber AI Profile draft: supports the Secure, Defend, and Thwart framing for AI-aware cybersecurity.</w:t>
      </w:r>
    </w:p>
    <w:p>
      <w:pPr>
        <w:pStyle w:val="ListBullet"/>
        <w:spacing w:after="40"/>
      </w:pPr>
      <w:r>
        <w:t>MITRE ATT&amp;CK cloud/OAuth techniques: supports identity, application integration, token, and persistence-oriented threat modeling.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Agee Cyber Advisory | AI Threat Hunt Program | D-Evidence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Threat Hunt Program - D-Evidence Chapter</dc:title>
  <dc:subject>Draft book section following D-Control</dc:subject>
  <dc:creator>Angie Agee</dc:creator>
  <cp:keywords>AI threat hunting, D-Control, D-Evidence, DFIR, detection engineering, executive risk</cp:keywords>
  <dc:description>generated by python-docx</dc:description>
  <cp:lastModifiedBy/>
  <cp:revision>1</cp:revision>
  <dcterms:created xsi:type="dcterms:W3CDTF">2013-12-23T23:15:00Z</dcterms:created>
  <dcterms:modified xsi:type="dcterms:W3CDTF">2013-12-23T23:15:00Z</dcterms:modified>
  <cp:category/>
</cp:coreProperties>
</file>