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<w:p><w:r><w:t xml:space="preserve">Running &amp; Zhao, 2021 (8-day product; the reference manager will need an a/b suffix to separate it from the annual MOD17A3HGF entry above) — Running, S. W., &amp; Zhao, M. (2021). MODIS/Terra Gross Primary Productivity Gap-Filled 8-Day L4 Global 500 m SIN Grid V061 [Data set]. NASA EOSDIS Land Processes Distributed Active Archive Center. https://doi.org/10.5067/MODIS/MOD17A2HGF.061</w:t></w:r></w:p>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<w:body>
    <w:bookmarkStart w:id="21" w:name="X189a87859f25b143203a3726032fab070924d34" />
    <w:p><w:pPr><w:pStyle w:val="Heading1" /></w:pPr><w:r><w:t xml:space="preserve">References added in the MODIS revision of draft_modis.docx</w:t></w:r></w:p>
    <w:p><w:pPr><w:pStyle w:val="FirstParagraph" /></w:pPr><w:r><w:t xml:space="preserve">Entries for the six new in-text citations. Please verify DOIs and dataset citation years before importing.</w:t></w:r></w:p>
    <w:p><w:pPr><w:pStyle w:val="BodyText" /></w:pPr><w:r><w:rPr><w:b /><w:bCs /></w:rPr><w:t xml:space="preserve">Running et al, 2004</w:t></w:r><w:r><w:t xml:space="preserve"> </w:t></w:r><w:r><w:t xml:space="preserve">— Running, S. W., Nemani, R. R., Heinsch, F. A., Zhao, M., Reeves, M., &amp; Hashimoto, H. (2004). A continuous satellite-derived measure of global terrestrial primary production.</w:t></w:r><w:r><w:t xml:space="preserve"> </w:t></w:r><w:r><w:rPr><w:i /><w:iCs /></w:rPr><w:t xml:space="preserve">BioScience</w:t></w:r><w:r><w:t xml:space="preserve">, 54(6), 547–560. https://doi.org/10.1641/0006-3568(2004)054[0547:ACSMOG]2.0.CO;2</w:t></w:r></w:p>
    <w:p><w:pPr><w:pStyle w:val="BodyText" /></w:pPr><w:r><w:rPr><w:b /><w:bCs /></w:rPr><w:t xml:space="preserve">Running &amp; Zhao, 2021</w:t></w:r><w:r><w:t xml:space="preserve"> </w:t></w:r><w:r><w:t xml:space="preserve">— Running, S. W., &amp; Zhao, M. (2021). MODIS/Terra Gross Primary Productivity Gap-Filled Yearly L4 Global 500 m SIN Grid V061 [Data set]. NASA EOSDIS Land Processes Distributed Active Archive Center. https://doi.org/10.5067/MODIS/MOD17A3HGF.061</w:t></w:r></w:p>
    <w:p><w:pPr><w:pStyle w:val="BodyText" /></w:pPr><w:r><w:rPr><w:b /><w:bCs /></w:rPr><w:t xml:space="preserve">Roy et al, 2016</w:t></w:r><w:r><w:t xml:space="preserve"> </w:t></w:r><w:r><w:t xml:space="preserve">— Roy, D. P., Kovalskyy, V., Zhang, H. K., Vermote, E. F., Yan, L., Kumar, S. S., &amp; Egorov, A. (2016). Characterization of Landsat-7 to Landsat-8 reflective wavelength and normalized difference vegetation index continuity.</w:t></w:r><w:r><w:t xml:space="preserve"> </w:t></w:r><w:r><w:rPr><w:i /><w:iCs /></w:rPr><w:t xml:space="preserve">Remote Sensing of Environment</w:t></w:r><w:r><w:t xml:space="preserve">, 185, 57–70. https://doi.org/10.1016/j.rse.2015.12.024</w:t></w:r></w:p>
    <w:p><w:pPr><w:pStyle w:val="BodyText" /></w:pPr><w:r><w:rPr><w:b /><w:bCs /></w:rPr><w:t xml:space="preserve">Vogelmann et al, 2016</w:t></w:r><w:r><w:t xml:space="preserve"> </w:t></w:r><w:r><w:t xml:space="preserve">— Vogelmann, J. E., Gallant, A. L., Shi, H., &amp; Zhu, Z. (2016). Perspectives on monitoring gradual change across the continuity of Landsat sensors using time-series data.</w:t></w:r><w:r><w:t xml:space="preserve"> </w:t></w:r><w:r><w:rPr><w:i /><w:iCs /></w:rPr><w:t xml:space="preserve">Remote Sensing of Environment</w:t></w:r><w:r><w:t xml:space="preserve">, 185, 258–270. https://doi.org/10.1016/j.rse.2016.02.060</w:t></w:r></w:p>
    <w:p><w:pPr><w:pStyle w:val="BodyText" /></w:pPr><w:r><w:rPr><w:b /><w:bCs /></w:rPr><w:t xml:space="preserve">Mu et al, 2011</w:t></w:r><w:r><w:t xml:space="preserve"> </w:t></w:r><w:r><w:t xml:space="preserve">— Mu, Q., Zhao, M., &amp; Running, S. W. (2011). Improvements to a MODIS global terrestrial evapotranspiration algorithm.</w:t></w:r><w:r><w:t xml:space="preserve"> </w:t></w:r><w:r><w:rPr><w:i /><w:iCs /></w:rPr><w:t xml:space="preserve">Remote Sensing of Environment</w:t></w:r><w:r><w:t xml:space="preserve">, 115(8), 1781–1800. https://doi.org/10.1016/j.rse.2011.02.019</w:t></w:r></w:p>
    <w:p><w:pPr><w:pStyle w:val="BodyText" /></w:pPr><w:r><w:rPr><w:b /><w:bCs /></w:rPr><w:t xml:space="preserve">Thornton et al, 2022</w:t></w:r><w:r><w:t xml:space="preserve"> </w:t></w:r><w:r><w:t xml:space="preserve">— Thornton, M. M., Shrestha, R., Wei, Y., Thornton, P. E., Kao, S.-C., &amp; Wilson, B. E. (2022). Daymet: Daily Surface Weather Data on a 1-km Grid for North America, Version 4 R1 [Data set]. ORNL Distributed Active Archive Center. https://doi.org/10.3334/ORNLDAAC/2129</w:t></w:r></w:p>
    <w:p><w:pPr><w:pStyle w:val="BodyText" /></w:pPr><w:r><w:rPr><w:b /><w:bCs /></w:rPr><w:t xml:space="preserve">Addor et al, 2017</w:t></w:r><w:r><w:t xml:space="preserve"> </w:t></w:r><w:r><w:t xml:space="preserve">— Addor, N., Newman, A. J., Mizukami, N., &amp; Clark, M. P. (2017). The CAMELS data set: catchment attributes and meteorology for large-sample studies.</w:t></w:r><w:r><w:t xml:space="preserve"> </w:t></w:r><w:r><w:rPr><w:i /><w:iCs /></w:rPr><w:t xml:space="preserve">Hydrology and Earth System Sciences</w:t></w:r><w:r><w:t xml:space="preserve">, 21(10), 5293–5313. https://doi.org/10.5194/hess-21-5293-2017</w:t></w:r></w:p>
    <w:p><w:pPr><w:pStyle w:val="BodyText" /></w:pPr><w:r><w:rPr><w:b /><w:bCs /></w:rPr><w:t xml:space="preserve">Budyko, 1974</w:t></w:r><w:r><w:t xml:space="preserve"> </w:t></w:r><w:r><w:t xml:space="preserve">— Budyko, M. I. (1974).</w:t></w:r><w:r><w:t xml:space="preserve"> </w:t></w:r><w:r><w:rPr><w:i /><w:iCs /></w:rPr><w:t xml:space="preserve">Climate and Life</w:t></w:r><w:r><w:t xml:space="preserve">. Academic Press, New York.</w:t></w:r></w:p><w:p><w:pPr><w:pStyle w:val="BodyText" /></w:pPr><w:r><w:rPr><w:b /><w:bCs /></w:rPr><w:t xml:space="preserve">Strahler, 1957 — Strahler, A. N. (1957). Quantitative analysis of watershed geomorphology. Transactions, American Geophysical Union, 38(6), 913–920. https://doi.org/10.1029/TR038i006p00913</w:t></w:r></w:p><w:p><w:pPr><w:pStyle w:val="BodyText" /></w:pPr><w:r><w:rPr><w:b /><w:bCs /></w:rPr><w:t xml:space="preserve">Meyer et al, 2007 — Meyer, J. L., Strayer, D. L., Wallace, J. B., Eggert, S. L., Helfman, G. S., &amp; Leonard, N. E. (2007). The contribution of headwater streams to biodiversity in river networks. Journal of the American Water Resources Association, 43(1), 86–103. https://doi.org/10.1111/j.1752-1688.2007.00008.x</w:t></w:r></w:p><w:p><w:pPr><w:pStyle w:val="BodyText" /></w:pPr><w:r><w:rPr><w:b /><w:bCs /></w:rPr><w:t xml:space="preserve">Fritz et al, 2013 — Fritz, K. M., Hagenbuch, E., D’Amico, E., Reif, M., Wigington, P. J., Leibowitz, S. G., Comeleo, R. L., Ebersole, J. L., &amp; Nadeau, T.-L. (2013). Comparing the extent and permanence of headwater streams from two field surveys to values from hydrographic databases and maps. Journal of the American Water Resources Association, 49(4), 867–882. https://doi.org/10.1111/jawr.12040</w:t></w:r></w:p><w:p><w:pPr><w:pStyle w:val="BodyText" /></w:pPr><w:r><w:rPr><w:b /><w:bCs /></w:rPr><w:t xml:space="preserve">Elmore et al, 2013 — Elmore, A. J., Julian, J. P., Guinn, S. M., &amp; Fitzpatrick, M. C. (2013). Potential stream density in Mid-Atlantic U.S. watersheds. PLoS ONE, 8(8), e74819. https://doi.org/10.1371/journal.pone.0074819</w:t></w:r></w:p><w:p><w:pPr><w:pStyle w:val="BodyText" /></w:pPr><w:r><w:rPr><w:b /><w:bCs /></w:rPr><w:t xml:space="preserve">Sen, 1968 — Sen, P. K. (1968). Estimates of the regression coefficient based on Kendall’s tau. Journal of the American Statistical Association, 63(324), 1379–1389. https://doi.org/10.1080/01621459.1968.10480934</w:t></w:r></w:p><w:p><w:pPr><w:pStyle w:val="BodyText" /></w:pPr><w:r><w:rPr><w:b /><w:bCs /></w:rPr><w:t xml:space="preserve">Aschonitis et al, 2017 — Aschonitis, V. G., Papamichail, D., Demertzi, K., Colombani, N., Mastrocicco, M., Ghirardini, A., Castaldelli, G., &amp; Fano, E.-A. (2017). High-resolution global grids of revised Priestley-Taylor and Hargreaves-Samani coefficients for assessing ASCE-standardized reference crop evapotranspiration and solar radiation. Earth System Science Data, 9(2), 615–638. https://doi.org/10.5194/essd-9-615-2017</w:t></w:r></w:p><w:p><w:pPr><w:pStyle w:val="BodyText" /></w:pPr><w:r><w:rPr><w:b /><w:bCs /></w:rPr><w:t xml:space="preserve">Bates et al, 2015 — Bates, D., Mächler, M., Bolker, B., &amp; Walker, S. (2015). Fitting linear mixed-effects models using lme4. Journal of Statistical Software, 67(1), 1–48. https://doi.org/10.18637/jss.v067.i01</w:t></w:r></w:p>
    <w:p><w:pPr><w:pStyle w:val="BodyText" /></w:pPr><w:r><w:t xml:space="preserve">Where each is cited: Running et al / Running &amp; Zhao — Methods, Data sourcing (MOD17A3HGF product). Roy et al and Vogelmann et al — Methods, Data sourcing (why Landsat was replaced) and Discussion, Synthesis challenges (Landsat sensor-transition artifacts). Mu et al — Methods, Gridded sampling (grid ET). Thornton et al and Addor et al — Methods, Climate analysis (Daymet PET/P aridity index). Budyko — Results, Trends in drivers and outputs.</w:t></w:r><w:r><w:rPr><w:b /><w:bCs /></w:rPr><w:t xml:space="preserve"> Strahler, Meyer et al, Fritz et al and Elmore et al — Methods, Streamflow analysis (headwater definition and the NHDPlus stream-order rule; added 2026-10-22 for the Kampf review). Sen — Methods, Streamflow analysis (trend significance from the Sen slope confidence interval; added 2026-10-22).</w:t></w:r><w:r><w:rPr><w:b /><w:bCs /></w:rPr><w:t xml:space="preserve"> Aschonitis et al — Methods, Climate analysis (PET method behind the aridity index; added 2026-10-22).</w:t></w:r><w:r><w:rPr><w:b /><w:bCs /></w:rPr><w:t xml:space="preserve"> Bates et al — Methods, anomaly analysis (lme4 mixed models; added 2026-10-22).</w:t></w:r><w:r><w:t xml:space="preserve"> Running &amp; Zhao (MOD17A2HGF) — Methods, Data sourcing (water-year GPP sums; added 2026-10-22).</w:t></w:r></w:p>
    <w:bookmarkEnd w:id="21" />
    <w:sectPr w:rsidR="006317AC" w:rsidRPr="006317AC">
      <w:pgSz w:h="15840" w:w="12240" />
      <w:pgMar w:bottom="1440" w:footer="720" w:gutter="0" w:header="720" w:left="1440" w:right="1440" w:top="1440" />
      <w:cols w:space="720" />
      <w:docGrid w:linePitch="360" />
    </w:sectPr>
  </w:body>
</w:document>
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29347AF7"/>
    <w:multiLevelType w:val="hybridMultilevel"/>
    <w:tmpl w:val="75EC386E"/>
    <w:lvl w:ilvl="0" w:tplc="B67432DC">
      <w:numFmt w:val="bullet"/>
      <w:lvlText w:val="-"/>
      <w:lvlJc w:val="left"/>
      <w:pPr>
        <w:ind w:hanging="360" w:left="720"/>
      </w:pPr>
      <w:rPr>
        <w:rFonts w:ascii="Calibri" w:cs="Calibri" w:eastAsiaTheme="minorHAnsi" w:hAnsi="Calibri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910428248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D95"/>
    <w:rsid w:val="000030EF"/>
    <w:rsid w:val="000468DE"/>
    <w:rsid w:val="00076D8B"/>
    <w:rsid w:val="000C1A08"/>
    <w:rsid w:val="000F4870"/>
    <w:rsid w:val="0010135E"/>
    <w:rsid w:val="00115C6B"/>
    <w:rsid w:val="00123386"/>
    <w:rsid w:val="00127763"/>
    <w:rsid w:val="00165F69"/>
    <w:rsid w:val="00172DDC"/>
    <w:rsid w:val="001A0922"/>
    <w:rsid w:val="001C2BDE"/>
    <w:rsid w:val="001C5BC2"/>
    <w:rsid w:val="001F2E85"/>
    <w:rsid w:val="00214758"/>
    <w:rsid w:val="00222EA5"/>
    <w:rsid w:val="00235259"/>
    <w:rsid w:val="002518A3"/>
    <w:rsid w:val="002704C4"/>
    <w:rsid w:val="00281BB9"/>
    <w:rsid w:val="002D116D"/>
    <w:rsid w:val="002E065D"/>
    <w:rsid w:val="002E1BEE"/>
    <w:rsid w:val="00316A33"/>
    <w:rsid w:val="00320AFC"/>
    <w:rsid w:val="00373297"/>
    <w:rsid w:val="003A32DC"/>
    <w:rsid w:val="003A5FA8"/>
    <w:rsid w:val="003D74B4"/>
    <w:rsid w:val="003F451F"/>
    <w:rsid w:val="004166F5"/>
    <w:rsid w:val="00425BB6"/>
    <w:rsid w:val="00434183"/>
    <w:rsid w:val="0046299A"/>
    <w:rsid w:val="0048336F"/>
    <w:rsid w:val="004941F6"/>
    <w:rsid w:val="004B7DF9"/>
    <w:rsid w:val="004D783F"/>
    <w:rsid w:val="004E2E80"/>
    <w:rsid w:val="005557E5"/>
    <w:rsid w:val="005653B6"/>
    <w:rsid w:val="00591C64"/>
    <w:rsid w:val="005926E2"/>
    <w:rsid w:val="005927AB"/>
    <w:rsid w:val="00597152"/>
    <w:rsid w:val="005A2BAC"/>
    <w:rsid w:val="005C2591"/>
    <w:rsid w:val="005D0F93"/>
    <w:rsid w:val="005D7E85"/>
    <w:rsid w:val="00622914"/>
    <w:rsid w:val="006317AC"/>
    <w:rsid w:val="006336D3"/>
    <w:rsid w:val="00635DA0"/>
    <w:rsid w:val="00642E0D"/>
    <w:rsid w:val="0066208D"/>
    <w:rsid w:val="006726BE"/>
    <w:rsid w:val="006B29A4"/>
    <w:rsid w:val="006B3F31"/>
    <w:rsid w:val="0071406C"/>
    <w:rsid w:val="007405C3"/>
    <w:rsid w:val="00742CFA"/>
    <w:rsid w:val="00752657"/>
    <w:rsid w:val="007B3CA6"/>
    <w:rsid w:val="007C5646"/>
    <w:rsid w:val="007F5A74"/>
    <w:rsid w:val="008169E5"/>
    <w:rsid w:val="00816A75"/>
    <w:rsid w:val="0082022B"/>
    <w:rsid w:val="00840F9C"/>
    <w:rsid w:val="00867E37"/>
    <w:rsid w:val="00867F66"/>
    <w:rsid w:val="008958ED"/>
    <w:rsid w:val="008C065B"/>
    <w:rsid w:val="008E07EC"/>
    <w:rsid w:val="00903EA5"/>
    <w:rsid w:val="009356A9"/>
    <w:rsid w:val="00985CFC"/>
    <w:rsid w:val="009C0C31"/>
    <w:rsid w:val="00A0202B"/>
    <w:rsid w:val="00A43E49"/>
    <w:rsid w:val="00A73D95"/>
    <w:rsid w:val="00AC23DC"/>
    <w:rsid w:val="00AD7118"/>
    <w:rsid w:val="00AF04F5"/>
    <w:rsid w:val="00B806BB"/>
    <w:rsid w:val="00B85FEF"/>
    <w:rsid w:val="00B86F93"/>
    <w:rsid w:val="00B95ED3"/>
    <w:rsid w:val="00BA76E8"/>
    <w:rsid w:val="00BB0666"/>
    <w:rsid w:val="00BF09CE"/>
    <w:rsid w:val="00BF40E5"/>
    <w:rsid w:val="00BF6C26"/>
    <w:rsid w:val="00C15183"/>
    <w:rsid w:val="00C50FC0"/>
    <w:rsid w:val="00C74A49"/>
    <w:rsid w:val="00C81732"/>
    <w:rsid w:val="00C821D7"/>
    <w:rsid w:val="00CA5CC0"/>
    <w:rsid w:val="00CB5DB2"/>
    <w:rsid w:val="00CE0F0D"/>
    <w:rsid w:val="00D074B6"/>
    <w:rsid w:val="00D256E1"/>
    <w:rsid w:val="00D567ED"/>
    <w:rsid w:val="00D57DCE"/>
    <w:rsid w:val="00D663EC"/>
    <w:rsid w:val="00D77D6B"/>
    <w:rsid w:val="00D94B84"/>
    <w:rsid w:val="00DE045C"/>
    <w:rsid w:val="00DF5CBF"/>
    <w:rsid w:val="00E013A9"/>
    <w:rsid w:val="00E47AF1"/>
    <w:rsid w:val="00E93E66"/>
    <w:rsid w:val="00EA4F03"/>
    <w:rsid w:val="00EC7636"/>
    <w:rsid w:val="00ED0823"/>
    <w:rsid w:val="00EE1F06"/>
    <w:rsid w:val="00F07DCB"/>
    <w:rsid w:val="00F13BAE"/>
    <w:rsid w:val="00F27959"/>
    <w:rsid w:val="00F304B9"/>
    <w:rsid w:val="00F86461"/>
    <w:rsid w:val="00F91BAD"/>
    <w:rsid w:val="00FB0C97"/>
    <w:rsid w:val="00FC7181"/>
    <w:rsid w:val="00FD1F76"/>
    <w:rsid w:val="00FF5A89"/>
    <w:rsid w:val="00FF6DE3"/>
    <w:rsid w:val="05215F62"/>
    <w:rsid w:val="098EB2FB"/>
    <w:rsid w:val="133B4252"/>
    <w:rsid w:val="19FE3A87"/>
    <w:rsid w:val="1FCF86D4"/>
    <w:rsid w:val="2172E6F8"/>
    <w:rsid w:val="2B501527"/>
    <w:rsid w:val="300F9227"/>
    <w:rsid w:val="332CE995"/>
    <w:rsid w:val="3401E40F"/>
    <w:rsid w:val="345266F4"/>
    <w:rsid w:val="38CE7CE9"/>
    <w:rsid w:val="3D5AA181"/>
    <w:rsid w:val="41294FD5"/>
    <w:rsid w:val="42130560"/>
    <w:rsid w:val="574CCBD3"/>
    <w:rsid w:val="5B0A072E"/>
    <w:rsid w:val="5EDFF530"/>
    <w:rsid w:val="63599E8E"/>
    <w:rsid w:val="6B8DA97D"/>
    <w:rsid w:val="73BCB1B3"/>
    <w:rsid w:val="79EEF447"/>
    <w:rsid w:val="7D8C2F7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A73D95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A73D95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A73D95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2F5496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A73D95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2F5496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73D95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F5496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A73D95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73D95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A73D95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A73D95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A73D95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A73D95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A73D95"/>
    <w:rPr>
      <w:rFonts w:cstheme="majorBidi" w:eastAsiaTheme="majorEastAsia"/>
      <w:color w:themeColor="accent1" w:themeShade="BF" w:val="2F5496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73D95"/>
    <w:rPr>
      <w:rFonts w:cstheme="majorBidi" w:eastAsiaTheme="majorEastAsia"/>
      <w:i/>
      <w:iCs/>
      <w:color w:themeColor="accent1" w:themeShade="BF" w:val="2F5496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73D95"/>
    <w:rPr>
      <w:rFonts w:cstheme="majorBidi" w:eastAsiaTheme="majorEastAsia"/>
      <w:color w:themeColor="accent1" w:themeShade="BF" w:val="2F5496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73D95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73D95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73D95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73D95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A73D95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73D9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73D95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73D95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73D95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73D95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73D95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73D95"/>
    <w:rPr>
      <w:i/>
      <w:iCs/>
      <w:color w:themeColor="accent1" w:themeShade="BF" w:val="2F5496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73D95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73D95"/>
    <w:rPr>
      <w:i/>
      <w:iCs/>
      <w:color w:themeColor="accent1" w:themeShade="BF" w:val="2F5496"/>
    </w:rPr>
  </w:style>
  <w:style w:styleId="IntenseReference" w:type="character">
    <w:name w:val="Intense Reference"/>
    <w:basedOn w:val="DefaultParagraphFont"/>
    <w:uiPriority w:val="32"/>
    <w:qFormat/>
    <w:rsid w:val="00A73D95"/>
    <w:rPr>
      <w:b/>
      <w:bCs/>
      <w:smallCaps/>
      <w:color w:themeColor="accent1" w:themeShade="BF" w:val="2F5496"/>
      <w:spacing w:val="5"/>
    </w:rPr>
  </w:style>
  <w:style w:styleId="Hyperlink" w:type="character">
    <w:name w:val="Hyperlink"/>
    <w:basedOn w:val="DefaultParagraphFont"/>
    <w:uiPriority w:val="99"/>
    <w:unhideWhenUsed/>
    <w:rsid w:val="0066208D"/>
    <w:rPr>
      <w:color w:themeColor="hyperlink" w:val="0563C1"/>
      <w:u w:val="single"/>
    </w:rPr>
  </w:style>
  <w:style w:styleId="UnresolvedMention" w:type="character">
    <w:name w:val="Unresolved Mention"/>
    <w:basedOn w:val="DefaultParagraphFont"/>
    <w:uiPriority w:val="99"/>
    <w:semiHidden/>
    <w:unhideWhenUsed/>
    <w:rsid w:val="0066208D"/>
    <w:rPr>
      <w:color w:val="605E5C"/>
      <w:shd w:color="auto" w:fill="E1DFDD" w:val="clear"/>
    </w:rPr>
  </w:style>
  <w:style w:styleId="Caption" w:type="paragraph">
    <w:name w:val="caption"/>
    <w:basedOn w:val="Normal"/>
    <w:next w:val="Normal"/>
    <w:uiPriority w:val="35"/>
    <w:unhideWhenUsed/>
    <w:qFormat/>
    <w:rsid w:val="00B95ED3"/>
    <w:pPr>
      <w:spacing w:after="200" w:line="240" w:lineRule="auto"/>
    </w:pPr>
    <w:rPr>
      <w:i/>
      <w:iCs/>
      <w:color w:themeColor="text2" w:val="44546A"/>
      <w:sz w:val="18"/>
      <w:szCs w:val="18"/>
    </w:rPr>
  </w:style>
  <w:style w:styleId="Header" w:type="paragraph">
    <w:name w:val="header"/>
    <w:basedOn w:val="Normal"/>
    <w:link w:val="HeaderChar"/>
    <w:uiPriority w:val="99"/>
    <w:unhideWhenUsed/>
    <w:rsid w:val="00425BB6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425BB6"/>
  </w:style>
  <w:style w:styleId="Footer" w:type="paragraph">
    <w:name w:val="footer"/>
    <w:basedOn w:val="Normal"/>
    <w:link w:val="FooterChar"/>
    <w:uiPriority w:val="99"/>
    <w:unhideWhenUsed/>
    <w:rsid w:val="00425BB6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425BB6"/>
  </w:style>
  <w:style w:styleId="CommentText" w:type="paragraph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semiHidden/>
    <w:rPr>
      <w:sz w:val="20"/>
      <w:szCs w:val="20"/>
    </w:rPr>
  </w:style>
  <w:style w:styleId="CommentReference" w:type="character">
    <w:name w:val="annotation reference"/>
    <w:basedOn w:val="DefaultParagraphFont"/>
    <w:uiPriority w:val="99"/>
    <w:semiHidden/>
    <w:unhideWhenUsed/>
    <w:rPr>
      <w:sz w:val="16"/>
      <w:szCs w:val="16"/>
    </w:rPr>
  </w:style>
  <w:style w:styleId="Revision" w:type="paragraph">
    <w:name w:val="Revision"/>
    <w:hidden/>
    <w:uiPriority w:val="99"/>
    <w:semiHidden/>
    <w:rsid w:val="008169E5"/>
    <w:pPr>
      <w:spacing w:after="0" w:line="240" w:lineRule="auto"/>
    </w:pPr>
  </w:style>
  <w:style w:styleId="FollowedHyperlink" w:type="character">
    <w:name w:val="FollowedHyperlink"/>
    <w:basedOn w:val="DefaultParagraphFont"/>
    <w:uiPriority w:val="99"/>
    <w:semiHidden/>
    <w:unhideWhenUsed/>
    <w:rsid w:val="00C74A49"/>
    <w:rPr>
      <w:color w:themeColor="followedHyperlink" w:val="954F72"/>
      <w:u w:val="singl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8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0" Target="numbering.xml" /><Relationship Type="http://schemas.openxmlformats.org/officeDocument/2006/relationships/styles" Id="rId19" Target="styles.xml" /><Relationship Type="http://schemas.openxmlformats.org/officeDocument/2006/relationships/settings" Id="rId18" Target="settings.xml" /><Relationship Type="http://schemas.openxmlformats.org/officeDocument/2006/relationships/webSettings" Id="rId17" Target="webSettings.xml" /><Relationship Type="http://schemas.openxmlformats.org/officeDocument/2006/relationships/fontTable" Id="rId16" Target="fontTable.xml" /><Relationship Type="http://schemas.openxmlformats.org/officeDocument/2006/relationships/theme" Id="rId15" Target="theme/theme1.xml" /><Relationship Type="http://schemas.openxmlformats.org/officeDocument/2006/relationships/footnotes" Id="rId14" Target="footnotes.xml" /><Relationship Type="http://schemas.openxmlformats.org/officeDocument/2006/relationships/comments" Id="rId13" Target="comments.xml" /><Relationship Id="rId8" Target="media/image1.png" Type="http://schemas.openxmlformats.org/officeDocument/2006/relationships/image" /><Relationship Id="rId12" Target="media/image5.png" Type="http://schemas.openxmlformats.org/officeDocument/2006/relationships/image" /><Relationship Id="rId11" Target="media/image4.png" Type="http://schemas.openxmlformats.org/officeDocument/2006/relationships/image" /><Relationship Id="rId10" Target="media/image3.png" Type="http://schemas.openxmlformats.org/officeDocument/2006/relationships/image" /><Relationship Id="rId9" Target="media/image2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7</Pages>
  <Words>2834</Words>
  <Characters>16158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2026-09-22T18:58:48Z</dcterms:created>
  <dcterms:modified xsi:type="dcterms:W3CDTF">2026-09-22T18:58:48Z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