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GOVOS</w:t>
      </w:r>
    </w:p>
    <w:p>
      <w:pPr>
        <w:jc w:val="center"/>
      </w:pPr>
      <w:r>
        <w:rPr>
          <w:b/>
          <w:sz w:val="30"/>
        </w:rPr>
        <w:t>EXECUTIVE BRIEF FOR SENIOR GOVERNMENT OFFICERS</w:t>
      </w:r>
    </w:p>
    <w:p>
      <w:pPr>
        <w:jc w:val="center"/>
      </w:pPr>
      <w:r>
        <w:rPr>
          <w:i/>
        </w:rPr>
        <w:t>Proposal: Controlled Municipal Pilot Evaluation</w:t>
      </w:r>
    </w:p>
    <w:p>
      <w:pPr>
        <w:pStyle w:val="Heading1"/>
      </w:pPr>
      <w:r>
        <w:t>1. Executive proposition</w:t>
      </w:r>
    </w:p>
    <w:p>
      <w:r>
        <w:t>GovOS is a proposed Government Operations System intended to connect municipal work from issue identification through assignment, action, SLA monitoring, completion, verification, closure and management reporting.</w:t>
      </w:r>
    </w:p>
    <w:p>
      <w:pPr>
        <w:pStyle w:val="Heading1"/>
      </w:pPr>
      <w:r>
        <w:t>2. Administrative problem</w:t>
      </w:r>
    </w:p>
    <w:p>
      <w:pPr>
        <w:pStyle w:val="ListBullet"/>
      </w:pPr>
      <w:r>
        <w:t>Operational responsibility may be distributed across departments, officers, registers and digital channels.</w:t>
      </w:r>
    </w:p>
    <w:p>
      <w:pPr>
        <w:pStyle w:val="ListBullet"/>
      </w:pPr>
      <w:r>
        <w:t>Leadership may require consolidated visibility into pending work, SLA performance and departmental outcomes.</w:t>
      </w:r>
    </w:p>
    <w:p>
      <w:pPr>
        <w:pStyle w:val="ListBullet"/>
      </w:pPr>
      <w:r>
        <w:t>Completion status alone may not provide sufficient evidence that work has been satisfactorily completed.</w:t>
      </w:r>
    </w:p>
    <w:p>
      <w:pPr>
        <w:pStyle w:val="ListBullet"/>
      </w:pPr>
      <w:r>
        <w:t>Existing systems may solve individual functions while leaving cross-department operational coordination fragmented.</w:t>
      </w:r>
    </w:p>
    <w:p>
      <w:pPr>
        <w:pStyle w:val="Heading1"/>
      </w:pPr>
      <w:r>
        <w:t>3. Proposed intervention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  <w:vAlign w:val="center"/>
          </w:tcPr>
          <w:p>
            <w:r>
              <w:rPr>
                <w:b/>
              </w:rPr>
              <w:t>GovOS capability</w:t>
            </w:r>
          </w:p>
        </w:tc>
        <w:tc>
          <w:tcPr>
            <w:tcW w:type="dxa" w:w="4968"/>
            <w:shd w:fill="EAF0F6"/>
            <w:vAlign w:val="center"/>
          </w:tcPr>
          <w:p>
            <w:r>
              <w:rPr>
                <w:b/>
              </w:rPr>
              <w:t>Administrative outcome</w:t>
            </w:r>
          </w:p>
        </w:tc>
      </w:tr>
      <w:tr>
        <w:tc>
          <w:tcPr>
            <w:tcW w:type="dxa" w:w="4968"/>
            <w:vAlign w:val="top"/>
          </w:tcPr>
          <w:p>
            <w:r>
              <w:t>Unified work / complaint lifecycle</w:t>
            </w:r>
          </w:p>
        </w:tc>
        <w:tc>
          <w:tcPr>
            <w:tcW w:type="dxa" w:w="4968"/>
            <w:vAlign w:val="top"/>
          </w:tcPr>
          <w:p>
            <w:r>
              <w:t>Clear ownership and traceability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Department and officer assignment</w:t>
            </w:r>
          </w:p>
        </w:tc>
        <w:tc>
          <w:tcPr>
            <w:tcW w:type="dxa" w:w="4968"/>
            <w:vAlign w:val="top"/>
          </w:tcPr>
          <w:p>
            <w:r>
              <w:t>Defined operational responsibility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SLA monitoring and escalation</w:t>
            </w:r>
          </w:p>
        </w:tc>
        <w:tc>
          <w:tcPr>
            <w:tcW w:type="dxa" w:w="4968"/>
            <w:vAlign w:val="top"/>
          </w:tcPr>
          <w:p>
            <w:r>
              <w:t>Time-bound service accountability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Completion + verification</w:t>
            </w:r>
          </w:p>
        </w:tc>
        <w:tc>
          <w:tcPr>
            <w:tcW w:type="dxa" w:w="4968"/>
            <w:vAlign w:val="top"/>
          </w:tcPr>
          <w:p>
            <w:r>
              <w:t>More credible closure records</w:t>
            </w:r>
          </w:p>
        </w:tc>
      </w:tr>
      <w:tr>
        <w:tc>
          <w:tcPr>
            <w:tcW w:type="dxa" w:w="4968"/>
            <w:vAlign w:val="top"/>
          </w:tcPr>
          <w:p>
            <w:r>
              <w:t>Dashboards and reporting</w:t>
            </w:r>
          </w:p>
        </w:tc>
        <w:tc>
          <w:tcPr>
            <w:tcW w:type="dxa" w:w="4968"/>
            <w:vAlign w:val="top"/>
          </w:tcPr>
          <w:p>
            <w:r>
              <w:t>Exception-based leadership visibility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GIS/location foundation</w:t>
            </w:r>
          </w:p>
        </w:tc>
        <w:tc>
          <w:tcPr>
            <w:tcW w:type="dxa" w:w="4968"/>
            <w:vAlign w:val="top"/>
          </w:tcPr>
          <w:p>
            <w:r>
              <w:t>Geographic service visibility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Audit trail</w:t>
            </w:r>
          </w:p>
        </w:tc>
        <w:tc>
          <w:tcPr>
            <w:tcW w:type="dxa" w:w="4968"/>
            <w:vAlign w:val="top"/>
          </w:tcPr>
          <w:p>
            <w:r>
              <w:t>Accountability for critical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Multi-tenant architecture</w:t>
            </w:r>
          </w:p>
        </w:tc>
        <w:tc>
          <w:tcPr>
            <w:tcW w:type="dxa" w:w="4968"/>
            <w:vAlign w:val="top"/>
          </w:tcPr>
          <w:p>
            <w:r>
              <w:t>Separation of municipal data and administration</w:t>
            </w:r>
          </w:p>
        </w:tc>
      </w:tr>
    </w:tbl>
    <w:p>
      <w:pPr>
        <w:pStyle w:val="Heading1"/>
      </w:pPr>
      <w:r>
        <w:t>4. Who uses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  <w:vAlign w:val="center"/>
          </w:tcPr>
          <w:p>
            <w:r>
              <w:rPr>
                <w:b/>
              </w:rPr>
              <w:t>User group</w:t>
            </w:r>
          </w:p>
        </w:tc>
        <w:tc>
          <w:tcPr>
            <w:tcW w:type="dxa" w:w="4968"/>
            <w:shd w:fill="EAF0F6"/>
            <w:vAlign w:val="center"/>
          </w:tcPr>
          <w:p>
            <w:r>
              <w:rPr>
                <w:b/>
              </w:rPr>
              <w:t>Primary 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Citizen</w:t>
            </w:r>
          </w:p>
        </w:tc>
        <w:tc>
          <w:tcPr>
            <w:tcW w:type="dxa" w:w="4968"/>
            <w:vAlign w:val="top"/>
          </w:tcPr>
          <w:p>
            <w:r>
              <w:t>Submit and track agreed service issues</w:t>
            </w:r>
          </w:p>
        </w:tc>
      </w:tr>
      <w:tr>
        <w:tc>
          <w:tcPr>
            <w:tcW w:type="dxa" w:w="4968"/>
            <w:vAlign w:val="top"/>
          </w:tcPr>
          <w:p>
            <w:r>
              <w:t>Officer</w:t>
            </w:r>
          </w:p>
        </w:tc>
        <w:tc>
          <w:tcPr>
            <w:tcW w:type="dxa" w:w="4968"/>
            <w:vAlign w:val="top"/>
          </w:tcPr>
          <w:p>
            <w:r>
              <w:t>Receive, execute and complete assigned work</w:t>
            </w:r>
          </w:p>
        </w:tc>
      </w:tr>
      <w:tr>
        <w:tc>
          <w:tcPr>
            <w:tcW w:type="dxa" w:w="4968"/>
            <w:vAlign w:val="top"/>
          </w:tcPr>
          <w:p>
            <w:r>
              <w:t>Department Head</w:t>
            </w:r>
          </w:p>
        </w:tc>
        <w:tc>
          <w:tcPr>
            <w:tcW w:type="dxa" w:w="4968"/>
            <w:vAlign w:val="top"/>
          </w:tcPr>
          <w:p>
            <w:r>
              <w:t>Manage departmental workload and performance</w:t>
            </w:r>
          </w:p>
        </w:tc>
      </w:tr>
      <w:tr>
        <w:tc>
          <w:tcPr>
            <w:tcW w:type="dxa" w:w="4968"/>
            <w:vAlign w:val="top"/>
          </w:tcPr>
          <w:p>
            <w:r>
              <w:t>Tenant Administrator</w:t>
            </w:r>
          </w:p>
        </w:tc>
        <w:tc>
          <w:tcPr>
            <w:tcW w:type="dxa" w:w="4968"/>
            <w:vAlign w:val="top"/>
          </w:tcPr>
          <w:p>
            <w:r>
              <w:t>Administer municipal users/configuration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Representative</w:t>
            </w:r>
          </w:p>
        </w:tc>
        <w:tc>
          <w:tcPr>
            <w:tcW w:type="dxa" w:w="4968"/>
            <w:vAlign w:val="top"/>
          </w:tcPr>
          <w:p>
            <w:r>
              <w:t>Review constituency/ward-level service visibility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Super Administrator</w:t>
            </w:r>
          </w:p>
        </w:tc>
        <w:tc>
          <w:tcPr>
            <w:tcW w:type="dxa" w:w="4968"/>
            <w:vAlign w:val="top"/>
          </w:tcPr>
          <w:p>
            <w:r>
              <w:t>Platform-level governance across tenants</w:t>
            </w:r>
          </w:p>
        </w:tc>
      </w:tr>
    </w:tbl>
    <w:p>
      <w:pPr>
        <w:pStyle w:val="Heading1"/>
      </w:pPr>
      <w:r>
        <w:t>5. Pilot proposal</w:t>
      </w:r>
    </w:p>
    <w:p>
      <w:r>
        <w:t>The recommended first step is a controlled pilot rather than a statewide deployment. The participating ULB, departments and workflows should be jointly selected with the government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0F6"/>
            <w:vAlign w:val="center"/>
          </w:tcPr>
          <w:p>
            <w:r>
              <w:rPr>
                <w:b/>
              </w:rPr>
              <w:t>Pilot element</w:t>
            </w:r>
          </w:p>
        </w:tc>
        <w:tc>
          <w:tcPr>
            <w:tcW w:type="dxa" w:w="4968"/>
            <w:shd w:fill="EAF0F6"/>
            <w:vAlign w:val="center"/>
          </w:tcPr>
          <w:p>
            <w:r>
              <w:rPr>
                <w:b/>
              </w:rPr>
              <w:t>Proposed approach</w:t>
            </w:r>
          </w:p>
        </w:tc>
      </w:tr>
      <w:tr>
        <w:tc>
          <w:tcPr>
            <w:tcW w:type="dxa" w:w="4968"/>
            <w:vAlign w:val="top"/>
          </w:tcPr>
          <w:p>
            <w:r>
              <w:t>Geography</w:t>
            </w:r>
          </w:p>
        </w:tc>
        <w:tc>
          <w:tcPr>
            <w:tcW w:type="dxa" w:w="4968"/>
            <w:vAlign w:val="top"/>
          </w:tcPr>
          <w:p>
            <w:r>
              <w:t>One nominated ULB / bounded municipal unit</w:t>
            </w:r>
          </w:p>
        </w:tc>
      </w:tr>
      <w:tr>
        <w:tc>
          <w:tcPr>
            <w:tcW w:type="dxa" w:w="4968"/>
            <w:vAlign w:val="top"/>
          </w:tcPr>
          <w:p>
            <w:r>
              <w:t>Departments</w:t>
            </w:r>
          </w:p>
        </w:tc>
        <w:tc>
          <w:tcPr>
            <w:tcW w:type="dxa" w:w="4968"/>
            <w:vAlign w:val="top"/>
          </w:tcPr>
          <w:p>
            <w:r>
              <w:t>Selected service departments based on administrative priority</w:t>
            </w:r>
          </w:p>
        </w:tc>
      </w:tr>
      <w:tr>
        <w:tc>
          <w:tcPr>
            <w:tcW w:type="dxa" w:w="4968"/>
            <w:vAlign w:val="top"/>
          </w:tcPr>
          <w:p>
            <w:r>
              <w:t>Users</w:t>
            </w:r>
          </w:p>
        </w:tc>
        <w:tc>
          <w:tcPr>
            <w:tcW w:type="dxa" w:w="4968"/>
            <w:vAlign w:val="top"/>
          </w:tcPr>
          <w:p>
            <w:r>
              <w:t>Defined citizen, officer, departmental and administrative users</w:t>
            </w:r>
          </w:p>
        </w:tc>
      </w:tr>
      <w:tr>
        <w:tc>
          <w:tcPr>
            <w:tcW w:type="dxa" w:w="4968"/>
            <w:vAlign w:val="top"/>
          </w:tcPr>
          <w:p>
            <w:r>
              <w:t>Duration</w:t>
            </w:r>
          </w:p>
        </w:tc>
        <w:tc>
          <w:tcPr>
            <w:tcW w:type="dxa" w:w="4968"/>
            <w:vAlign w:val="top"/>
          </w:tcPr>
          <w:p>
            <w:r>
              <w:t>Time-bound; finalized with pilot authority</w:t>
            </w:r>
          </w:p>
        </w:tc>
      </w:tr>
      <w:tr>
        <w:tc>
          <w:tcPr>
            <w:tcW w:type="dxa" w:w="4968"/>
            <w:vAlign w:val="top"/>
          </w:tcPr>
          <w:p>
            <w:r>
              <w:t>Baseline</w:t>
            </w:r>
          </w:p>
        </w:tc>
        <w:tc>
          <w:tcPr>
            <w:tcW w:type="dxa" w:w="4968"/>
            <w:vAlign w:val="top"/>
          </w:tcPr>
          <w:p>
            <w:r>
              <w:t>Measured before go-live</w:t>
            </w:r>
          </w:p>
        </w:tc>
      </w:tr>
      <w:tr>
        <w:tc>
          <w:tcPr>
            <w:tcW w:type="dxa" w:w="4968"/>
            <w:vAlign w:val="top"/>
          </w:tcPr>
          <w:p>
            <w:r>
              <w:t>Evaluation</w:t>
            </w:r>
          </w:p>
        </w:tc>
        <w:tc>
          <w:tcPr>
            <w:tcW w:type="dxa" w:w="4968"/>
            <w:vAlign w:val="top"/>
          </w:tcPr>
          <w:p>
            <w:r>
              <w:t>Predefined KPIs + user feedback + technical/security review</w:t>
            </w:r>
          </w:p>
        </w:tc>
      </w:tr>
      <w:tr>
        <w:tc>
          <w:tcPr>
            <w:tcW w:type="dxa" w:w="4968"/>
            <w:vAlign w:val="top"/>
          </w:tcPr>
          <w:p>
            <w:r>
              <w:t>Scale-up</w:t>
            </w:r>
          </w:p>
        </w:tc>
        <w:tc>
          <w:tcPr>
            <w:tcW w:type="dxa" w:w="4968"/>
            <w:vAlign w:val="top"/>
          </w:tcPr>
          <w:p>
            <w:r>
              <w:t>Only after competent-authority review of pilot evidence</w:t>
            </w:r>
          </w:p>
        </w:tc>
      </w:tr>
    </w:tbl>
    <w:p>
      <w:pPr>
        <w:pStyle w:val="Heading1"/>
      </w:pPr>
      <w:r>
        <w:t>6. Phase boundary</w:t>
      </w:r>
    </w:p>
    <w:p>
      <w:r>
        <w:t>Phase 1 focuses on secure municipal operations: identity, RBAC, multi-tenancy, complaints/workflows, citizens, officers, departments/wards, assets, projects, documents/Peshi, SLA, notifications, audit, completion/verification, GIS and analytics.</w:t>
      </w:r>
    </w:p>
    <w:p>
      <w:r>
        <w:t>Phase 2 is intentionally separated and may address real-world evidence, AI-assisted classification, media intelligence and predictive capabilities. These capabilities are not part of the approval requested through this pilot proposal.</w:t>
      </w:r>
    </w:p>
    <w:p>
      <w:pPr>
        <w:pStyle w:val="Heading1"/>
      </w:pPr>
      <w:r>
        <w:t>7. Governance and safeguards</w:t>
      </w:r>
    </w:p>
    <w:p>
      <w:pPr>
        <w:pStyle w:val="ListBullet"/>
      </w:pPr>
      <w:r>
        <w:t>Government data ownership and system-of-record responsibilities will be explicitly documented.</w:t>
      </w:r>
    </w:p>
    <w:p>
      <w:pPr>
        <w:pStyle w:val="ListBullet"/>
      </w:pPr>
      <w:r>
        <w:t>Tenant isolation is designed at database and application layers.</w:t>
      </w:r>
    </w:p>
    <w:p>
      <w:pPr>
        <w:pStyle w:val="ListBullet"/>
      </w:pPr>
      <w:r>
        <w:t>Role-based access is enforced at the API layer and reflected in the user interface.</w:t>
      </w:r>
    </w:p>
    <w:p>
      <w:pPr>
        <w:pStyle w:val="ListBullet"/>
      </w:pPr>
      <w:r>
        <w:t>Security, privacy, backup/recovery and incident-response requirements will be validated before production citizen data is introduced.</w:t>
      </w:r>
    </w:p>
    <w:p>
      <w:pPr>
        <w:pStyle w:val="ListBullet"/>
      </w:pPr>
      <w:r>
        <w:t>Existing official systems will remain authoritative where required; integration boundaries will be documented.</w:t>
      </w:r>
    </w:p>
    <w:p>
      <w:pPr>
        <w:pStyle w:val="ListBullet"/>
      </w:pPr>
      <w:r>
        <w:t>Procurement and financial arrangements will follow the applicable government process determined by the competent authority.</w:t>
      </w:r>
    </w:p>
    <w:p>
      <w:pPr>
        <w:pStyle w:val="Heading1"/>
      </w:pPr>
      <w:r>
        <w:t>8. Decision sought</w:t>
      </w:r>
    </w:p>
    <w:p>
      <w:r>
        <w:rPr>
          <w:b/>
        </w:rPr>
        <w:t xml:space="preserve">Requested decision: </w:t>
      </w:r>
      <w:r>
        <w:t>In-principle permission to conduct a controlled GovOS pilot evaluation in a nominated ULB, with a designated government nodal officer and subject to applicable technical, cybersecurity, privacy, financial, procurement and legal scrutiny.</w:t>
      </w:r>
    </w:p>
    <w:p>
      <w:pPr>
        <w:pStyle w:val="Heading1"/>
      </w:pPr>
      <w:r>
        <w:t>9. Evidence-based next step</w:t>
      </w:r>
    </w:p>
    <w:p>
      <w:r>
        <w:t>Following permission to evaluate, the project team proposes to submit the detailed pilot scope, technical architecture, data-flow and security note, implementation schedule, financial estimate, training plan, acceptance criteria and KPI baseline for review before go-live.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GovOS | Administrative Submission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