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835"/>
          <w:sz w:val="60"/>
        </w:rPr>
        <w:t>GOVOS</w:t>
      </w:r>
    </w:p>
    <w:p>
      <w:pPr>
        <w:jc w:val="center"/>
      </w:pPr>
      <w:r>
        <w:rPr>
          <w:b/>
          <w:color w:val="1F314C"/>
          <w:sz w:val="42"/>
        </w:rPr>
        <w:t>GovOS Phase 1 — Foundation &amp; Implementation Plan</w:t>
      </w:r>
    </w:p>
    <w:p>
      <w:pPr>
        <w:jc w:val="center"/>
      </w:pPr>
      <w:r>
        <w:rPr>
          <w:sz w:val="24"/>
        </w:rPr>
        <w:t>Project Plan up to Milestone M2 | September 2026</w:t>
      </w:r>
    </w:p>
    <w:p/>
    <w:p>
      <w:pPr>
        <w:jc w:val="center"/>
      </w:pPr>
      <w:r>
        <w:rPr>
          <w:i/>
          <w:color w:val="14784C"/>
          <w:sz w:val="26"/>
        </w:rPr>
        <w:t>“Building a secure governance operating system — foundation first, intelligence next.”</w:t>
      </w:r>
    </w:p>
    <w:p>
      <w:r>
        <w:br w:type="page"/>
      </w:r>
    </w:p>
    <w:p>
      <w:pPr>
        <w:pStyle w:val="Heading1"/>
      </w:pPr>
      <w:r>
        <w:t>Project Status Snapshot</w:t>
      </w:r>
    </w:p>
    <w:tbl>
      <w:tblPr>
        <w:tblW w:type="auto" w:w="0"/>
        <w:tblLook w:firstColumn="1" w:firstRow="1" w:lastColumn="0" w:lastRow="0" w:noHBand="0" w:noVBand="1" w:val="04A0"/>
      </w:tblPr>
      <w:tblGrid>
        <w:gridCol w:w="3408"/>
        <w:gridCol w:w="3408"/>
        <w:gridCol w:w="3408"/>
      </w:tblGrid>
      <w:tr>
        <w:tc>
          <w:tcPr>
            <w:tcW w:type="dxa" w:w="3408"/>
          </w:tcPr>
          <w:p>
            <w:r>
              <w:t>Milestone</w:t>
            </w:r>
          </w:p>
        </w:tc>
        <w:tc>
          <w:tcPr>
            <w:tcW w:type="dxa" w:w="3408"/>
          </w:tcPr>
          <w:p>
            <w:r>
              <w:t>Status</w:t>
            </w:r>
          </w:p>
        </w:tc>
        <w:tc>
          <w:tcPr>
            <w:tcW w:type="dxa" w:w="3408"/>
          </w:tcPr>
          <w:p>
            <w:r>
              <w:t>Purpose</w:t>
            </w:r>
          </w:p>
        </w:tc>
      </w:tr>
      <w:tr>
        <w:tc>
          <w:tcPr>
            <w:tcW w:type="dxa" w:w="3408"/>
          </w:tcPr>
          <w:p>
            <w:r>
              <w:t>M0.5</w:t>
            </w:r>
          </w:p>
        </w:tc>
        <w:tc>
          <w:tcPr>
            <w:tcW w:type="dxa" w:w="3408"/>
          </w:tcPr>
          <w:p>
            <w:r>
              <w:t>Next / Foundation Cleanup</w:t>
            </w:r>
          </w:p>
        </w:tc>
        <w:tc>
          <w:tcPr>
            <w:tcW w:type="dxa" w:w="3408"/>
          </w:tcPr>
          <w:p>
            <w:r>
              <w:t>Code cleanup, security hardening, reproducible builds</w:t>
            </w:r>
          </w:p>
        </w:tc>
      </w:tr>
      <w:tr>
        <w:tc>
          <w:tcPr>
            <w:tcW w:type="dxa" w:w="3408"/>
          </w:tcPr>
          <w:p>
            <w:r>
              <w:t>M1</w:t>
            </w:r>
          </w:p>
        </w:tc>
        <w:tc>
          <w:tcPr>
            <w:tcW w:type="dxa" w:w="3408"/>
          </w:tcPr>
          <w:p>
            <w:r>
              <w:t>Completed</w:t>
            </w:r>
          </w:p>
        </w:tc>
        <w:tc>
          <w:tcPr>
            <w:tcW w:type="dxa" w:w="3408"/>
          </w:tcPr>
          <w:p>
            <w:r>
              <w:t>Audit, architecture assessment and migration planning</w:t>
            </w:r>
          </w:p>
        </w:tc>
      </w:tr>
      <w:tr>
        <w:tc>
          <w:tcPr>
            <w:tcW w:type="dxa" w:w="3408"/>
          </w:tcPr>
          <w:p>
            <w:r>
              <w:t>M2</w:t>
            </w:r>
          </w:p>
        </w:tc>
        <w:tc>
          <w:tcPr>
            <w:tcW w:type="dxa" w:w="3408"/>
          </w:tcPr>
          <w:p>
            <w:r>
              <w:t>Designed / Pending Controlled Execution</w:t>
            </w:r>
          </w:p>
        </w:tc>
        <w:tc>
          <w:tcPr>
            <w:tcW w:type="dxa" w:w="3408"/>
          </w:tcPr>
          <w:p>
            <w:r>
              <w:t>Multi-tenant PostgreSQL architecture and RLS</w:t>
            </w:r>
          </w:p>
        </w:tc>
      </w:tr>
    </w:tbl>
    <w:p>
      <w:pPr>
        <w:pStyle w:val="Heading1"/>
      </w:pPr>
      <w:r>
        <w:t>1. Executive Summary</w:t>
      </w:r>
    </w:p>
    <w:p>
      <w:pPr>
        <w:spacing w:after="100"/>
      </w:pPr>
      <w:r>
        <w:rPr>
          <w:sz w:val="20"/>
        </w:rPr>
        <w:t>GovOS is being built as a secure, multi-tenant digital governance operating system for municipalities, constituencies and public administration workflows. Phase 1 establishes a production-grade foundation around civic issue management before advanced intelligence is introduced.</w:t>
      </w:r>
    </w:p>
    <w:p>
      <w:pPr>
        <w:spacing w:after="100"/>
      </w:pPr>
      <w:r>
        <w:rPr>
          <w:sz w:val="20"/>
        </w:rPr>
        <w:t>The current codebase has useful working functionality, but the architecture is fragmented. The major risks are the split backend architecture, missing tenant isolation, hardcoded security values, incomplete production controls and missing governance modules.</w:t>
      </w:r>
    </w:p>
    <w:p>
      <w:pPr>
        <w:spacing w:after="100"/>
      </w:pPr>
      <w:r>
        <w:rPr>
          <w:sz w:val="20"/>
        </w:rPr>
        <w:t>The implementation audit estimated Phase 1 maturity at approximately 35%. The immediate strategy is foundation first: stabilize, secure and consolidate before adding unrelated features.</w:t>
      </w:r>
    </w:p>
    <w:p>
      <w:pPr>
        <w:pStyle w:val="Heading1"/>
      </w:pPr>
      <w:r>
        <w:t>2. Product Vision</w:t>
      </w:r>
    </w:p>
    <w:p>
      <w:pPr>
        <w:spacing w:after="100"/>
      </w:pPr>
      <w:r>
        <w:rPr>
          <w:sz w:val="20"/>
        </w:rPr>
        <w:t>GovOS is not intended to be only a complaint portal. The long-term product is a governance operating system connecting citizens, departments, officers, administrators and public representatives through structured workflows, accountability and verified outcomes.</w:t>
      </w:r>
    </w:p>
    <w:p>
      <w:pPr>
        <w:spacing w:after="100"/>
      </w:pPr>
      <w:r>
        <w:rPr>
          <w:sz w:val="20"/>
        </w:rPr>
        <w:t>Phase 1 focuses on reporting, routing, assignment, SLA management, progress tracking, resolution and public transparency.</w:t>
      </w:r>
    </w:p>
    <w:p>
      <w:pPr>
        <w:spacing w:after="100"/>
      </w:pPr>
      <w:r>
        <w:rPr>
          <w:sz w:val="20"/>
        </w:rPr>
        <w:t>Phase 2 remains parked: real-world video reporting, AI issue categorization, AI media analysis, universal issue intelligence, observation intelligence and predictive governance.</w:t>
      </w:r>
    </w:p>
    <w:p>
      <w:pPr>
        <w:pStyle w:val="Heading1"/>
      </w:pPr>
      <w:r>
        <w:t>3. Current Position</w:t>
      </w:r>
    </w:p>
    <w:p>
      <w:pPr>
        <w:spacing w:after="100"/>
      </w:pPr>
      <w:r>
        <w:rPr>
          <w:sz w:val="20"/>
        </w:rPr>
        <w:t>Frontend: React/Vite GovOS web application is relatively well structured with modular UI, Tailwind and role-oriented dashboards.</w:t>
      </w:r>
    </w:p>
    <w:p>
      <w:pPr>
        <w:spacing w:after="100"/>
      </w:pPr>
      <w:r>
        <w:rPr>
          <w:sz w:val="20"/>
        </w:rPr>
        <w:t>Citizen workflows: issue reporting, complaint tracking and public dashboard concepts are implemented.</w:t>
      </w:r>
    </w:p>
    <w:p>
      <w:pPr>
        <w:spacing w:after="100"/>
      </w:pPr>
      <w:r>
        <w:rPr>
          <w:sz w:val="20"/>
        </w:rPr>
        <w:t>Backend: active business logic currently exists in Express.js, while the mandated Spring Boot govos-core-api is incomplete.</w:t>
      </w:r>
    </w:p>
    <w:p>
      <w:pPr>
        <w:spacing w:after="100"/>
      </w:pPr>
      <w:r>
        <w:rPr>
          <w:sz w:val="20"/>
        </w:rPr>
        <w:t>Database: PostgreSQL covers complaints, officers, departments, history and SLA-related fields, but lacks strict multi-tenancy.</w:t>
      </w:r>
    </w:p>
    <w:p>
      <w:pPr>
        <w:spacing w:after="100"/>
      </w:pPr>
      <w:r>
        <w:rPr>
          <w:sz w:val="20"/>
        </w:rPr>
        <w:t>Realtime: Socket.IO exists in Express; the intended dedicated realtime service is incomplete.</w:t>
      </w:r>
    </w:p>
    <w:p>
      <w:pPr>
        <w:spacing w:after="100"/>
      </w:pPr>
      <w:r>
        <w:rPr>
          <w:sz w:val="20"/>
        </w:rPr>
        <w:t>Major missing modules: Assets, Projects and Documents/Peshi.</w:t>
      </w:r>
    </w:p>
    <w:p>
      <w:pPr>
        <w:pStyle w:val="Heading1"/>
      </w:pPr>
      <w:r>
        <w:t>4. Target Architecture</w:t>
      </w:r>
    </w:p>
    <w:p>
      <w:pPr>
        <w:spacing w:after="100"/>
      </w:pPr>
      <w:r>
        <w:rPr>
          <w:sz w:val="20"/>
        </w:rPr>
        <w:t>Frontend: React/Vite for citizen/public and operational experiences.</w:t>
      </w:r>
    </w:p>
    <w:p>
      <w:pPr>
        <w:spacing w:after="100"/>
      </w:pPr>
      <w:r>
        <w:rPr>
          <w:sz w:val="20"/>
        </w:rPr>
        <w:t>Core API: Spring Boot govos-core-api as the authoritative business-logic layer.</w:t>
      </w:r>
    </w:p>
    <w:p>
      <w:pPr>
        <w:spacing w:after="100"/>
      </w:pPr>
      <w:r>
        <w:rPr>
          <w:sz w:val="20"/>
        </w:rPr>
        <w:t>Database: PostgreSQL with Flyway migrations and strict tenant ownership.</w:t>
      </w:r>
    </w:p>
    <w:p>
      <w:pPr>
        <w:spacing w:after="100"/>
      </w:pPr>
      <w:r>
        <w:rPr>
          <w:sz w:val="20"/>
        </w:rPr>
        <w:t>Tenant security: PostgreSQL Row-Level Security combined with application-level tenant context.</w:t>
      </w:r>
    </w:p>
    <w:p>
      <w:pPr>
        <w:spacing w:after="100"/>
      </w:pPr>
      <w:r>
        <w:rPr>
          <w:sz w:val="20"/>
        </w:rPr>
        <w:t>Realtime: dedicated govos-realtime service for live events and updates.</w:t>
      </w:r>
    </w:p>
    <w:p>
      <w:pPr>
        <w:spacing w:after="100"/>
      </w:pPr>
      <w:r>
        <w:rPr>
          <w:sz w:val="20"/>
        </w:rPr>
        <w:t>Authentication: production OTP provider plus JWT-based access control.</w:t>
      </w:r>
    </w:p>
    <w:p>
      <w:pPr>
        <w:spacing w:after="100"/>
      </w:pPr>
      <w:r>
        <w:rPr>
          <w:sz w:val="20"/>
        </w:rPr>
        <w:t>Platform controls: secure uploads, audit logs, structured errors, health checks and production configuration.</w:t>
      </w:r>
    </w:p>
    <w:p>
      <w:pPr>
        <w:pStyle w:val="Heading1"/>
      </w:pPr>
      <w:r>
        <w:t>5. M0.5 — Codebase Cleanup &amp; Security Hardening</w:t>
      </w:r>
    </w:p>
    <w:p>
      <w:pPr>
        <w:spacing w:after="100"/>
      </w:pPr>
      <w:r>
        <w:rPr>
          <w:sz w:val="20"/>
        </w:rPr>
        <w:t>Purpose: clean the existing codebase before deeper migration so technical debt is not carried into the new foundation.</w:t>
      </w:r>
    </w:p>
    <w:p>
      <w:pPr>
        <w:spacing w:after="100"/>
      </w:pPr>
      <w:r>
        <w:rPr>
          <w:sz w:val="20"/>
        </w:rPr>
        <w:t>Actions:</w:t>
      </w:r>
    </w:p>
    <w:p>
      <w:pPr>
        <w:pStyle w:val="ListBullet"/>
        <w:spacing w:after="100"/>
      </w:pPr>
      <w:r>
        <w:rPr>
          <w:sz w:val="20"/>
        </w:rPr>
        <w:t>Remove dead, duplicate and experimental code.</w:t>
      </w:r>
    </w:p>
    <w:p>
      <w:pPr>
        <w:pStyle w:val="ListBullet"/>
        <w:spacing w:after="100"/>
      </w:pPr>
      <w:r>
        <w:rPr>
          <w:sz w:val="20"/>
        </w:rPr>
        <w:t>Standardize environment configuration and remove secrets from source code.</w:t>
      </w:r>
    </w:p>
    <w:p>
      <w:pPr>
        <w:pStyle w:val="ListBullet"/>
        <w:spacing w:after="100"/>
      </w:pPr>
      <w:r>
        <w:rPr>
          <w:sz w:val="20"/>
        </w:rPr>
        <w:t>Replace hardcoded JWT secrets with environment-managed secrets.</w:t>
      </w:r>
    </w:p>
    <w:p>
      <w:pPr>
        <w:pStyle w:val="ListBullet"/>
        <w:spacing w:after="100"/>
      </w:pPr>
      <w:r>
        <w:rPr>
          <w:sz w:val="20"/>
        </w:rPr>
        <w:t>Remove mock OTP assumptions from production paths.</w:t>
      </w:r>
    </w:p>
    <w:p>
      <w:pPr>
        <w:pStyle w:val="ListBullet"/>
        <w:spacing w:after="100"/>
      </w:pPr>
      <w:r>
        <w:rPr>
          <w:sz w:val="20"/>
        </w:rPr>
        <w:t>Standardize API error responses and validation.</w:t>
      </w:r>
    </w:p>
    <w:p>
      <w:pPr>
        <w:pStyle w:val="ListBullet"/>
        <w:spacing w:after="100"/>
      </w:pPr>
      <w:r>
        <w:rPr>
          <w:sz w:val="20"/>
        </w:rPr>
        <w:t>Review authentication and authorization middleware.</w:t>
      </w:r>
    </w:p>
    <w:p>
      <w:pPr>
        <w:pStyle w:val="ListBullet"/>
        <w:spacing w:after="100"/>
      </w:pPr>
      <w:r>
        <w:rPr>
          <w:sz w:val="20"/>
        </w:rPr>
        <w:t>Establish clear module ownership and directory boundaries.</w:t>
      </w:r>
    </w:p>
    <w:p>
      <w:pPr>
        <w:pStyle w:val="ListBullet"/>
        <w:spacing w:after="100"/>
      </w:pPr>
      <w:r>
        <w:rPr>
          <w:sz w:val="20"/>
        </w:rPr>
        <w:t>Fix local build blockers involving npm/PowerShell and Maven availability.</w:t>
      </w:r>
    </w:p>
    <w:p>
      <w:pPr>
        <w:pStyle w:val="ListBullet"/>
        <w:spacing w:after="100"/>
      </w:pPr>
      <w:r>
        <w:rPr>
          <w:sz w:val="20"/>
        </w:rPr>
        <w:t>Add baseline linting, formatting and test structure.</w:t>
      </w:r>
    </w:p>
    <w:p>
      <w:pPr>
        <w:spacing w:after="100"/>
      </w:pPr>
      <w:r>
        <w:rPr>
          <w:sz w:val="20"/>
        </w:rPr>
        <w:t>Exit criteria: reproducible local builds, understandable architecture and no known hardcoded production credentials.</w:t>
      </w:r>
    </w:p>
    <w:p>
      <w:pPr>
        <w:pStyle w:val="Heading1"/>
      </w:pPr>
      <w:r>
        <w:t>6. M1 — Foundation Audit &amp; Migration Planning</w:t>
      </w:r>
    </w:p>
    <w:p>
      <w:pPr>
        <w:spacing w:after="100"/>
      </w:pPr>
      <w:r>
        <w:rPr>
          <w:sz w:val="20"/>
        </w:rPr>
        <w:t>Status: Completed.</w:t>
      </w:r>
    </w:p>
    <w:p>
      <w:pPr>
        <w:spacing w:after="100"/>
      </w:pPr>
      <w:r>
        <w:rPr>
          <w:sz w:val="20"/>
        </w:rPr>
        <w:t>Deliverables: GovOS Foundation Fix Plan, Express-to-Spring Migration Matrix, implementation audit and gap analysis.</w:t>
      </w:r>
    </w:p>
    <w:p>
      <w:pPr>
        <w:spacing w:after="100"/>
      </w:pPr>
      <w:r>
        <w:rPr>
          <w:sz w:val="20"/>
        </w:rPr>
        <w:t>Decision: Spring Boot remains the target authoritative core API. Express is preserved temporarily as a legacy fallback during incremental migration.</w:t>
      </w:r>
    </w:p>
    <w:p>
      <w:pPr>
        <w:spacing w:after="100"/>
      </w:pPr>
      <w:r>
        <w:rPr>
          <w:sz w:val="20"/>
        </w:rPr>
        <w:t>Principle: no destructive changes to working legacy functionality until tested replacement capability exists.</w:t>
      </w:r>
    </w:p>
    <w:p>
      <w:pPr>
        <w:pStyle w:val="Heading1"/>
      </w:pPr>
      <w:r>
        <w:t>7. M2 — Multi-Tenant Architecture System (MTAS)</w:t>
      </w:r>
    </w:p>
    <w:p>
      <w:pPr>
        <w:spacing w:after="100"/>
      </w:pPr>
      <w:r>
        <w:rPr>
          <w:sz w:val="20"/>
        </w:rPr>
        <w:t>Status: Designed and ready for controlled implementation after approval and environment validation.</w:t>
      </w:r>
    </w:p>
    <w:p>
      <w:pPr>
        <w:spacing w:after="100"/>
      </w:pPr>
      <w:r>
        <w:rPr>
          <w:sz w:val="20"/>
        </w:rPr>
        <w:t>Goal: transform the monolithic PostgreSQL model into strict tenant-aware architecture so separate municipalities or organizations cannot access each other's data.</w:t>
      </w:r>
    </w:p>
    <w:p>
      <w:pPr>
        <w:spacing w:after="100"/>
      </w:pPr>
      <w:r>
        <w:rPr>
          <w:sz w:val="20"/>
        </w:rPr>
        <w:t>Special classifications:</w:t>
      </w:r>
    </w:p>
    <w:p>
      <w:pPr>
        <w:pStyle w:val="ListBullet"/>
        <w:spacing w:after="100"/>
      </w:pPr>
      <w:r>
        <w:rPr>
          <w:sz w:val="20"/>
        </w:rPr>
        <w:t>SYSTEM: platform-level records such as Super Admin and global configuration.</w:t>
      </w:r>
    </w:p>
    <w:p>
      <w:pPr>
        <w:pStyle w:val="ListBullet"/>
        <w:spacing w:after="100"/>
      </w:pPr>
      <w:r>
        <w:rPr>
          <w:sz w:val="20"/>
        </w:rPr>
        <w:t>LEGACY_UNASSIGNED: quarantine ownership for existing records whose municipal ownership cannot be safely determined.</w:t>
      </w:r>
    </w:p>
    <w:p>
      <w:pPr>
        <w:spacing w:after="100"/>
      </w:pPr>
      <w:r>
        <w:rPr>
          <w:sz w:val="20"/>
        </w:rPr>
        <w:t>Affected domains include users, departments, officers, constituencies, representatives, complaints, complaint-related records, announcements, notifications, statistics, audit logs and settings according to the final schema inventory.</w:t>
      </w:r>
    </w:p>
    <w:p>
      <w:pPr>
        <w:spacing w:after="100"/>
      </w:pPr>
      <w:r>
        <w:rPr>
          <w:sz w:val="20"/>
        </w:rPr>
        <w:t>Migration principle: add tenant_id safely, map legacy data explicitly, enforce NOT NULL after backfill, index tenant_id and enable RLS.</w:t>
      </w:r>
    </w:p>
    <w:p>
      <w:pPr>
        <w:pStyle w:val="Heading1"/>
      </w:pPr>
      <w:r>
        <w:t>8. M2 Row-Level Security Design</w:t>
      </w:r>
    </w:p>
    <w:p>
      <w:pPr>
        <w:spacing w:after="100"/>
      </w:pPr>
      <w:r>
        <w:rPr>
          <w:sz w:val="20"/>
        </w:rPr>
        <w:t>The application establishes transaction-level tenant context using app.tenant_id. PostgreSQL RLS becomes the database-level hard barrier.</w:t>
      </w:r>
    </w:p>
    <w:p>
      <w:pPr>
        <w:spacing w:after="100"/>
      </w:pPr>
      <w:r>
        <w:rPr>
          <w:sz w:val="20"/>
        </w:rPr>
        <w:t>Normal users see records only for the active tenant.</w:t>
      </w:r>
    </w:p>
    <w:p>
      <w:pPr>
        <w:spacing w:after="100"/>
      </w:pPr>
      <w:r>
        <w:rPr>
          <w:sz w:val="20"/>
        </w:rPr>
        <w:t>Super Admin access is controlled separately through privileged authorization and context.</w:t>
      </w:r>
    </w:p>
    <w:p>
      <w:pPr>
        <w:spacing w:after="100"/>
      </w:pPr>
      <w:r>
        <w:rPr>
          <w:sz w:val="20"/>
        </w:rPr>
        <w:t>Fail-closed behaviour is required: missing tenant context must not expose tenant records.</w:t>
      </w:r>
    </w:p>
    <w:p>
      <w:pPr>
        <w:spacing w:after="100"/>
      </w:pPr>
      <w:r>
        <w:rPr>
          <w:sz w:val="20"/>
        </w:rPr>
        <w:t>RLS implementation must properly enforce SELECT, INSERT, UPDATE and DELETE, not only a simple read policy.</w:t>
      </w:r>
    </w:p>
    <w:p>
      <w:pPr>
        <w:spacing w:after="100"/>
      </w:pPr>
      <w:r>
        <w:rPr>
          <w:sz w:val="20"/>
        </w:rPr>
        <w:t>Validation includes Tenant A versus Tenant B isolation, correct tenant access, privileged access and missing-context fail-closed tests.</w:t>
      </w:r>
    </w:p>
    <w:p>
      <w:pPr>
        <w:pStyle w:val="Heading1"/>
      </w:pPr>
      <w:r>
        <w:t>9. M2 Migration Execution Plan</w:t>
      </w:r>
    </w:p>
    <w:p>
      <w:pPr>
        <w:spacing w:after="100"/>
      </w:pPr>
      <w:r>
        <w:rPr>
          <w:sz w:val="20"/>
        </w:rPr>
        <w:t>1. Freeze and back up the target environment.</w:t>
      </w:r>
    </w:p>
    <w:p>
      <w:pPr>
        <w:spacing w:after="100"/>
      </w:pPr>
      <w:r>
        <w:rPr>
          <w:sz w:val="20"/>
        </w:rPr>
        <w:t>2. Inventory the actual live schema and reconcile it with the planned migration.</w:t>
      </w:r>
    </w:p>
    <w:p>
      <w:pPr>
        <w:spacing w:after="100"/>
      </w:pPr>
      <w:r>
        <w:rPr>
          <w:sz w:val="20"/>
        </w:rPr>
        <w:t>3. Standardize Flyway as the source of truth for future schema changes.</w:t>
      </w:r>
    </w:p>
    <w:p>
      <w:pPr>
        <w:spacing w:after="100"/>
      </w:pPr>
      <w:r>
        <w:rPr>
          <w:sz w:val="20"/>
        </w:rPr>
        <w:t>4. Create tenants and SYSTEM / LEGACY_UNASSIGNED records.</w:t>
      </w:r>
    </w:p>
    <w:p>
      <w:pPr>
        <w:spacing w:after="100"/>
      </w:pPr>
      <w:r>
        <w:rPr>
          <w:sz w:val="20"/>
        </w:rPr>
        <w:t>5. Add nullable tenant_id columns to affected tables.</w:t>
      </w:r>
    </w:p>
    <w:p>
      <w:pPr>
        <w:spacing w:after="100"/>
      </w:pPr>
      <w:r>
        <w:rPr>
          <w:sz w:val="20"/>
        </w:rPr>
        <w:t>6. Backfill ownership using explicit mapping rules.</w:t>
      </w:r>
    </w:p>
    <w:p>
      <w:pPr>
        <w:spacing w:after="100"/>
      </w:pPr>
      <w:r>
        <w:rPr>
          <w:sz w:val="20"/>
        </w:rPr>
        <w:t>7. Add indexes and required constraints.</w:t>
      </w:r>
    </w:p>
    <w:p>
      <w:pPr>
        <w:spacing w:after="100"/>
      </w:pPr>
      <w:r>
        <w:rPr>
          <w:sz w:val="20"/>
        </w:rPr>
        <w:t>8. Add tenant ownership to child records where required for efficient RLS.</w:t>
      </w:r>
    </w:p>
    <w:p>
      <w:pPr>
        <w:spacing w:after="100"/>
      </w:pPr>
      <w:r>
        <w:rPr>
          <w:sz w:val="20"/>
        </w:rPr>
        <w:t>9. Enforce NOT NULL after successful validation.</w:t>
      </w:r>
    </w:p>
    <w:p>
      <w:pPr>
        <w:spacing w:after="100"/>
      </w:pPr>
      <w:r>
        <w:rPr>
          <w:sz w:val="20"/>
        </w:rPr>
        <w:t>10. Enable and FORCE RLS on protected tables.</w:t>
      </w:r>
    </w:p>
    <w:p>
      <w:pPr>
        <w:spacing w:after="100"/>
      </w:pPr>
      <w:r>
        <w:rPr>
          <w:sz w:val="20"/>
        </w:rPr>
        <w:t>11. Implement complete read/write tenant policies.</w:t>
      </w:r>
    </w:p>
    <w:p>
      <w:pPr>
        <w:spacing w:after="100"/>
      </w:pPr>
      <w:r>
        <w:rPr>
          <w:sz w:val="20"/>
        </w:rPr>
        <w:t>12. Run SQL validation and application integration tests.</w:t>
      </w:r>
    </w:p>
    <w:p>
      <w:pPr>
        <w:spacing w:after="100"/>
      </w:pPr>
      <w:r>
        <w:rPr>
          <w:sz w:val="20"/>
        </w:rPr>
        <w:t>13. Keep rollback and recovery procedures ready before production deployment.</w:t>
      </w:r>
    </w:p>
    <w:p>
      <w:pPr>
        <w:pStyle w:val="Heading1"/>
      </w:pPr>
      <w:r>
        <w:t>10. Express to Spring Boot Migration Strategy</w:t>
      </w:r>
    </w:p>
    <w:p>
      <w:pPr>
        <w:spacing w:after="100"/>
      </w:pPr>
      <w:r>
        <w:rPr>
          <w:sz w:val="20"/>
        </w:rPr>
        <w:t>The migration must be incremental.</w:t>
      </w:r>
    </w:p>
    <w:p>
      <w:pPr>
        <w:spacing w:after="100"/>
      </w:pPr>
      <w:r>
        <w:rPr>
          <w:sz w:val="20"/>
        </w:rPr>
        <w:t>1. Inventory each working Express endpoint and workflow.</w:t>
      </w:r>
    </w:p>
    <w:p>
      <w:pPr>
        <w:spacing w:after="100"/>
      </w:pPr>
      <w:r>
        <w:rPr>
          <w:sz w:val="20"/>
        </w:rPr>
        <w:t>2. Implement equivalent Spring Boot controller, service and repository flows.</w:t>
      </w:r>
    </w:p>
    <w:p>
      <w:pPr>
        <w:spacing w:after="100"/>
      </w:pPr>
      <w:r>
        <w:rPr>
          <w:sz w:val="20"/>
        </w:rPr>
        <w:t>3. Verify response contracts and authorization.</w:t>
      </w:r>
    </w:p>
    <w:p>
      <w:pPr>
        <w:spacing w:after="100"/>
      </w:pPr>
      <w:r>
        <w:rPr>
          <w:sz w:val="20"/>
        </w:rPr>
        <w:t>4. Test against the tenant-aware database.</w:t>
      </w:r>
    </w:p>
    <w:p>
      <w:pPr>
        <w:spacing w:after="100"/>
      </w:pPr>
      <w:r>
        <w:rPr>
          <w:sz w:val="20"/>
        </w:rPr>
        <w:t>5. Switch traffic only after verified parity.</w:t>
      </w:r>
    </w:p>
    <w:p>
      <w:pPr>
        <w:spacing w:after="100"/>
      </w:pPr>
      <w:r>
        <w:rPr>
          <w:sz w:val="20"/>
        </w:rPr>
        <w:t>6. Keep Express available as fallback during transition.</w:t>
      </w:r>
    </w:p>
    <w:p>
      <w:pPr>
        <w:spacing w:after="100"/>
      </w:pPr>
      <w:r>
        <w:rPr>
          <w:sz w:val="20"/>
        </w:rPr>
        <w:t>7. Remove legacy paths only after complete verification and explicit approval.</w:t>
      </w:r>
    </w:p>
    <w:p>
      <w:pPr>
        <w:spacing w:after="100"/>
      </w:pPr>
      <w:r>
        <w:rPr>
          <w:sz w:val="20"/>
        </w:rPr>
        <w:t>Priority: Authentication/RBAC → Complaints → Departments/Officers → Dashboards/Analytics → Notifications/Realtime.</w:t>
      </w:r>
    </w:p>
    <w:p>
      <w:pPr>
        <w:pStyle w:val="Heading1"/>
      </w:pPr>
      <w:r>
        <w:t>11. Functional Workflow to Preserve</w:t>
      </w:r>
    </w:p>
    <w:p>
      <w:pPr>
        <w:spacing w:after="100"/>
      </w:pPr>
      <w:r>
        <w:rPr>
          <w:sz w:val="20"/>
        </w:rPr>
        <w:t>Citizen: Login → File Issue → Complaint ID → Track → Updates → Resolution → Closure.</w:t>
      </w:r>
    </w:p>
    <w:p>
      <w:pPr>
        <w:spacing w:after="100"/>
      </w:pPr>
      <w:r>
        <w:rPr>
          <w:sz w:val="20"/>
        </w:rPr>
        <w:t>Officer: Assigned → In Progress → Field Work → Work Completed → Evidence → Verification → Verified Completion.</w:t>
      </w:r>
    </w:p>
    <w:p>
      <w:pPr>
        <w:spacing w:after="100"/>
      </w:pPr>
      <w:r>
        <w:rPr>
          <w:sz w:val="20"/>
        </w:rPr>
        <w:t>Administrator: Dashboard → KPI Review → Assignment/Reassignment → SLA Monitoring → Reports.</w:t>
      </w:r>
    </w:p>
    <w:p>
      <w:pPr>
        <w:spacing w:after="100"/>
      </w:pPr>
      <w:r>
        <w:rPr>
          <w:sz w:val="20"/>
        </w:rPr>
        <w:t>Department Head: department operations, workload and SLA/performance; later Assets, Projects and Documents modules.</w:t>
      </w:r>
    </w:p>
    <w:p>
      <w:pPr>
        <w:spacing w:after="100"/>
      </w:pPr>
      <w:r>
        <w:rPr>
          <w:sz w:val="20"/>
        </w:rPr>
        <w:t>Representative/Constituency: controlled oversight and transparency without compromising administrative workflow boundaries.</w:t>
      </w:r>
    </w:p>
    <w:p>
      <w:pPr>
        <w:pStyle w:val="Heading1"/>
      </w:pPr>
      <w:r>
        <w:t>12. Completion &amp; Verification Model</w:t>
      </w:r>
    </w:p>
    <w:p>
      <w:pPr>
        <w:spacing w:after="100"/>
      </w:pPr>
      <w:r>
        <w:rPr>
          <w:sz w:val="20"/>
        </w:rPr>
        <w:t>The existing implementation supports submission through resolution but does not fully implement the stronger accountability flow required by GovOS.</w:t>
      </w:r>
    </w:p>
    <w:p>
      <w:pPr>
        <w:spacing w:after="100"/>
      </w:pPr>
      <w:r>
        <w:rPr>
          <w:sz w:val="20"/>
        </w:rPr>
        <w:t>Recommended flow: Submitted → Validated → Assigned → In Progress → Work Completed → Completion Evidence Submitted → Verification/Quality Check → Verified Completed → Closed.</w:t>
      </w:r>
    </w:p>
    <w:p>
      <w:pPr>
        <w:spacing w:after="100"/>
      </w:pPr>
      <w:r>
        <w:rPr>
          <w:sz w:val="20"/>
        </w:rPr>
        <w:t>GovOS should measure verified outcomes rather than simply accepting a status change as proof of completion.</w:t>
      </w:r>
    </w:p>
    <w:p>
      <w:pPr>
        <w:pStyle w:val="Heading1"/>
      </w:pPr>
      <w:r>
        <w:t>13. Public Website Direction</w:t>
      </w:r>
    </w:p>
    <w:p>
      <w:pPr>
        <w:spacing w:after="100"/>
      </w:pPr>
      <w:r>
        <w:rPr>
          <w:sz w:val="20"/>
        </w:rPr>
        <w:t>The citizen experience should move away from a purely negative complaint-portal identity.</w:t>
      </w:r>
    </w:p>
    <w:p>
      <w:pPr>
        <w:spacing w:after="100"/>
      </w:pPr>
      <w:r>
        <w:rPr>
          <w:sz w:val="20"/>
        </w:rPr>
        <w:t>The approved direction is positive civic participation: community improvement, visible outcomes, family/community imagery, green spaces, city progress and recently resolved improvements.</w:t>
      </w:r>
    </w:p>
    <w:p>
      <w:pPr>
        <w:spacing w:after="100"/>
      </w:pPr>
      <w:r>
        <w:rPr>
          <w:sz w:val="20"/>
        </w:rPr>
        <w:t>Core message: citizens are participating in building better communities.</w:t>
      </w:r>
    </w:p>
    <w:p>
      <w:pPr>
        <w:spacing w:after="100"/>
      </w:pPr>
      <w:r>
        <w:rPr>
          <w:sz w:val="20"/>
        </w:rPr>
        <w:t>Recommended sections: positive hero, impact metrics, simple process, action CTA, recently resolved improvements, public transparency dashboard and complaint tracking.</w:t>
      </w:r>
    </w:p>
    <w:p>
      <w:pPr>
        <w:spacing w:after="100"/>
      </w:pPr>
      <w:r>
        <w:rPr>
          <w:sz w:val="20"/>
        </w:rPr>
        <w:t>A constituency/MLA page can be added as a controlled transparency and oversight layer, but should not complicate the core Phase 1 workflow.</w:t>
      </w:r>
    </w:p>
    <w:p>
      <w:pPr>
        <w:pStyle w:val="Heading1"/>
      </w:pPr>
      <w:r>
        <w:t>14. Security Baseline</w:t>
      </w:r>
    </w:p>
    <w:p>
      <w:pPr>
        <w:spacing w:after="100"/>
      </w:pPr>
      <w:r>
        <w:rPr>
          <w:sz w:val="20"/>
        </w:rPr>
        <w:t>Secrets must never be hardcoded in source control.</w:t>
      </w:r>
    </w:p>
    <w:p>
      <w:pPr>
        <w:spacing w:after="100"/>
      </w:pPr>
      <w:r>
        <w:rPr>
          <w:sz w:val="20"/>
        </w:rPr>
        <w:t>JWT keys, OTP credentials, database credentials and third-party tokens must be environment-managed.</w:t>
      </w:r>
    </w:p>
    <w:p>
      <w:pPr>
        <w:spacing w:after="100"/>
      </w:pPr>
      <w:r>
        <w:rPr>
          <w:sz w:val="20"/>
        </w:rPr>
        <w:t>RBAC must be enforced server-side, not only in frontend state.</w:t>
      </w:r>
    </w:p>
    <w:p>
      <w:pPr>
        <w:spacing w:after="100"/>
      </w:pPr>
      <w:r>
        <w:rPr>
          <w:sz w:val="20"/>
        </w:rPr>
        <w:t>Tenant isolation must exist at both database and application levels.</w:t>
      </w:r>
    </w:p>
    <w:p>
      <w:pPr>
        <w:spacing w:after="100"/>
      </w:pPr>
      <w:r>
        <w:rPr>
          <w:sz w:val="20"/>
        </w:rPr>
        <w:t>Validate all external input and restrict uploads by type, size and access rules.</w:t>
      </w:r>
    </w:p>
    <w:p>
      <w:pPr>
        <w:spacing w:after="100"/>
      </w:pPr>
      <w:r>
        <w:rPr>
          <w:sz w:val="20"/>
        </w:rPr>
        <w:t>Audit sensitive administrative actions.</w:t>
      </w:r>
    </w:p>
    <w:p>
      <w:pPr>
        <w:spacing w:after="100"/>
      </w:pPr>
      <w:r>
        <w:rPr>
          <w:sz w:val="20"/>
        </w:rPr>
        <w:t>Production must use HTTPS, rate limiting, controlled CORS and secure authentication handling.</w:t>
      </w:r>
    </w:p>
    <w:p>
      <w:pPr>
        <w:spacing w:after="100"/>
      </w:pPr>
      <w:r>
        <w:rPr>
          <w:sz w:val="20"/>
        </w:rPr>
        <w:t>Add automated tests for authentication, authorization and tenant isolation.</w:t>
      </w:r>
    </w:p>
    <w:p>
      <w:pPr>
        <w:pStyle w:val="Heading1"/>
      </w:pPr>
      <w:r>
        <w:t>15. What Comes After M2</w:t>
      </w:r>
    </w:p>
    <w:p>
      <w:pPr>
        <w:spacing w:after="100"/>
      </w:pPr>
      <w:r>
        <w:rPr>
          <w:sz w:val="20"/>
        </w:rPr>
        <w:t>M3 — Spring Boot core implementation and API parity migration.</w:t>
      </w:r>
    </w:p>
    <w:p>
      <w:pPr>
        <w:spacing w:after="100"/>
      </w:pPr>
      <w:r>
        <w:rPr>
          <w:sz w:val="20"/>
        </w:rPr>
        <w:t>M4 — SLA engine and background processing for breach detection and escalation.</w:t>
      </w:r>
    </w:p>
    <w:p>
      <w:pPr>
        <w:spacing w:after="100"/>
      </w:pPr>
      <w:r>
        <w:rPr>
          <w:sz w:val="20"/>
        </w:rPr>
        <w:t>M5 — Dedicated realtime service and SMS/email/other notification integrations.</w:t>
      </w:r>
    </w:p>
    <w:p>
      <w:pPr>
        <w:spacing w:after="100"/>
      </w:pPr>
      <w:r>
        <w:rPr>
          <w:sz w:val="20"/>
        </w:rPr>
        <w:t>M6 — Assets module.</w:t>
      </w:r>
    </w:p>
    <w:p>
      <w:pPr>
        <w:spacing w:after="100"/>
      </w:pPr>
      <w:r>
        <w:rPr>
          <w:sz w:val="20"/>
        </w:rPr>
        <w:t>M7 — Projects module.</w:t>
      </w:r>
    </w:p>
    <w:p>
      <w:pPr>
        <w:spacing w:after="100"/>
      </w:pPr>
      <w:r>
        <w:rPr>
          <w:sz w:val="20"/>
        </w:rPr>
        <w:t>M8 — Documents/Peshi workflow.</w:t>
      </w:r>
    </w:p>
    <w:p>
      <w:pPr>
        <w:spacing w:after="100"/>
      </w:pPr>
      <w:r>
        <w:rPr>
          <w:sz w:val="20"/>
        </w:rPr>
        <w:t>M9 — Reporting, analytics, GIS improvements and production DevOps hardening.</w:t>
      </w:r>
    </w:p>
    <w:p>
      <w:pPr>
        <w:spacing w:after="100"/>
      </w:pPr>
      <w:r>
        <w:rPr>
          <w:sz w:val="20"/>
        </w:rPr>
        <w:t>Phase 2 — AI and advanced governance intelligence.</w:t>
      </w:r>
    </w:p>
    <w:p>
      <w:pPr>
        <w:pStyle w:val="Heading1"/>
      </w:pPr>
      <w:r>
        <w:t>16. Immediate Next Actions</w:t>
      </w:r>
    </w:p>
    <w:p>
      <w:pPr>
        <w:spacing w:after="100"/>
      </w:pPr>
      <w:r>
        <w:rPr>
          <w:sz w:val="20"/>
        </w:rPr>
        <w:t>1. Complete or formally approve M0.5 cleanup and security hardening.</w:t>
      </w:r>
    </w:p>
    <w:p>
      <w:pPr>
        <w:spacing w:after="100"/>
      </w:pPr>
      <w:r>
        <w:rPr>
          <w:sz w:val="20"/>
        </w:rPr>
        <w:t>2. Verify the real database schema and deployment environment.</w:t>
      </w:r>
    </w:p>
    <w:p>
      <w:pPr>
        <w:spacing w:after="100"/>
      </w:pPr>
      <w:r>
        <w:rPr>
          <w:sz w:val="20"/>
        </w:rPr>
        <w:t>3. Convert the M2 design into versioned Flyway migrations rather than unmanaged SQL.</w:t>
      </w:r>
    </w:p>
    <w:p>
      <w:pPr>
        <w:spacing w:after="100"/>
      </w:pPr>
      <w:r>
        <w:rPr>
          <w:sz w:val="20"/>
        </w:rPr>
        <w:t>4. Review RLS policies for complete SELECT/INSERT/UPDATE/DELETE enforcement.</w:t>
      </w:r>
    </w:p>
    <w:p>
      <w:pPr>
        <w:spacing w:after="100"/>
      </w:pPr>
      <w:r>
        <w:rPr>
          <w:sz w:val="20"/>
        </w:rPr>
        <w:t>5. Execute first on development or staging.</w:t>
      </w:r>
    </w:p>
    <w:p>
      <w:pPr>
        <w:spacing w:after="100"/>
      </w:pPr>
      <w:r>
        <w:rPr>
          <w:sz w:val="20"/>
        </w:rPr>
        <w:t>6. Run the tenant-isolation validation harness.</w:t>
      </w:r>
    </w:p>
    <w:p>
      <w:pPr>
        <w:spacing w:after="100"/>
      </w:pPr>
      <w:r>
        <w:rPr>
          <w:sz w:val="20"/>
        </w:rPr>
        <w:t>7. Integrate Spring Boot tenant context handling.</w:t>
      </w:r>
    </w:p>
    <w:p>
      <w:pPr>
        <w:spacing w:after="100"/>
      </w:pPr>
      <w:r>
        <w:rPr>
          <w:sz w:val="20"/>
        </w:rPr>
        <w:t>8. Begin endpoint-by-endpoint Express-to-Spring migration only after the database foundation is stable.</w:t>
      </w:r>
    </w:p>
    <w:p>
      <w:pPr>
        <w:pStyle w:val="Heading1"/>
      </w:pPr>
      <w:r>
        <w:t>17. Final Position</w:t>
      </w:r>
    </w:p>
    <w:p>
      <w:pPr>
        <w:spacing w:after="100"/>
      </w:pPr>
      <w:r>
        <w:rPr>
          <w:sz w:val="20"/>
        </w:rPr>
        <w:t>GovOS has a promising functional base and strong product direction, but it is not yet production-ready.</w:t>
      </w:r>
    </w:p>
    <w:p>
      <w:pPr>
        <w:spacing w:after="100"/>
      </w:pPr>
      <w:r>
        <w:rPr>
          <w:sz w:val="20"/>
        </w:rPr>
        <w:t>The correct strategic sequence is: clean and secure the codebase, preserve existing functionality, establish multi-tenancy and RLS, then consolidate the authoritative backend into Spring Boot.</w:t>
      </w:r>
    </w:p>
    <w:p>
      <w:pPr>
        <w:spacing w:after="100"/>
      </w:pPr>
      <w:r>
        <w:rPr>
          <w:sz w:val="20"/>
        </w:rPr>
        <w:t>M1 is complete. M2 is designed. The next engineering work should follow the foundation roadmap rather than adding unrelated features.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