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Échelle : DASS-21 (Depression Anxiety Stress Scales — forme courte, 21 items) — en français « EDAS21 » (sigle figurant sur le PDF de la version française)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 original (auteurs, année, revue/éditeur) : Lovibond S.H. &amp; Lovibond P.F. (1995). Manual for the Depression Anxiety Stress Scales (2nd ed.). Sydney: Psychology Foundation of Australia. (Citation officielle demandée par les auteurs, FAQ 19 du site DASS.)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FR (traducteurs, année, publication de validation) : traduction de Donald Martin (Université d'Ottawa, Canada), postée sur le site officiel du DASS ; année non indiquée ; aucune publication de validation citée sur la page de la traduction. Une validation de « la version française » existe dans la littérature (Canadian Journal of Behavioural Science, 2018, 50(4), 238-247, notice UNIL Serval) — auteurs, version utilisée et contenu NON consultés (texte intégral non accessible).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Détenteur des droits apparent : Psychology Foundation of Australia / School of Psychology, UNSW Sydney (site de P. Lovibond). Instrument déclaré dans le domaine public par ses auteurs.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 de licence trouvée (verbatim) : « permission is not needed to use it » — extrait de la FAQ 3 du site officiel : le questionnaire DASS est dans le domaine public, les questionnaires et la grille de cotation peuvent être téléchargés et copiés sans restriction. Conditions associées (page de téléchargement) : les échelles ne peuvent être « modified or sold for profit ».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 de cette phrase (URL + date de consultation) : https://www2.psy.unsw.edu.au/Dass/DASSFAQ.htm (FAQ 3) et https://www2.psy.unsw.edu.au/Dass/down.htm — consultés le 08/10/2026.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Pour les traductions (FAQ 25) : toute traduction postée sur le site est publique, et aucune permission du traducteur n'est nécessaire pour l'utiliser ; la qualité des traductions n'est pas garantie par l'équipe DASS.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Éditeur commercial identifié ? non — pas d'éditeur de tests commercial ; le manuel (55 AUD) est vendu par la Psychology Foundation, mais le questionnaire lui-même est libre.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commercial explicitement couvert ? partiellement. FAQ 22 : facturer des patients pour une évaluation incluant le DASS est acceptable ; vendre les échelles DASS elles-mêmes à une autre personne ne l'est pas. Le cas d'un SaaS facturé aux praticiens (Melya) n'est pas traité explicitement : Melya vend un service d'envoi/cotation/suivi, pas l'échelle — lecture raisonnable mais non confirmée par les auteurs.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 proposé : ✅ libre (domaine public), SOUS CONDITIONS D'USAGE à respecter dans la conception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Ne pas modifier les items ni les libellés de réponse (adaptation de support à documenter, cf. fiche §2/§4).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Ne pas vendre l'échelle en tant que telle.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FAQ 21 : l'app doit être restreinte à un groupe défini (patients invités par leur psy) et les résultats doivent revenir au praticien, pas au répondant.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FAQ 9 : ne pas afficher les scores calculés aux répondants et ne proposer aucune interprétation automatisée au répondant.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Citer le manuel (Lovibond &amp; Lovibond, 1995).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Décision Melya : [À REMPLIR]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Démarche externe nécessaire ? Non obligatoire. Optionnelle : un court e-mail à Peter Lovibond (p.lovibond@unsw.edu.au, contact indiqué FAQ 29) pour confirmer que l'intégration dans un SaaS facturé aux praticiens est couverte. Aucune démarche engagée à ce jour.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