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59AB" w:rsidRPr="00135F3F" w:rsidRDefault="004559AB" w:rsidP="004559AB">
      <w:pPr>
        <w:jc w:val="center"/>
        <w:rPr>
          <w:rFonts w:cs="Vani"/>
          <w:sz w:val="28"/>
          <w:szCs w:val="28"/>
        </w:rPr>
      </w:pPr>
      <w:r w:rsidRPr="00135F3F">
        <w:rPr>
          <w:rFonts w:cs="Vani"/>
          <w:sz w:val="28"/>
          <w:szCs w:val="28"/>
        </w:rPr>
        <w:t>Using SWAT to Measure Water Related Ecosystem Services</w:t>
      </w:r>
    </w:p>
    <w:p w:rsidR="004559AB" w:rsidRDefault="004559AB" w:rsidP="004559AB">
      <w:pPr>
        <w:jc w:val="center"/>
      </w:pPr>
    </w:p>
    <w:p w:rsidR="004559AB" w:rsidRPr="0098313C" w:rsidRDefault="004559AB" w:rsidP="00BE3FDF">
      <w:pPr>
        <w:pStyle w:val="Heading1"/>
      </w:pPr>
      <w:r w:rsidRPr="0098313C">
        <w:t>Abstract</w:t>
      </w:r>
    </w:p>
    <w:p w:rsidR="004559AB" w:rsidRDefault="004559AB" w:rsidP="004559AB"/>
    <w:p w:rsidR="004559AB" w:rsidRDefault="004559AB" w:rsidP="004559AB">
      <w:r>
        <w:tab/>
        <w:t xml:space="preserve">Ecosystem services (ES) are the benefits humans receive from nature.  In recent years the Soil and Water Assessment Tool (SWAT) has been adapted </w:t>
      </w:r>
      <w:r w:rsidR="0096302E">
        <w:t>to quantify</w:t>
      </w:r>
      <w:r>
        <w:t xml:space="preserve"> changes and tradeoffs between ecosystem services.  This study develops a SWAT model for two sub-basins in Northwest Oregon, USA, and discusses the strengths and limitations of SWAT to effectively model ecosystem services in a spatially explicit manner.  It then discusses current research trends using SWAT to conduct economic tradeoff analysis.  The first sub-basin, Tualatin,</w:t>
      </w:r>
      <w:r w:rsidR="00B6779F">
        <w:t xml:space="preserve"> is mixed use and</w:t>
      </w:r>
      <w:r>
        <w:t xml:space="preserve"> consists of forest, agriculture, and urban land uses.  It is highly managed and therefore data rich.  The second basin, Yamhill, is dominated by forest and agricultural lands.  It has some detailed flow monitoring, but water quality monitoring is sparse in comparison.  The findings of this study suggest that:  1) </w:t>
      </w:r>
      <w:r w:rsidR="00C14885">
        <w:t xml:space="preserve">SWAT has a suite of software available that facilitate efficient data input, sensitivity analysis, </w:t>
      </w:r>
      <w:r w:rsidR="00B6779F">
        <w:t xml:space="preserve">and </w:t>
      </w:r>
      <w:r w:rsidR="00C14885">
        <w:t>calibrat</w:t>
      </w:r>
      <w:r w:rsidR="00B6779F">
        <w:t>ion</w:t>
      </w:r>
      <w:r w:rsidR="00C14885">
        <w:t>.</w:t>
      </w:r>
      <w:r>
        <w:t xml:space="preserve">  2)  </w:t>
      </w:r>
      <w:r w:rsidR="00C14885">
        <w:t>The SWAT model is effective at simulating and measuring the economic production function</w:t>
      </w:r>
      <w:r w:rsidR="00E24484">
        <w:t xml:space="preserve"> for a given watershed</w:t>
      </w:r>
      <w:r>
        <w:t xml:space="preserve">.  3)  </w:t>
      </w:r>
      <w:r w:rsidR="00C14885">
        <w:t>More complex e</w:t>
      </w:r>
      <w:r>
        <w:t xml:space="preserve">conomic tradeoffs can be measured by identifying </w:t>
      </w:r>
      <w:r w:rsidR="00E24484">
        <w:t xml:space="preserve">economic </w:t>
      </w:r>
      <w:r>
        <w:t xml:space="preserve">cost data and pairing SWAT with genetic algorithms to </w:t>
      </w:r>
      <w:r w:rsidR="00C14885">
        <w:t xml:space="preserve">optimize water pollution reductions and </w:t>
      </w:r>
      <w:r>
        <w:t>develop frontier curves</w:t>
      </w:r>
      <w:r w:rsidR="00C14885">
        <w:t>, and 4) In order to facilitate widespread use of economic analysis with SWAT, more user-friendly software will need to be developed</w:t>
      </w:r>
      <w:r>
        <w:t xml:space="preserve">.    </w:t>
      </w:r>
    </w:p>
    <w:p w:rsidR="004559AB" w:rsidRDefault="004559AB" w:rsidP="004559AB"/>
    <w:p w:rsidR="004559AB" w:rsidRPr="00DD7120" w:rsidRDefault="004559AB" w:rsidP="00BE3FDF">
      <w:pPr>
        <w:pStyle w:val="Heading1"/>
      </w:pPr>
      <w:r>
        <w:t xml:space="preserve">1.  </w:t>
      </w:r>
      <w:r w:rsidRPr="00DD7120">
        <w:t>Introduction</w:t>
      </w:r>
    </w:p>
    <w:p w:rsidR="004559AB" w:rsidRDefault="004559AB" w:rsidP="004559AB"/>
    <w:p w:rsidR="004559AB" w:rsidRDefault="004559AB" w:rsidP="004559AB">
      <w:r>
        <w:tab/>
        <w:t>Many of earth’s biophysical processes provide the foundation upon which the global economy is based (MA 2005).  Yet the services we receive from nature, termed ecosystem services, are economically undervalued (</w:t>
      </w:r>
      <w:proofErr w:type="spellStart"/>
      <w:r>
        <w:t>Costanza</w:t>
      </w:r>
      <w:proofErr w:type="spellEnd"/>
      <w:r>
        <w:t xml:space="preserve"> et al 1997).  As a result, many economic decisions do not consider the impacts human activities will have on the ecosystems we depend upon.  In response, new methods </w:t>
      </w:r>
      <w:r w:rsidR="0096302E">
        <w:t>and tools for</w:t>
      </w:r>
      <w:r>
        <w:t xml:space="preserve"> measuring ecosystem services and quantifying how they will change are </w:t>
      </w:r>
      <w:r w:rsidR="0096302E">
        <w:t>being developed</w:t>
      </w:r>
      <w:r>
        <w:t xml:space="preserve"> (</w:t>
      </w:r>
      <w:proofErr w:type="spellStart"/>
      <w:r>
        <w:t>Kremen</w:t>
      </w:r>
      <w:proofErr w:type="spellEnd"/>
      <w:r>
        <w:t xml:space="preserve"> and </w:t>
      </w:r>
      <w:proofErr w:type="spellStart"/>
      <w:r>
        <w:t>Ostfeld</w:t>
      </w:r>
      <w:proofErr w:type="spellEnd"/>
      <w:r>
        <w:t xml:space="preserve"> 2005). </w:t>
      </w:r>
      <w:r w:rsidR="00B913F7">
        <w:t>One of the major areas of research is focused on how to accurately model ecosystem services (</w:t>
      </w:r>
      <w:proofErr w:type="spellStart"/>
      <w:r w:rsidR="00B913F7">
        <w:t>Talis</w:t>
      </w:r>
      <w:proofErr w:type="spellEnd"/>
      <w:r w:rsidR="00B913F7">
        <w:t xml:space="preserve"> &amp; </w:t>
      </w:r>
      <w:proofErr w:type="spellStart"/>
      <w:r w:rsidR="00B913F7">
        <w:t>Polasky</w:t>
      </w:r>
      <w:proofErr w:type="spellEnd"/>
      <w:r w:rsidR="00B913F7">
        <w:t xml:space="preserve"> 2009).  Because water plays a central role in much of our economic and personal lives, hydrologic services are a unique category of ES analysis (</w:t>
      </w:r>
      <w:proofErr w:type="spellStart"/>
      <w:r w:rsidR="00B913F7">
        <w:t>Brauman</w:t>
      </w:r>
      <w:proofErr w:type="spellEnd"/>
      <w:r w:rsidR="00B913F7">
        <w:t xml:space="preserve"> 2007), and are the focus of this paper.  </w:t>
      </w:r>
      <w:proofErr w:type="spellStart"/>
      <w:r>
        <w:t>Vigerstol</w:t>
      </w:r>
      <w:proofErr w:type="spellEnd"/>
      <w:r>
        <w:t xml:space="preserve"> and </w:t>
      </w:r>
      <w:proofErr w:type="spellStart"/>
      <w:r>
        <w:t>Aukema</w:t>
      </w:r>
      <w:proofErr w:type="spellEnd"/>
      <w:r>
        <w:t xml:space="preserve"> (2011) divide the current suite of models used to assess changes in hydrologic ecosystem services (“hydrologic services”) into two groups:  </w:t>
      </w:r>
      <w:r w:rsidRPr="005539D6">
        <w:rPr>
          <w:i/>
        </w:rPr>
        <w:t>Traditional hydrological models</w:t>
      </w:r>
      <w:r>
        <w:t xml:space="preserve"> and </w:t>
      </w:r>
      <w:r w:rsidRPr="005539D6">
        <w:rPr>
          <w:i/>
        </w:rPr>
        <w:t>Ecosystem Service Tools</w:t>
      </w:r>
      <w:r>
        <w:t xml:space="preserve">.  Traditional hydrological models are process based and provide detailed information on the timing and quantity of water provision and water quality.  </w:t>
      </w:r>
      <w:proofErr w:type="gramStart"/>
      <w:r w:rsidR="00E24484">
        <w:t xml:space="preserve">The </w:t>
      </w:r>
      <w:r>
        <w:t xml:space="preserve"> Soil</w:t>
      </w:r>
      <w:proofErr w:type="gramEnd"/>
      <w:r>
        <w:t xml:space="preserve"> and Water Assessment </w:t>
      </w:r>
      <w:r w:rsidR="00E24484">
        <w:t xml:space="preserve">Tool (SWAT, </w:t>
      </w:r>
      <w:proofErr w:type="spellStart"/>
      <w:r w:rsidR="00E24484">
        <w:t>Neitsch</w:t>
      </w:r>
      <w:proofErr w:type="spellEnd"/>
      <w:r w:rsidR="00E24484">
        <w:t xml:space="preserve"> et al 20</w:t>
      </w:r>
      <w:r w:rsidR="00B913F7">
        <w:t>11) f</w:t>
      </w:r>
      <w:r w:rsidR="00E24484">
        <w:t>alls under this category</w:t>
      </w:r>
      <w:r>
        <w:t>.  While the biophysical simulation capabilities of these models are robust due to many years of continued development, methods for conducting economic analysis with them are nascent (</w:t>
      </w:r>
      <w:proofErr w:type="spellStart"/>
      <w:r>
        <w:t>Rabotyagov</w:t>
      </w:r>
      <w:proofErr w:type="spellEnd"/>
      <w:r>
        <w:t xml:space="preserve"> et al 2010, </w:t>
      </w:r>
      <w:proofErr w:type="spellStart"/>
      <w:r>
        <w:t>Bekele</w:t>
      </w:r>
      <w:proofErr w:type="spellEnd"/>
      <w:r>
        <w:t xml:space="preserve"> et al 2013).  Ecosystem service tools shift focus away from the underlying biophysical processes and refocus it on only those processes being used by humans.  They incorporate not only biophysical output, but also economic estimates which facilitate decision support through scenario analysis.  Because the ecosystem service framework is relatively new, these tools have not had the same level of development as the </w:t>
      </w:r>
      <w:r>
        <w:lastRenderedPageBreak/>
        <w:t>purely biophysical models.  Thus, for the time being, there remain tradeoffs between the two classes of models (</w:t>
      </w:r>
      <w:proofErr w:type="spellStart"/>
      <w:r>
        <w:t>Vigerstol</w:t>
      </w:r>
      <w:proofErr w:type="spellEnd"/>
      <w:r>
        <w:t xml:space="preserve"> and </w:t>
      </w:r>
      <w:proofErr w:type="spellStart"/>
      <w:r>
        <w:t>Aukema</w:t>
      </w:r>
      <w:proofErr w:type="spellEnd"/>
      <w:r>
        <w:t xml:space="preserve"> 2011).   </w:t>
      </w:r>
    </w:p>
    <w:p w:rsidR="004559AB" w:rsidRDefault="004559AB" w:rsidP="004559AB">
      <w:pPr>
        <w:ind w:firstLine="720"/>
      </w:pPr>
      <w:r>
        <w:t xml:space="preserve">While numerous papers have been written using SWAT to assess ecosystem services (Quintero et al 2009; </w:t>
      </w:r>
      <w:proofErr w:type="spellStart"/>
      <w:r>
        <w:t>Rabotyagov</w:t>
      </w:r>
      <w:proofErr w:type="spellEnd"/>
      <w:r>
        <w:t xml:space="preserve"> et al 2010; Hernandez et al 2010; </w:t>
      </w:r>
      <w:proofErr w:type="spellStart"/>
      <w:r>
        <w:t>Bekele</w:t>
      </w:r>
      <w:proofErr w:type="spellEnd"/>
      <w:r>
        <w:t xml:space="preserve"> et al 2013; Norman et al 2013), a full analysis of the pros and cons surrounding the model’s applicability to the field has not yet been done.  The research in this article fills this gap by </w:t>
      </w:r>
      <w:r w:rsidR="00B913F7">
        <w:t>using</w:t>
      </w:r>
      <w:r>
        <w:t xml:space="preserve"> case studies of two sub-basins in Northwest Oregon, USA</w:t>
      </w:r>
      <w:r w:rsidR="00B913F7">
        <w:t xml:space="preserve"> to answer the following research questions:</w:t>
      </w:r>
      <w:r>
        <w:t xml:space="preserve">  </w:t>
      </w:r>
      <w:r w:rsidR="00B913F7">
        <w:t>W</w:t>
      </w:r>
      <w:r>
        <w:t>hat methodologies currently exist to calibrate and validate the SWAT model</w:t>
      </w:r>
      <w:r w:rsidR="00B913F7">
        <w:t>, and how can uncertainty be quantified?</w:t>
      </w:r>
      <w:r>
        <w:t xml:space="preserve"> </w:t>
      </w:r>
      <w:r w:rsidR="00E535B6">
        <w:t xml:space="preserve">How has SWAT been used to assess costs of and tradeoffs between various ecosystem services?  Finally, what are some potential next </w:t>
      </w:r>
      <w:r w:rsidR="0096302E">
        <w:t xml:space="preserve">steps for facilitating widespread use of such </w:t>
      </w:r>
      <w:r w:rsidR="00E535B6">
        <w:t>methodologies?</w:t>
      </w:r>
      <w:r w:rsidR="0096302E">
        <w:t xml:space="preserve"> </w:t>
      </w:r>
    </w:p>
    <w:p w:rsidR="004559AB" w:rsidRDefault="004559AB" w:rsidP="004559AB"/>
    <w:p w:rsidR="004559AB" w:rsidRPr="00695EF4" w:rsidRDefault="004559AB" w:rsidP="00BE3FDF">
      <w:pPr>
        <w:pStyle w:val="Heading1"/>
      </w:pPr>
      <w:r>
        <w:t xml:space="preserve">2.  </w:t>
      </w:r>
      <w:r w:rsidRPr="00695EF4">
        <w:t>Study Site</w:t>
      </w:r>
    </w:p>
    <w:p w:rsidR="004559AB" w:rsidRDefault="004559AB" w:rsidP="004559AB"/>
    <w:p w:rsidR="004559AB" w:rsidRDefault="004559AB" w:rsidP="00BE3FDF">
      <w:pPr>
        <w:pStyle w:val="Heading2"/>
      </w:pPr>
      <w:r w:rsidRPr="00C53CAC">
        <w:t>2.1 Tualatin</w:t>
      </w:r>
    </w:p>
    <w:p w:rsidR="004559AB" w:rsidRPr="00C53CAC" w:rsidRDefault="004559AB" w:rsidP="004559AB">
      <w:pPr>
        <w:spacing w:line="240" w:lineRule="auto"/>
      </w:pPr>
    </w:p>
    <w:p w:rsidR="004559AB" w:rsidRDefault="004559AB" w:rsidP="004559AB">
      <w:pPr>
        <w:spacing w:line="240" w:lineRule="auto"/>
        <w:ind w:firstLine="720"/>
      </w:pPr>
      <w:r w:rsidRPr="00EB1CBD">
        <w:t xml:space="preserve">The </w:t>
      </w:r>
      <w:r>
        <w:t>1,829 km</w:t>
      </w:r>
      <w:r>
        <w:rPr>
          <w:vertAlign w:val="superscript"/>
        </w:rPr>
        <w:t>2</w:t>
      </w:r>
      <w:r>
        <w:t xml:space="preserve"> Tualatin River Basin</w:t>
      </w:r>
      <w:r w:rsidRPr="00EB1CBD">
        <w:t xml:space="preserve"> </w:t>
      </w:r>
      <w:r>
        <w:t xml:space="preserve">roughly shares the borders of Washington County in Northwestern Oregon </w:t>
      </w:r>
      <w:r w:rsidRPr="00EB1CBD">
        <w:t xml:space="preserve">(Fig. </w:t>
      </w:r>
      <w:r>
        <w:t>1</w:t>
      </w:r>
      <w:r w:rsidRPr="00EB1CBD">
        <w:t xml:space="preserve">).  </w:t>
      </w:r>
      <w:r>
        <w:t xml:space="preserve">The basin is bordered by the Coast range to the west, Tualatin Mountains (West Hills) to the north and east, and the </w:t>
      </w:r>
      <w:proofErr w:type="spellStart"/>
      <w:r>
        <w:t>Chehalem</w:t>
      </w:r>
      <w:proofErr w:type="spellEnd"/>
      <w:r>
        <w:t xml:space="preserve"> Mountains to the south.  With the exception of its headwaters which originate in the Coast Range, the Tualatin River is a low-gradient, meandering river which travels 130 km east, before emptying into the Willamette River</w:t>
      </w:r>
      <w:r w:rsidRPr="00EB1CBD">
        <w:t>.  Elevation in the basin ranges from a high of 1,057 m to a low of 17 m</w:t>
      </w:r>
      <w:r>
        <w:t xml:space="preserve"> at the river’s mouth, and has a mean elevation of 195 m</w:t>
      </w:r>
      <w:r w:rsidRPr="00EB1CBD">
        <w:t xml:space="preserve">.  </w:t>
      </w:r>
      <w:r>
        <w:t xml:space="preserve">Soils in the basin formed from weathering of the Columbia River Basalt </w:t>
      </w:r>
      <w:proofErr w:type="gramStart"/>
      <w:r>
        <w:t>Group,</w:t>
      </w:r>
      <w:proofErr w:type="gramEnd"/>
      <w:r>
        <w:t xml:space="preserve"> and deposition of the Willamette Silts by the Missoula Floods during the late Pleistocene.  </w:t>
      </w:r>
      <w:r w:rsidRPr="00EB1CBD">
        <w:t>The region has a modified marine climate, dominated by cool wet winters, and warm dry summers</w:t>
      </w:r>
      <w:r>
        <w:t xml:space="preserve"> (Fig 2)</w:t>
      </w:r>
      <w:r w:rsidRPr="00EB1CBD">
        <w:t>.  In upper elevations, annual precipitation ranges from 1</w:t>
      </w:r>
      <w:r>
        <w:t>,330</w:t>
      </w:r>
      <w:r w:rsidRPr="00EB1CBD">
        <w:t xml:space="preserve"> to </w:t>
      </w:r>
      <w:r>
        <w:t>3,280 m</w:t>
      </w:r>
      <w:r w:rsidRPr="00EB1CBD">
        <w:t xml:space="preserve">m </w:t>
      </w:r>
      <w:r>
        <w:t>and</w:t>
      </w:r>
      <w:r w:rsidRPr="00EB1CBD">
        <w:t xml:space="preserve"> average </w:t>
      </w:r>
      <w:r>
        <w:t xml:space="preserve">daily </w:t>
      </w:r>
      <w:r w:rsidRPr="00EB1CBD">
        <w:t>temperature</w:t>
      </w:r>
      <w:r>
        <w:t>s</w:t>
      </w:r>
      <w:r w:rsidRPr="00EB1CBD">
        <w:t xml:space="preserve"> </w:t>
      </w:r>
      <w:r>
        <w:t xml:space="preserve">range from 4 to 27°C in the summer and -16 to 12°C in the winter. </w:t>
      </w:r>
      <w:r w:rsidRPr="00EB1CBD">
        <w:t xml:space="preserve"> In the valley, </w:t>
      </w:r>
      <w:r>
        <w:t xml:space="preserve">annual </w:t>
      </w:r>
      <w:r w:rsidRPr="00EB1CBD">
        <w:t xml:space="preserve">precipitation ranges from </w:t>
      </w:r>
      <w:r>
        <w:t>740 to 1,850 m</w:t>
      </w:r>
      <w:r w:rsidRPr="00EB1CBD">
        <w:t xml:space="preserve">m, and average </w:t>
      </w:r>
      <w:r>
        <w:t>daily temperatures range from 10 to 31°C in the summer, and -10 to 15°C in the winter</w:t>
      </w:r>
      <w:r w:rsidRPr="00EB1CBD">
        <w:t xml:space="preserve">.  </w:t>
      </w:r>
    </w:p>
    <w:p w:rsidR="004559AB" w:rsidRDefault="004559AB" w:rsidP="004559AB">
      <w:pPr>
        <w:spacing w:line="240" w:lineRule="auto"/>
        <w:ind w:firstLine="720"/>
      </w:pPr>
    </w:p>
    <w:tbl>
      <w:tblPr>
        <w:tblW w:w="6061" w:type="dxa"/>
        <w:jc w:val="center"/>
        <w:tblInd w:w="93" w:type="dxa"/>
        <w:tblLook w:val="04A0" w:firstRow="1" w:lastRow="0" w:firstColumn="1" w:lastColumn="0" w:noHBand="0" w:noVBand="1"/>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4559AB" w:rsidP="00B03679">
            <w:pPr>
              <w:spacing w:line="240" w:lineRule="auto"/>
              <w:rPr>
                <w:rFonts w:ascii="Calibri" w:eastAsia="Times New Roman" w:hAnsi="Calibri" w:cs="Times New Roman"/>
                <w:color w:val="000000"/>
              </w:rPr>
            </w:pPr>
            <w:r w:rsidRPr="00023157">
              <w:rPr>
                <w:rFonts w:ascii="Calibri" w:eastAsia="Times New Roman" w:hAnsi="Calibri" w:cs="Times New Roman"/>
                <w:b/>
                <w:color w:val="000000"/>
              </w:rPr>
              <w:t>Table 1</w:t>
            </w:r>
            <w:r w:rsidRPr="00023157">
              <w:rPr>
                <w:rFonts w:ascii="Calibri" w:eastAsia="Times New Roman" w:hAnsi="Calibri" w:cs="Times New Roman"/>
                <w:color w:val="000000"/>
              </w:rPr>
              <w:t>:  Historic water budget (mm) for the time period 09/30/1994 - 10/22/2010</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1,266</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808</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64</w:t>
            </w:r>
            <w:r>
              <w:rPr>
                <w:rFonts w:ascii="Calibri" w:eastAsia="Times New Roman" w:hAnsi="Calibri" w:cs="Times New Roman"/>
                <w:color w:val="000000"/>
              </w:rPr>
              <w:t>2</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458</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0.64</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w:t>
            </w:r>
            <w:r w:rsidRPr="00491734">
              <w:rPr>
                <w:rFonts w:ascii="Calibri" w:eastAsia="Times New Roman" w:hAnsi="Calibri" w:cs="Times New Roman"/>
                <w:color w:val="000000"/>
              </w:rPr>
              <w:t>5</w:t>
            </w:r>
            <w:r>
              <w:rPr>
                <w:rFonts w:ascii="Calibri" w:eastAsia="Times New Roman" w:hAnsi="Calibri" w:cs="Times New Roman"/>
                <w:color w:val="000000"/>
              </w:rPr>
              <w:t>85</w:t>
            </w:r>
          </w:p>
        </w:tc>
        <w:tc>
          <w:tcPr>
            <w:tcW w:w="914"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865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655</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720</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0.55</w:t>
            </w:r>
          </w:p>
        </w:tc>
      </w:tr>
    </w:tbl>
    <w:p w:rsidR="004559AB" w:rsidRPr="00EB1CBD" w:rsidRDefault="004559AB" w:rsidP="004559AB">
      <w:pPr>
        <w:spacing w:line="240" w:lineRule="auto"/>
        <w:ind w:firstLine="720"/>
      </w:pPr>
    </w:p>
    <w:p w:rsidR="004559AB" w:rsidRDefault="004559AB" w:rsidP="004559AB">
      <w:pPr>
        <w:spacing w:line="240" w:lineRule="auto"/>
        <w:ind w:firstLine="720"/>
      </w:pPr>
      <w:r w:rsidRPr="00EB1CBD">
        <w:t xml:space="preserve">Stream flow is largely precipitation dominated with peak flows occurring during the winter wet season, </w:t>
      </w:r>
      <w:r>
        <w:t>October</w:t>
      </w:r>
      <w:r w:rsidRPr="00EB1CBD">
        <w:t xml:space="preserve"> through </w:t>
      </w:r>
      <w:r>
        <w:t>May</w:t>
      </w:r>
      <w:r w:rsidRPr="00EB1CBD">
        <w:t>, and low flows occurring during the summer dry months, Ju</w:t>
      </w:r>
      <w:r>
        <w:t>ne</w:t>
      </w:r>
      <w:r w:rsidRPr="00EB1CBD">
        <w:t xml:space="preserve"> through </w:t>
      </w:r>
      <w:r>
        <w:t>August (Fig 2)</w:t>
      </w:r>
      <w:r w:rsidRPr="00EB1CBD">
        <w:t xml:space="preserve">.   </w:t>
      </w:r>
      <w:r>
        <w:t xml:space="preserve">The basin has a runoff ratio of 0.64 (Table 1).  Two large dams alter the hydrology of the basin.  Scoggins Dam on Scoggins Creek </w:t>
      </w:r>
      <w:r w:rsidRPr="00EB1CBD">
        <w:t>provides supplemental fl</w:t>
      </w:r>
      <w:r>
        <w:t xml:space="preserve">ows of around 211 </w:t>
      </w:r>
      <w:proofErr w:type="spellStart"/>
      <w:r>
        <w:t>cfs</w:t>
      </w:r>
      <w:proofErr w:type="spellEnd"/>
      <w:r>
        <w:t xml:space="preserve"> in the summertime as well as </w:t>
      </w:r>
      <w:r w:rsidRPr="00EB1CBD">
        <w:t>recreational opportunities</w:t>
      </w:r>
      <w:r>
        <w:t xml:space="preserve"> for local residents.  </w:t>
      </w:r>
      <w:r w:rsidRPr="00EB1CBD">
        <w:t xml:space="preserve">Barney reservoir provides additional flows </w:t>
      </w:r>
      <w:r>
        <w:t xml:space="preserve">of around 14 </w:t>
      </w:r>
      <w:proofErr w:type="spellStart"/>
      <w:r>
        <w:t>cfs</w:t>
      </w:r>
      <w:proofErr w:type="spellEnd"/>
      <w:r>
        <w:t xml:space="preserve"> </w:t>
      </w:r>
      <w:r w:rsidRPr="00EB1CBD">
        <w:t xml:space="preserve">as an inter-basin water transfer from </w:t>
      </w:r>
      <w:r>
        <w:t>the Trask River</w:t>
      </w:r>
      <w:r w:rsidRPr="00EB1CBD">
        <w:t xml:space="preserve"> to the upstream portion of the Tualatin.  </w:t>
      </w:r>
      <w:r>
        <w:t xml:space="preserve">Clean Water Services (CWS) operates four waste-water treatment plants (WWTPs) located along the main stem of the Tualatin River.  The two downstream plants, Durham and Rock Creek, process the majority of effluent, while the two upstream plants, Hillsboro and Forest Grove, maintain reserve capacity for </w:t>
      </w:r>
      <w:r w:rsidR="00E535B6">
        <w:t>anticipated</w:t>
      </w:r>
      <w:r>
        <w:t xml:space="preserve"> population growth.  </w:t>
      </w:r>
    </w:p>
    <w:p w:rsidR="004559AB" w:rsidRPr="00EB1CBD" w:rsidRDefault="004559AB" w:rsidP="004559AB">
      <w:pPr>
        <w:spacing w:line="240" w:lineRule="auto"/>
        <w:ind w:firstLine="720"/>
      </w:pPr>
      <w:r>
        <w:lastRenderedPageBreak/>
        <w:t>Agricultural land dominates the basin.  Approximately 49% of land in the basin is cultivated, while forested lands comprise 23%, and 14% has been developed.  The majority of the basin (93%) is privately owned.  Of public lands, 5% is owned by the State of Oregon and 2% is owned by the Bureau of Land Management (ODEQ 2001).</w:t>
      </w:r>
    </w:p>
    <w:p w:rsidR="00D25BD5" w:rsidRDefault="00D25BD5" w:rsidP="00D25BD5">
      <w:pPr>
        <w:spacing w:line="240" w:lineRule="auto"/>
        <w:jc w:val="center"/>
      </w:pPr>
      <w:r>
        <w:rPr>
          <w:noProof/>
        </w:rPr>
        <w:drawing>
          <wp:inline distT="0" distB="0" distL="0" distR="0" wp14:anchorId="2BBFF065" wp14:editId="7D762BDA">
            <wp:extent cx="4572000" cy="4572000"/>
            <wp:effectExtent l="0" t="0" r="0" b="0"/>
            <wp:docPr id="2" name="Picture 2" descr="I:\Research\Samba\H2Oeco\MikeP\RESULTS\STUDY_SITE_CHARACTERISTICS\StudySite_Graticule_Simpl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TUDY_SITE_CHARACTERISTICS\StudySite_Graticule_SimpleV.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4559AB" w:rsidRDefault="00D25BD5" w:rsidP="004559AB">
      <w:pPr>
        <w:spacing w:line="240" w:lineRule="auto"/>
        <w:ind w:left="1440" w:right="1440"/>
        <w:jc w:val="center"/>
      </w:pPr>
      <w:r>
        <w:rPr>
          <w:b/>
        </w:rPr>
        <w:t>Figure</w:t>
      </w:r>
      <w:r w:rsidR="004559AB" w:rsidRPr="00403657">
        <w:rPr>
          <w:b/>
        </w:rPr>
        <w:t xml:space="preserve"> </w:t>
      </w:r>
      <w:r w:rsidR="004559AB">
        <w:rPr>
          <w:b/>
        </w:rPr>
        <w:t>1</w:t>
      </w:r>
      <w:r w:rsidR="004559AB" w:rsidRPr="00403657">
        <w:rPr>
          <w:b/>
        </w:rPr>
        <w:t>:</w:t>
      </w:r>
      <w:r w:rsidR="004559AB">
        <w:t xml:space="preserve">  Map of the Tual</w:t>
      </w:r>
      <w:r w:rsidR="00135AE8">
        <w:t xml:space="preserve">atin and Yamhill River basins.  </w:t>
      </w:r>
      <w:r w:rsidR="00293826">
        <w:t xml:space="preserve">Gage numbers are referenced in </w:t>
      </w:r>
      <w:r w:rsidR="00135AE8">
        <w:t>Table 2.</w:t>
      </w:r>
    </w:p>
    <w:p w:rsidR="004559AB" w:rsidRDefault="004559AB" w:rsidP="004559AB">
      <w:pPr>
        <w:spacing w:line="240" w:lineRule="auto"/>
        <w:jc w:val="center"/>
      </w:pPr>
    </w:p>
    <w:tbl>
      <w:tblPr>
        <w:tblW w:w="8361" w:type="dxa"/>
        <w:jc w:val="center"/>
        <w:tblInd w:w="93" w:type="dxa"/>
        <w:tblLook w:val="04A0" w:firstRow="1" w:lastRow="0" w:firstColumn="1" w:lastColumn="0" w:noHBand="0" w:noVBand="1"/>
      </w:tblPr>
      <w:tblGrid>
        <w:gridCol w:w="964"/>
        <w:gridCol w:w="2829"/>
        <w:gridCol w:w="1409"/>
        <w:gridCol w:w="1432"/>
        <w:gridCol w:w="1727"/>
      </w:tblGrid>
      <w:tr w:rsidR="00665F8B" w:rsidRPr="00D25BD5" w:rsidTr="009E4532">
        <w:trPr>
          <w:trHeight w:val="548"/>
          <w:jc w:val="center"/>
        </w:trPr>
        <w:tc>
          <w:tcPr>
            <w:tcW w:w="8361" w:type="dxa"/>
            <w:gridSpan w:val="5"/>
            <w:tcBorders>
              <w:left w:val="nil"/>
              <w:bottom w:val="nil"/>
              <w:right w:val="nil"/>
            </w:tcBorders>
          </w:tcPr>
          <w:p w:rsidR="00665F8B" w:rsidRPr="00D25BD5" w:rsidRDefault="00665F8B" w:rsidP="00D25BD5">
            <w:pPr>
              <w:spacing w:line="240" w:lineRule="auto"/>
              <w:rPr>
                <w:rFonts w:ascii="Calibri" w:eastAsia="Times New Roman" w:hAnsi="Calibri" w:cs="Times New Roman"/>
                <w:color w:val="000000"/>
              </w:rPr>
            </w:pPr>
            <w:r w:rsidRPr="00D25BD5">
              <w:rPr>
                <w:rFonts w:ascii="Calibri" w:eastAsia="Times New Roman" w:hAnsi="Calibri" w:cs="Times New Roman"/>
                <w:b/>
                <w:bCs/>
                <w:color w:val="000000"/>
              </w:rPr>
              <w:t>Table 2:</w:t>
            </w:r>
            <w:r w:rsidRPr="00D25BD5">
              <w:rPr>
                <w:rFonts w:ascii="Calibri" w:eastAsia="Times New Roman" w:hAnsi="Calibri" w:cs="Times New Roman"/>
                <w:color w:val="000000"/>
              </w:rPr>
              <w:t xml:space="preserve"> Gages used for calibration.  F = Flow, TSS = Total Suspended Solids, TN = Total Nitrogen, TP = Total Phosphorus</w:t>
            </w:r>
            <w:r>
              <w:rPr>
                <w:rFonts w:ascii="Calibri" w:eastAsia="Times New Roman" w:hAnsi="Calibri" w:cs="Times New Roman"/>
                <w:color w:val="000000"/>
              </w:rPr>
              <w:t>.</w:t>
            </w:r>
          </w:p>
        </w:tc>
      </w:tr>
      <w:tr w:rsidR="00135AE8" w:rsidRPr="00D25BD5" w:rsidTr="00293826">
        <w:trPr>
          <w:trHeight w:val="315"/>
          <w:jc w:val="center"/>
        </w:trPr>
        <w:tc>
          <w:tcPr>
            <w:tcW w:w="964"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293826">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Gage #</w:t>
            </w:r>
          </w:p>
        </w:tc>
        <w:tc>
          <w:tcPr>
            <w:tcW w:w="2829" w:type="dxa"/>
            <w:tcBorders>
              <w:top w:val="single" w:sz="4" w:space="0" w:color="auto"/>
              <w:left w:val="nil"/>
              <w:bottom w:val="single" w:sz="8" w:space="0" w:color="auto"/>
              <w:right w:val="nil"/>
            </w:tcBorders>
            <w:vAlign w:val="center"/>
          </w:tcPr>
          <w:p w:rsidR="00135AE8" w:rsidRPr="00D25BD5" w:rsidRDefault="00135AE8" w:rsidP="00293826">
            <w:pPr>
              <w:spacing w:line="240" w:lineRule="auto"/>
              <w:jc w:val="center"/>
              <w:rPr>
                <w:rFonts w:ascii="Calibri" w:eastAsia="Times New Roman" w:hAnsi="Calibri" w:cs="Times New Roman"/>
                <w:b/>
                <w:bCs/>
                <w:i/>
                <w:iCs/>
                <w:color w:val="000000"/>
              </w:rPr>
            </w:pPr>
            <w:r>
              <w:rPr>
                <w:rFonts w:ascii="Calibri" w:eastAsia="Times New Roman" w:hAnsi="Calibri" w:cs="Times New Roman"/>
                <w:b/>
                <w:bCs/>
                <w:i/>
                <w:iCs/>
                <w:color w:val="000000"/>
              </w:rPr>
              <w:t>Name</w:t>
            </w:r>
          </w:p>
        </w:tc>
        <w:tc>
          <w:tcPr>
            <w:tcW w:w="1409"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293826">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Organization</w:t>
            </w:r>
          </w:p>
        </w:tc>
        <w:tc>
          <w:tcPr>
            <w:tcW w:w="1432"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293826">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ID #</w:t>
            </w:r>
          </w:p>
        </w:tc>
        <w:tc>
          <w:tcPr>
            <w:tcW w:w="1727" w:type="dxa"/>
            <w:tcBorders>
              <w:top w:val="single" w:sz="4" w:space="0" w:color="auto"/>
              <w:left w:val="nil"/>
              <w:bottom w:val="single" w:sz="8" w:space="0" w:color="auto"/>
              <w:right w:val="nil"/>
            </w:tcBorders>
            <w:shd w:val="clear" w:color="auto" w:fill="auto"/>
            <w:noWrap/>
            <w:vAlign w:val="center"/>
            <w:hideMark/>
          </w:tcPr>
          <w:p w:rsidR="00135AE8" w:rsidRPr="00D25BD5" w:rsidRDefault="00135AE8" w:rsidP="00293826">
            <w:pPr>
              <w:spacing w:line="240" w:lineRule="auto"/>
              <w:jc w:val="center"/>
              <w:rPr>
                <w:rFonts w:ascii="Calibri" w:eastAsia="Times New Roman" w:hAnsi="Calibri" w:cs="Times New Roman"/>
                <w:b/>
                <w:bCs/>
                <w:i/>
                <w:iCs/>
                <w:color w:val="000000"/>
              </w:rPr>
            </w:pPr>
            <w:r w:rsidRPr="00D25BD5">
              <w:rPr>
                <w:rFonts w:ascii="Calibri" w:eastAsia="Times New Roman" w:hAnsi="Calibri" w:cs="Times New Roman"/>
                <w:b/>
                <w:bCs/>
                <w:i/>
                <w:iCs/>
                <w:color w:val="000000"/>
              </w:rPr>
              <w:t>Constituents</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1</w:t>
            </w:r>
          </w:p>
        </w:tc>
        <w:tc>
          <w:tcPr>
            <w:tcW w:w="2829" w:type="dxa"/>
            <w:tcBorders>
              <w:top w:val="nil"/>
              <w:left w:val="nil"/>
              <w:bottom w:val="nil"/>
              <w:right w:val="nil"/>
            </w:tcBorders>
          </w:tcPr>
          <w:p w:rsidR="00135AE8" w:rsidRPr="00135AE8" w:rsidRDefault="00135AE8" w:rsidP="00D25BD5">
            <w:pPr>
              <w:spacing w:line="240" w:lineRule="auto"/>
              <w:jc w:val="center"/>
              <w:rPr>
                <w:rFonts w:eastAsia="Times New Roman" w:cs="Times New Roman"/>
                <w:color w:val="000000"/>
              </w:rPr>
            </w:pPr>
            <w:r w:rsidRPr="00135AE8">
              <w:t>Tualatin River at Dilley</w:t>
            </w:r>
          </w:p>
        </w:tc>
        <w:tc>
          <w:tcPr>
            <w:tcW w:w="1409"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14203500</w:t>
            </w:r>
          </w:p>
        </w:tc>
        <w:tc>
          <w:tcPr>
            <w:tcW w:w="1727"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2</w:t>
            </w:r>
          </w:p>
        </w:tc>
        <w:tc>
          <w:tcPr>
            <w:tcW w:w="2829" w:type="dxa"/>
            <w:tcBorders>
              <w:top w:val="nil"/>
              <w:left w:val="nil"/>
              <w:bottom w:val="nil"/>
              <w:right w:val="nil"/>
            </w:tcBorders>
          </w:tcPr>
          <w:p w:rsidR="00135AE8" w:rsidRPr="00135AE8" w:rsidRDefault="00135AE8" w:rsidP="00D25BD5">
            <w:pPr>
              <w:spacing w:line="240" w:lineRule="auto"/>
              <w:jc w:val="center"/>
              <w:rPr>
                <w:rFonts w:eastAsia="Times New Roman" w:cs="Times New Roman"/>
                <w:color w:val="000000"/>
              </w:rPr>
            </w:pPr>
            <w:proofErr w:type="spellStart"/>
            <w:r w:rsidRPr="00135AE8">
              <w:t>Fanno</w:t>
            </w:r>
            <w:proofErr w:type="spellEnd"/>
            <w:r w:rsidRPr="00135AE8">
              <w:t xml:space="preserve"> Creek at Durham</w:t>
            </w:r>
          </w:p>
        </w:tc>
        <w:tc>
          <w:tcPr>
            <w:tcW w:w="1409"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14206950</w:t>
            </w:r>
          </w:p>
        </w:tc>
        <w:tc>
          <w:tcPr>
            <w:tcW w:w="1727"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3</w:t>
            </w:r>
          </w:p>
        </w:tc>
        <w:tc>
          <w:tcPr>
            <w:tcW w:w="2829" w:type="dxa"/>
            <w:tcBorders>
              <w:top w:val="nil"/>
              <w:left w:val="nil"/>
              <w:bottom w:val="nil"/>
              <w:right w:val="nil"/>
            </w:tcBorders>
          </w:tcPr>
          <w:p w:rsidR="00135AE8" w:rsidRPr="00135AE8" w:rsidRDefault="00135AE8" w:rsidP="00D25BD5">
            <w:pPr>
              <w:spacing w:line="240" w:lineRule="auto"/>
              <w:jc w:val="center"/>
              <w:rPr>
                <w:rFonts w:eastAsia="Times New Roman" w:cs="Times New Roman"/>
                <w:color w:val="000000"/>
              </w:rPr>
            </w:pPr>
            <w:r w:rsidRPr="00135AE8">
              <w:t>Tualatin River at West Linn</w:t>
            </w:r>
          </w:p>
        </w:tc>
        <w:tc>
          <w:tcPr>
            <w:tcW w:w="1409"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USGS/CWS</w:t>
            </w:r>
          </w:p>
        </w:tc>
        <w:tc>
          <w:tcPr>
            <w:tcW w:w="1432"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14207500</w:t>
            </w:r>
          </w:p>
        </w:tc>
        <w:tc>
          <w:tcPr>
            <w:tcW w:w="1727"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 TSS, TN, TP</w:t>
            </w:r>
          </w:p>
        </w:tc>
      </w:tr>
      <w:tr w:rsidR="00135AE8" w:rsidRPr="00D25BD5" w:rsidTr="00665F8B">
        <w:trPr>
          <w:trHeight w:val="300"/>
          <w:jc w:val="center"/>
        </w:trPr>
        <w:tc>
          <w:tcPr>
            <w:tcW w:w="964"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4</w:t>
            </w:r>
          </w:p>
        </w:tc>
        <w:tc>
          <w:tcPr>
            <w:tcW w:w="2829" w:type="dxa"/>
            <w:tcBorders>
              <w:top w:val="nil"/>
              <w:left w:val="nil"/>
              <w:bottom w:val="nil"/>
              <w:right w:val="nil"/>
            </w:tcBorders>
          </w:tcPr>
          <w:p w:rsidR="00135AE8" w:rsidRPr="00135AE8" w:rsidRDefault="00135AE8" w:rsidP="00D25BD5">
            <w:pPr>
              <w:spacing w:line="240" w:lineRule="auto"/>
              <w:jc w:val="center"/>
              <w:rPr>
                <w:rFonts w:eastAsia="Times New Roman" w:cs="Times New Roman"/>
                <w:color w:val="000000"/>
              </w:rPr>
            </w:pPr>
            <w:r w:rsidRPr="00135AE8">
              <w:rPr>
                <w:rFonts w:eastAsia="Times New Roman" w:cs="Times New Roman"/>
                <w:color w:val="000000"/>
              </w:rPr>
              <w:t>South Yamhill River at McMinnville</w:t>
            </w:r>
          </w:p>
        </w:tc>
        <w:tc>
          <w:tcPr>
            <w:tcW w:w="1409"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USGS</w:t>
            </w:r>
          </w:p>
        </w:tc>
        <w:tc>
          <w:tcPr>
            <w:tcW w:w="1432"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14194150</w:t>
            </w:r>
          </w:p>
        </w:tc>
        <w:tc>
          <w:tcPr>
            <w:tcW w:w="1727" w:type="dxa"/>
            <w:tcBorders>
              <w:top w:val="nil"/>
              <w:left w:val="nil"/>
              <w:bottom w:val="nil"/>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F</w:t>
            </w:r>
          </w:p>
        </w:tc>
      </w:tr>
      <w:tr w:rsidR="00135AE8" w:rsidRPr="00D25BD5" w:rsidTr="00665F8B">
        <w:trPr>
          <w:trHeight w:val="300"/>
          <w:jc w:val="center"/>
        </w:trPr>
        <w:tc>
          <w:tcPr>
            <w:tcW w:w="964" w:type="dxa"/>
            <w:tcBorders>
              <w:top w:val="nil"/>
              <w:left w:val="nil"/>
              <w:bottom w:val="single" w:sz="4" w:space="0" w:color="auto"/>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b/>
                <w:bCs/>
                <w:color w:val="000000"/>
              </w:rPr>
            </w:pPr>
            <w:r w:rsidRPr="00D25BD5">
              <w:rPr>
                <w:rFonts w:ascii="Calibri" w:eastAsia="Times New Roman" w:hAnsi="Calibri" w:cs="Times New Roman"/>
                <w:b/>
                <w:bCs/>
                <w:color w:val="000000"/>
              </w:rPr>
              <w:t>5</w:t>
            </w:r>
          </w:p>
        </w:tc>
        <w:tc>
          <w:tcPr>
            <w:tcW w:w="2829" w:type="dxa"/>
            <w:tcBorders>
              <w:top w:val="nil"/>
              <w:left w:val="nil"/>
              <w:bottom w:val="single" w:sz="4" w:space="0" w:color="auto"/>
              <w:right w:val="nil"/>
            </w:tcBorders>
          </w:tcPr>
          <w:p w:rsidR="00135AE8" w:rsidRPr="00135AE8" w:rsidRDefault="00135AE8" w:rsidP="00D25BD5">
            <w:pPr>
              <w:spacing w:line="240" w:lineRule="auto"/>
              <w:jc w:val="center"/>
              <w:rPr>
                <w:rFonts w:eastAsia="Times New Roman" w:cs="Times New Roman"/>
                <w:color w:val="000000"/>
              </w:rPr>
            </w:pPr>
            <w:r w:rsidRPr="00135AE8">
              <w:t>Yamhill Water Quality Station</w:t>
            </w:r>
          </w:p>
        </w:tc>
        <w:tc>
          <w:tcPr>
            <w:tcW w:w="1409" w:type="dxa"/>
            <w:tcBorders>
              <w:top w:val="nil"/>
              <w:left w:val="nil"/>
              <w:bottom w:val="single" w:sz="4" w:space="0" w:color="auto"/>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DEQ</w:t>
            </w:r>
          </w:p>
        </w:tc>
        <w:tc>
          <w:tcPr>
            <w:tcW w:w="1432" w:type="dxa"/>
            <w:tcBorders>
              <w:top w:val="nil"/>
              <w:left w:val="nil"/>
              <w:bottom w:val="single" w:sz="4" w:space="0" w:color="auto"/>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10363</w:t>
            </w:r>
          </w:p>
        </w:tc>
        <w:tc>
          <w:tcPr>
            <w:tcW w:w="1727" w:type="dxa"/>
            <w:tcBorders>
              <w:top w:val="nil"/>
              <w:left w:val="nil"/>
              <w:bottom w:val="single" w:sz="4" w:space="0" w:color="auto"/>
              <w:right w:val="nil"/>
            </w:tcBorders>
            <w:shd w:val="clear" w:color="auto" w:fill="auto"/>
            <w:noWrap/>
            <w:vAlign w:val="center"/>
            <w:hideMark/>
          </w:tcPr>
          <w:p w:rsidR="00135AE8" w:rsidRPr="00D25BD5" w:rsidRDefault="00135AE8" w:rsidP="00D25BD5">
            <w:pPr>
              <w:spacing w:line="240" w:lineRule="auto"/>
              <w:jc w:val="center"/>
              <w:rPr>
                <w:rFonts w:ascii="Calibri" w:eastAsia="Times New Roman" w:hAnsi="Calibri" w:cs="Times New Roman"/>
                <w:color w:val="000000"/>
              </w:rPr>
            </w:pPr>
            <w:r w:rsidRPr="00D25BD5">
              <w:rPr>
                <w:rFonts w:ascii="Calibri" w:eastAsia="Times New Roman" w:hAnsi="Calibri" w:cs="Times New Roman"/>
                <w:color w:val="000000"/>
              </w:rPr>
              <w:t>S, TN, TP</w:t>
            </w:r>
          </w:p>
        </w:tc>
      </w:tr>
    </w:tbl>
    <w:p w:rsidR="00D25BD5" w:rsidRDefault="00D25BD5" w:rsidP="004559AB">
      <w:pPr>
        <w:spacing w:line="240" w:lineRule="auto"/>
        <w:jc w:val="center"/>
      </w:pPr>
    </w:p>
    <w:p w:rsidR="00D25BD5" w:rsidRDefault="00D25BD5" w:rsidP="004559AB">
      <w:pPr>
        <w:spacing w:line="240" w:lineRule="auto"/>
        <w:jc w:val="center"/>
      </w:pPr>
    </w:p>
    <w:p w:rsidR="004559AB" w:rsidRDefault="004559AB" w:rsidP="004559AB">
      <w:pPr>
        <w:spacing w:line="240" w:lineRule="auto"/>
        <w:ind w:firstLine="720"/>
        <w:rPr>
          <w:rFonts w:cs="MS Shell Dlg 2"/>
        </w:rPr>
      </w:pPr>
      <w:r w:rsidRPr="00EB1CBD">
        <w:lastRenderedPageBreak/>
        <w:t xml:space="preserve">Due to agriculture, timber harvesting, </w:t>
      </w:r>
      <w:r>
        <w:t xml:space="preserve">and </w:t>
      </w:r>
      <w:r w:rsidRPr="00EB1CBD">
        <w:t>rapid urbanization</w:t>
      </w:r>
      <w:r>
        <w:t xml:space="preserve"> in the mid-20</w:t>
      </w:r>
      <w:r w:rsidRPr="00016501">
        <w:rPr>
          <w:vertAlign w:val="superscript"/>
        </w:rPr>
        <w:t>th</w:t>
      </w:r>
      <w:r>
        <w:t xml:space="preserve"> century</w:t>
      </w:r>
      <w:r w:rsidRPr="00EB1CBD">
        <w:t xml:space="preserve">, the basin </w:t>
      </w:r>
      <w:r>
        <w:t>suffered from</w:t>
      </w:r>
      <w:r w:rsidRPr="00EB1CBD">
        <w:t xml:space="preserve"> poor water quality.  In 2001, EPA approved the first TMDLs for Temperature,</w:t>
      </w:r>
      <w:r>
        <w:t xml:space="preserve"> Bacteria, Dissolved Oxygen</w:t>
      </w:r>
      <w:r w:rsidRPr="00EB1CBD">
        <w:t xml:space="preserve">, pH, and Phosphorus (ODEQ 2001).  Changes have been made to the TMDLs over the years as needs have arisen, and water quality has improved.  </w:t>
      </w:r>
      <w:r>
        <w:t>However, some rapidly urbanizing areas of the basin still experience water quality problems (</w:t>
      </w:r>
      <w:proofErr w:type="spellStart"/>
      <w:r>
        <w:t>Boeder</w:t>
      </w:r>
      <w:proofErr w:type="spellEnd"/>
      <w:r>
        <w:t xml:space="preserve"> and Chang 2008).  </w:t>
      </w:r>
      <w:r w:rsidRPr="00EB1CBD">
        <w:t xml:space="preserve">CWS is the designated management agency in the basin, and is in charge of monitoring and implementing water quality management plans.  </w:t>
      </w:r>
      <w:r w:rsidRPr="00EB1CBD">
        <w:rPr>
          <w:rFonts w:cs="MS Shell Dlg 2"/>
        </w:rPr>
        <w:t>Climate change studies in the region indicate that rising air temperatures will accentuate the seasonal range of st</w:t>
      </w:r>
      <w:r>
        <w:rPr>
          <w:rFonts w:cs="MS Shell Dlg 2"/>
        </w:rPr>
        <w:t xml:space="preserve">ream flows, with flows expected to </w:t>
      </w:r>
      <w:r w:rsidRPr="00EB1CBD">
        <w:rPr>
          <w:rFonts w:cs="MS Shell Dlg 2"/>
        </w:rPr>
        <w:t xml:space="preserve">increase </w:t>
      </w:r>
      <w:r>
        <w:rPr>
          <w:rFonts w:cs="MS Shell Dlg 2"/>
        </w:rPr>
        <w:t xml:space="preserve">in the winter and </w:t>
      </w:r>
      <w:r w:rsidRPr="00EB1CBD">
        <w:rPr>
          <w:rFonts w:cs="MS Shell Dlg 2"/>
        </w:rPr>
        <w:t xml:space="preserve">decrease </w:t>
      </w:r>
      <w:r>
        <w:rPr>
          <w:rFonts w:cs="MS Shell Dlg 2"/>
        </w:rPr>
        <w:t xml:space="preserve">in the summer </w:t>
      </w:r>
      <w:r w:rsidRPr="00EB1CBD">
        <w:rPr>
          <w:rFonts w:cs="MS Shell Dlg 2"/>
        </w:rPr>
        <w:t xml:space="preserve">(Hamlet and </w:t>
      </w:r>
      <w:proofErr w:type="spellStart"/>
      <w:r w:rsidRPr="00EB1CBD">
        <w:rPr>
          <w:rFonts w:cs="MS Shell Dlg 2"/>
        </w:rPr>
        <w:t>L</w:t>
      </w:r>
      <w:r>
        <w:rPr>
          <w:rFonts w:cs="MS Shell Dlg 2"/>
        </w:rPr>
        <w:t>ettenmaier</w:t>
      </w:r>
      <w:proofErr w:type="spellEnd"/>
      <w:r>
        <w:rPr>
          <w:rFonts w:cs="MS Shell Dlg 2"/>
        </w:rPr>
        <w:t xml:space="preserve"> 1999; </w:t>
      </w:r>
      <w:proofErr w:type="spellStart"/>
      <w:r>
        <w:rPr>
          <w:rFonts w:cs="MS Shell Dlg 2"/>
        </w:rPr>
        <w:t>Franczyk</w:t>
      </w:r>
      <w:proofErr w:type="spellEnd"/>
      <w:r>
        <w:rPr>
          <w:rFonts w:cs="MS Shell Dlg 2"/>
        </w:rPr>
        <w:t xml:space="preserve"> and Chang 2009; Chang and Jones 2010;</w:t>
      </w:r>
      <w:r w:rsidRPr="00EB1CBD">
        <w:rPr>
          <w:rFonts w:cs="MS Shell Dlg 2"/>
        </w:rPr>
        <w:t xml:space="preserve"> </w:t>
      </w:r>
      <w:proofErr w:type="spellStart"/>
      <w:r w:rsidRPr="00EB1CBD">
        <w:rPr>
          <w:rFonts w:cs="MS Shell Dlg 2"/>
        </w:rPr>
        <w:t>Praskievicz</w:t>
      </w:r>
      <w:proofErr w:type="spellEnd"/>
      <w:r w:rsidRPr="00EB1CBD">
        <w:rPr>
          <w:rFonts w:cs="MS Shell Dlg 2"/>
        </w:rPr>
        <w:t xml:space="preserve"> and Chang 2011).  </w:t>
      </w:r>
    </w:p>
    <w:p w:rsidR="00E978DF" w:rsidRDefault="00E978DF" w:rsidP="004559AB">
      <w:pPr>
        <w:spacing w:line="240" w:lineRule="auto"/>
        <w:ind w:firstLine="720"/>
        <w:rPr>
          <w:rFonts w:cs="MS Shell Dlg 2"/>
        </w:rPr>
      </w:pPr>
    </w:p>
    <w:p w:rsidR="004559AB" w:rsidRDefault="00FC362F" w:rsidP="00E978DF">
      <w:pPr>
        <w:spacing w:line="240" w:lineRule="auto"/>
        <w:jc w:val="center"/>
        <w:rPr>
          <w:rFonts w:cs="MS Shell Dlg 2"/>
        </w:rPr>
      </w:pPr>
      <w:r>
        <w:rPr>
          <w:rFonts w:cs="MS Shell Dlg 2"/>
          <w:noProof/>
        </w:rPr>
        <w:drawing>
          <wp:inline distT="0" distB="0" distL="0" distR="0">
            <wp:extent cx="5238750" cy="2619375"/>
            <wp:effectExtent l="0" t="0" r="0" b="9525"/>
            <wp:docPr id="21" name="Picture 21" descr="I:\Research\Samba\H2Oeco\MikeP\RESULTS\STUDY_SITE_CHARACTERISTICS\Temperature_Precip_Graph_Processing\Tualatin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esearch\Samba\H2Oeco\MikeP\RESULTS\STUDY_SITE_CHARACTERISTICS\Temperature_Precip_Graph_Processing\Tualatin_hydrolog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FC362F" w:rsidP="00E978DF">
      <w:pPr>
        <w:spacing w:line="240" w:lineRule="auto"/>
        <w:jc w:val="center"/>
      </w:pPr>
      <w:r>
        <w:rPr>
          <w:noProof/>
        </w:rPr>
        <w:drawing>
          <wp:inline distT="0" distB="0" distL="0" distR="0">
            <wp:extent cx="5238750" cy="2619375"/>
            <wp:effectExtent l="0" t="0" r="0" b="9525"/>
            <wp:docPr id="22" name="Picture 22" descr="I:\Research\Samba\H2Oeco\MikeP\RESULTS\STUDY_SITE_CHARACTERISTICS\Temperature_Precip_Graph_Processing\Yamhill_hydr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esearch\Samba\H2Oeco\MikeP\RESULTS\STUDY_SITE_CHARACTERISTICS\Temperature_Precip_Graph_Processing\Yamhill_hydrology.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2619375"/>
                    </a:xfrm>
                    <a:prstGeom prst="rect">
                      <a:avLst/>
                    </a:prstGeom>
                    <a:noFill/>
                    <a:ln>
                      <a:noFill/>
                    </a:ln>
                  </pic:spPr>
                </pic:pic>
              </a:graphicData>
            </a:graphic>
          </wp:inline>
        </w:drawing>
      </w:r>
    </w:p>
    <w:p w:rsidR="004559AB" w:rsidRDefault="004559AB" w:rsidP="004559AB">
      <w:pPr>
        <w:spacing w:line="240" w:lineRule="auto"/>
        <w:jc w:val="center"/>
      </w:pPr>
      <w:r w:rsidRPr="0038369A">
        <w:rPr>
          <w:b/>
        </w:rPr>
        <w:t>Fig</w:t>
      </w:r>
      <w:r w:rsidR="00EE2C5B">
        <w:rPr>
          <w:b/>
        </w:rPr>
        <w:t>ure</w:t>
      </w:r>
      <w:r w:rsidRPr="0038369A">
        <w:rPr>
          <w:b/>
        </w:rPr>
        <w:t xml:space="preserve"> </w:t>
      </w:r>
      <w:r>
        <w:rPr>
          <w:b/>
        </w:rPr>
        <w:t>2</w:t>
      </w:r>
      <w:r w:rsidRPr="0038369A">
        <w:rPr>
          <w:b/>
        </w:rPr>
        <w:t>:</w:t>
      </w:r>
      <w:r>
        <w:t xml:space="preserve">  Climate in the Tualatin and Yamhill sub-basins</w:t>
      </w:r>
    </w:p>
    <w:p w:rsidR="004559AB" w:rsidRDefault="004559AB" w:rsidP="004559AB">
      <w:pPr>
        <w:spacing w:line="240" w:lineRule="auto"/>
        <w:ind w:firstLine="720"/>
        <w:rPr>
          <w:rFonts w:cs="MS Shell Dlg 2"/>
        </w:rPr>
      </w:pPr>
    </w:p>
    <w:p w:rsidR="004559AB" w:rsidRDefault="004559AB" w:rsidP="004559AB">
      <w:pPr>
        <w:spacing w:line="240" w:lineRule="auto"/>
        <w:rPr>
          <w:rFonts w:cs="MS Shell Dlg 2"/>
        </w:rPr>
      </w:pPr>
      <w:r>
        <w:rPr>
          <w:rFonts w:cs="MS Shell Dlg 2"/>
        </w:rPr>
        <w:t>2.2 Yamhill</w:t>
      </w:r>
    </w:p>
    <w:p w:rsidR="004559AB" w:rsidRPr="00456626" w:rsidRDefault="004559AB" w:rsidP="004559AB">
      <w:pPr>
        <w:spacing w:line="240" w:lineRule="auto"/>
        <w:rPr>
          <w:rFonts w:cs="MS Shell Dlg 2"/>
          <w:b/>
          <w:i/>
        </w:rPr>
      </w:pPr>
    </w:p>
    <w:p w:rsidR="004559AB" w:rsidRDefault="004559AB" w:rsidP="004559AB">
      <w:pPr>
        <w:spacing w:line="240" w:lineRule="auto"/>
        <w:ind w:firstLine="720"/>
      </w:pPr>
      <w:r>
        <w:t>The Yamhill sub-basin lies to the south of the Tualatin, and drains 1,998 km</w:t>
      </w:r>
      <w:r>
        <w:rPr>
          <w:vertAlign w:val="superscript"/>
        </w:rPr>
        <w:t>2</w:t>
      </w:r>
      <w:r>
        <w:t xml:space="preserve"> (Fig</w:t>
      </w:r>
      <w:r w:rsidR="008251BF">
        <w:t>ure</w:t>
      </w:r>
      <w:r>
        <w:t xml:space="preserve"> 1).  The two main rivers, North and South Yamhill, flow southeast and northeast, respectively, until they converge </w:t>
      </w:r>
      <w:r>
        <w:lastRenderedPageBreak/>
        <w:t xml:space="preserve">and flow east before emptying into the Willamette River.   Elevation in the basin ranges from 1,084 m in the Coast Range to 18 m at the mouth of the Yamhill and has a mean elevation of 217 m.  Soils in the basin have similar provenance to those in the Tualatin.  Annual precipitation ranges from 1,560 to 3,880 mm in high elevations and 560 to 1,710 mm in lower elevations.  Average daily temperatures at high elevations range from -14 to 12 degrees in the winter and 7 to 27 degrees in the summer.  Low elevation daily temperatures range from -10 to 15 degrees in the winter and 10 to 30 degrees in the summer.  </w:t>
      </w:r>
    </w:p>
    <w:p w:rsidR="004559AB" w:rsidRPr="00700B1F" w:rsidRDefault="004559AB" w:rsidP="004559AB">
      <w:pPr>
        <w:spacing w:line="240" w:lineRule="auto"/>
        <w:ind w:firstLine="720"/>
      </w:pPr>
      <w:r>
        <w:t xml:space="preserve">The Yamhill River system is significantly less managed than the Tualatin.  There is no major reservoir in the Yamhill to supplement flows or provide flood control, so during the summer measured flows have dropped to as little as 1.4 </w:t>
      </w:r>
      <w:proofErr w:type="spellStart"/>
      <w:r>
        <w:t>cfs</w:t>
      </w:r>
      <w:proofErr w:type="spellEnd"/>
      <w:r>
        <w:t xml:space="preserve">, while winter wet seasons have seen flows as large as 40,300 </w:t>
      </w:r>
      <w:proofErr w:type="spellStart"/>
      <w:r>
        <w:t>cfs</w:t>
      </w:r>
      <w:proofErr w:type="spellEnd"/>
      <w:r>
        <w:t xml:space="preserve">.   The runoff ratio is 0.55 (Table 1).  There is also less development in the basin.  40% of the basin is forested.  One third of the basin consists of cultivated crops, and only 7% is developed.  </w:t>
      </w:r>
    </w:p>
    <w:p w:rsidR="004559AB" w:rsidRDefault="004559AB" w:rsidP="004559AB">
      <w:pPr>
        <w:spacing w:line="240" w:lineRule="auto"/>
        <w:ind w:firstLine="720"/>
      </w:pPr>
    </w:p>
    <w:p w:rsidR="004559AB" w:rsidRPr="00662AA9" w:rsidRDefault="004559AB" w:rsidP="00662AA9">
      <w:pPr>
        <w:pStyle w:val="Heading1"/>
      </w:pPr>
      <w:r w:rsidRPr="00662AA9">
        <w:t>3 Data and Methods</w:t>
      </w:r>
    </w:p>
    <w:p w:rsidR="004559AB" w:rsidRDefault="004559AB" w:rsidP="004559AB">
      <w:pPr>
        <w:spacing w:line="240" w:lineRule="auto"/>
        <w:rPr>
          <w:b/>
        </w:rPr>
      </w:pPr>
    </w:p>
    <w:p w:rsidR="004559AB" w:rsidRPr="00662AA9" w:rsidRDefault="004559AB" w:rsidP="00662AA9">
      <w:pPr>
        <w:pStyle w:val="Heading2"/>
      </w:pPr>
      <w:r w:rsidRPr="00662AA9">
        <w:t>3.1 Data</w:t>
      </w:r>
    </w:p>
    <w:p w:rsidR="00F44786" w:rsidRDefault="00F44786" w:rsidP="00F44786">
      <w:pPr>
        <w:spacing w:line="240" w:lineRule="auto"/>
        <w:ind w:firstLine="720"/>
      </w:pPr>
    </w:p>
    <w:p w:rsidR="00F44786" w:rsidRDefault="004559AB" w:rsidP="00F44786">
      <w:pPr>
        <w:spacing w:line="240" w:lineRule="auto"/>
        <w:ind w:firstLine="720"/>
      </w:pPr>
      <w:r>
        <w:t xml:space="preserve">A 30 m resolution digital elevation model (DEM) and a </w:t>
      </w:r>
      <w:proofErr w:type="spellStart"/>
      <w:r>
        <w:t>vectorized</w:t>
      </w:r>
      <w:proofErr w:type="spellEnd"/>
      <w:r>
        <w:t xml:space="preserve"> stream network were downloaded for our study area from the </w:t>
      </w:r>
      <w:proofErr w:type="spellStart"/>
      <w:r>
        <w:t>NHDPlus</w:t>
      </w:r>
      <w:proofErr w:type="spellEnd"/>
      <w:r>
        <w:t xml:space="preserve"> (version 1) website (NHD Plus 2006).  We downloaded the 30 m resolution, 2006 National Land Cover Dataset (NLCD) produced by MRLC (2011), and used the state level soils dataset STATGO for our analysis.  While STATGO has a coarser resolution than the SSURGO dataset, S</w:t>
      </w:r>
      <w:r w:rsidR="00F6713B">
        <w:t>SURGO has a</w:t>
      </w:r>
      <w:r>
        <w:t xml:space="preserve"> data </w:t>
      </w:r>
      <w:r w:rsidR="00F6713B">
        <w:t xml:space="preserve">gap </w:t>
      </w:r>
      <w:r>
        <w:t xml:space="preserve">in a portion of </w:t>
      </w:r>
      <w:r w:rsidR="00F6713B">
        <w:t>the study site</w:t>
      </w:r>
      <w:r>
        <w:t xml:space="preserve">.  Furthermore, </w:t>
      </w:r>
      <w:proofErr w:type="spellStart"/>
      <w:r>
        <w:t>Mukunden</w:t>
      </w:r>
      <w:proofErr w:type="spellEnd"/>
      <w:r>
        <w:t xml:space="preserve"> et al (2010) found that there is no statistical difference between the two for model accuracy of flow and sediment.  We downloaded daily interpolated climate grids for the years 1979 to 2010 from the Interactive Numeric &amp; Spatial Information Data Engine (</w:t>
      </w:r>
      <w:proofErr w:type="spellStart"/>
      <w:r>
        <w:t>Abatzoglou</w:t>
      </w:r>
      <w:proofErr w:type="spellEnd"/>
      <w:r>
        <w:t xml:space="preserve"> 2013), which we used for model calibration.  Water quantity and quality data was acquired from a combination of USGS gaging stations and CWS gaging stations throughout the Tualatin.  WWTP discharges as well as Barney Reservoir and </w:t>
      </w:r>
      <w:proofErr w:type="spellStart"/>
      <w:r>
        <w:t>Hagg</w:t>
      </w:r>
      <w:proofErr w:type="spellEnd"/>
      <w:r>
        <w:t xml:space="preserve"> Lake releases were also acquired from CWS.  Site level specifications of Scoggins dam were compiled from Bureau of Reclamation and USGS reports.</w:t>
      </w:r>
      <w:r w:rsidR="00F44786">
        <w:t xml:space="preserve">  </w:t>
      </w:r>
    </w:p>
    <w:p w:rsidR="00F44786" w:rsidRDefault="00F44786" w:rsidP="00F44786">
      <w:pPr>
        <w:spacing w:line="240" w:lineRule="auto"/>
      </w:pPr>
      <w:r>
        <w:tab/>
        <w:t>The availability of water quantity and quality data collection varies substantially.  Yamhill has relatively limited data compared to the Tualatin.  In both basins, the temporal resolution of water quality measurements is typically around two to five measurements per month.  In order to develop a more complete time series of sediment, nitrogen and phosphorus loads, we use the LOADEST software (</w:t>
      </w:r>
      <w:proofErr w:type="spellStart"/>
      <w:r>
        <w:t>Runkel</w:t>
      </w:r>
      <w:proofErr w:type="spellEnd"/>
      <w:r>
        <w:t xml:space="preserve"> et al 2004) (Table 2) to estimate a continuous daily time series.  These loads were then aggregated to monthly loads for model calibration.  </w:t>
      </w:r>
    </w:p>
    <w:p w:rsidR="00F44786" w:rsidRDefault="00F44786" w:rsidP="00F44786">
      <w:pPr>
        <w:spacing w:line="240" w:lineRule="auto"/>
      </w:pPr>
    </w:p>
    <w:tbl>
      <w:tblPr>
        <w:tblStyle w:val="TableGrid"/>
        <w:tblW w:w="8761" w:type="dxa"/>
        <w:jc w:val="center"/>
        <w:tblLayout w:type="fixed"/>
        <w:tblLook w:val="04A0" w:firstRow="1" w:lastRow="0" w:firstColumn="1" w:lastColumn="0" w:noHBand="0" w:noVBand="1"/>
      </w:tblPr>
      <w:tblGrid>
        <w:gridCol w:w="1278"/>
        <w:gridCol w:w="1954"/>
        <w:gridCol w:w="1148"/>
        <w:gridCol w:w="22"/>
        <w:gridCol w:w="1909"/>
        <w:gridCol w:w="810"/>
        <w:gridCol w:w="820"/>
        <w:gridCol w:w="820"/>
      </w:tblGrid>
      <w:tr w:rsidR="00F44786" w:rsidRPr="00EE18B9" w:rsidTr="00B11105">
        <w:trPr>
          <w:jc w:val="center"/>
        </w:trPr>
        <w:tc>
          <w:tcPr>
            <w:tcW w:w="8761" w:type="dxa"/>
            <w:gridSpan w:val="8"/>
            <w:tcBorders>
              <w:top w:val="nil"/>
              <w:left w:val="nil"/>
              <w:bottom w:val="single" w:sz="4" w:space="0" w:color="auto"/>
              <w:right w:val="nil"/>
            </w:tcBorders>
            <w:vAlign w:val="center"/>
          </w:tcPr>
          <w:p w:rsidR="00F44786" w:rsidRPr="004D2899" w:rsidRDefault="00F44786" w:rsidP="00135AE8">
            <w:pPr>
              <w:rPr>
                <w:rFonts w:asciiTheme="minorHAnsi" w:hAnsiTheme="minorHAnsi"/>
                <w:sz w:val="22"/>
                <w:szCs w:val="22"/>
              </w:rPr>
            </w:pPr>
            <w:r w:rsidRPr="00662AA9">
              <w:rPr>
                <w:rStyle w:val="TableChar"/>
              </w:rPr>
              <w:t xml:space="preserve">Table </w:t>
            </w:r>
            <w:r w:rsidR="00135AE8" w:rsidRPr="00662AA9">
              <w:rPr>
                <w:rStyle w:val="TableChar"/>
              </w:rPr>
              <w:t>3</w:t>
            </w:r>
            <w:r w:rsidRPr="004D2899">
              <w:rPr>
                <w:rFonts w:asciiTheme="minorHAnsi" w:hAnsiTheme="minorHAnsi"/>
                <w:b/>
                <w:sz w:val="22"/>
                <w:szCs w:val="22"/>
              </w:rPr>
              <w:t xml:space="preserve">: </w:t>
            </w:r>
            <w:r>
              <w:rPr>
                <w:rFonts w:asciiTheme="minorHAnsi" w:hAnsiTheme="minorHAnsi"/>
                <w:sz w:val="22"/>
                <w:szCs w:val="22"/>
              </w:rPr>
              <w:t>LOADEST sediment and nutrient results.</w:t>
            </w:r>
          </w:p>
        </w:tc>
      </w:tr>
      <w:tr w:rsidR="00F44786" w:rsidRPr="00EE18B9" w:rsidTr="00B11105">
        <w:trPr>
          <w:jc w:val="center"/>
        </w:trPr>
        <w:tc>
          <w:tcPr>
            <w:tcW w:w="1278" w:type="dxa"/>
            <w:tcBorders>
              <w:top w:val="single" w:sz="4" w:space="0" w:color="auto"/>
              <w:left w:val="nil"/>
              <w:bottom w:val="single" w:sz="18" w:space="0" w:color="auto"/>
              <w:right w:val="nil"/>
            </w:tcBorders>
            <w:vAlign w:val="center"/>
          </w:tcPr>
          <w:p w:rsidR="00F44786" w:rsidRPr="00EE18B9" w:rsidRDefault="00F44786" w:rsidP="00B11105">
            <w:pPr>
              <w:jc w:val="center"/>
              <w:rPr>
                <w:rFonts w:asciiTheme="minorHAnsi" w:hAnsiTheme="minorHAnsi"/>
                <w:b/>
                <w:sz w:val="22"/>
                <w:szCs w:val="22"/>
              </w:rPr>
            </w:pPr>
            <w:r w:rsidRPr="00EE18B9">
              <w:rPr>
                <w:rFonts w:asciiTheme="minorHAnsi" w:hAnsiTheme="minorHAnsi"/>
                <w:b/>
                <w:sz w:val="22"/>
                <w:szCs w:val="22"/>
              </w:rPr>
              <w:t>Parameter</w:t>
            </w:r>
          </w:p>
        </w:tc>
        <w:tc>
          <w:tcPr>
            <w:tcW w:w="1954" w:type="dxa"/>
            <w:tcBorders>
              <w:top w:val="single" w:sz="4" w:space="0" w:color="auto"/>
              <w:left w:val="nil"/>
              <w:bottom w:val="single" w:sz="18" w:space="0" w:color="auto"/>
              <w:right w:val="nil"/>
            </w:tcBorders>
            <w:vAlign w:val="center"/>
          </w:tcPr>
          <w:p w:rsidR="00F44786" w:rsidRPr="00EE18B9" w:rsidRDefault="00F44786" w:rsidP="00B11105">
            <w:pPr>
              <w:jc w:val="center"/>
              <w:rPr>
                <w:rFonts w:asciiTheme="minorHAnsi" w:hAnsiTheme="minorHAnsi"/>
                <w:b/>
                <w:sz w:val="22"/>
                <w:szCs w:val="22"/>
              </w:rPr>
            </w:pPr>
            <w:r w:rsidRPr="00EE18B9">
              <w:rPr>
                <w:rFonts w:asciiTheme="minorHAnsi" w:hAnsiTheme="minorHAnsi"/>
                <w:b/>
                <w:sz w:val="22"/>
                <w:szCs w:val="22"/>
              </w:rPr>
              <w:t>Calibration Period</w:t>
            </w:r>
          </w:p>
        </w:tc>
        <w:tc>
          <w:tcPr>
            <w:tcW w:w="1170" w:type="dxa"/>
            <w:gridSpan w:val="2"/>
            <w:tcBorders>
              <w:top w:val="single" w:sz="4" w:space="0" w:color="auto"/>
              <w:left w:val="nil"/>
              <w:bottom w:val="single" w:sz="18" w:space="0" w:color="auto"/>
              <w:right w:val="nil"/>
            </w:tcBorders>
            <w:vAlign w:val="center"/>
          </w:tcPr>
          <w:p w:rsidR="00F44786" w:rsidRPr="00EE18B9" w:rsidRDefault="00F44786" w:rsidP="00B11105">
            <w:pPr>
              <w:jc w:val="center"/>
              <w:rPr>
                <w:rFonts w:asciiTheme="minorHAnsi" w:hAnsiTheme="minorHAnsi"/>
                <w:b/>
                <w:sz w:val="22"/>
                <w:szCs w:val="22"/>
              </w:rPr>
            </w:pPr>
            <w:r>
              <w:rPr>
                <w:rFonts w:asciiTheme="minorHAnsi" w:hAnsiTheme="minorHAnsi"/>
                <w:b/>
                <w:sz w:val="22"/>
                <w:szCs w:val="22"/>
              </w:rPr>
              <w:t>Grab Samples</w:t>
            </w:r>
            <w:r w:rsidRPr="00EE18B9">
              <w:rPr>
                <w:rFonts w:asciiTheme="minorHAnsi" w:hAnsiTheme="minorHAnsi"/>
                <w:b/>
                <w:sz w:val="22"/>
                <w:szCs w:val="22"/>
              </w:rPr>
              <w:t xml:space="preserve"> </w:t>
            </w:r>
          </w:p>
        </w:tc>
        <w:tc>
          <w:tcPr>
            <w:tcW w:w="1909" w:type="dxa"/>
            <w:tcBorders>
              <w:top w:val="single" w:sz="4" w:space="0" w:color="auto"/>
              <w:left w:val="nil"/>
              <w:bottom w:val="single" w:sz="18" w:space="0" w:color="auto"/>
              <w:right w:val="nil"/>
            </w:tcBorders>
            <w:vAlign w:val="center"/>
          </w:tcPr>
          <w:p w:rsidR="00F44786" w:rsidRPr="00EE18B9" w:rsidRDefault="00F44786" w:rsidP="00B11105">
            <w:pPr>
              <w:jc w:val="center"/>
              <w:rPr>
                <w:rFonts w:asciiTheme="minorHAnsi" w:hAnsiTheme="minorHAnsi"/>
                <w:b/>
                <w:sz w:val="22"/>
                <w:szCs w:val="22"/>
              </w:rPr>
            </w:pPr>
            <w:r w:rsidRPr="00EE18B9">
              <w:rPr>
                <w:rFonts w:asciiTheme="minorHAnsi" w:hAnsiTheme="minorHAnsi"/>
                <w:b/>
                <w:sz w:val="22"/>
                <w:szCs w:val="22"/>
              </w:rPr>
              <w:t>Estimation Period</w:t>
            </w:r>
          </w:p>
        </w:tc>
        <w:tc>
          <w:tcPr>
            <w:tcW w:w="810" w:type="dxa"/>
            <w:tcBorders>
              <w:top w:val="single" w:sz="4" w:space="0" w:color="auto"/>
              <w:left w:val="nil"/>
              <w:bottom w:val="single" w:sz="18" w:space="0" w:color="auto"/>
              <w:right w:val="nil"/>
            </w:tcBorders>
            <w:vAlign w:val="center"/>
          </w:tcPr>
          <w:p w:rsidR="00F44786" w:rsidRPr="00EE18B9" w:rsidRDefault="00F44786" w:rsidP="00B11105">
            <w:pPr>
              <w:jc w:val="center"/>
              <w:rPr>
                <w:rFonts w:asciiTheme="minorHAnsi" w:hAnsiTheme="minorHAnsi"/>
                <w:b/>
                <w:sz w:val="22"/>
                <w:szCs w:val="22"/>
              </w:rPr>
            </w:pPr>
            <w:r>
              <w:rPr>
                <w:rFonts w:asciiTheme="minorHAnsi" w:hAnsiTheme="minorHAnsi"/>
                <w:b/>
                <w:sz w:val="22"/>
                <w:szCs w:val="22"/>
              </w:rPr>
              <w:t>NSE</w:t>
            </w:r>
          </w:p>
        </w:tc>
        <w:tc>
          <w:tcPr>
            <w:tcW w:w="820" w:type="dxa"/>
            <w:tcBorders>
              <w:top w:val="single" w:sz="4" w:space="0" w:color="auto"/>
              <w:left w:val="nil"/>
              <w:bottom w:val="single" w:sz="18" w:space="0" w:color="auto"/>
              <w:right w:val="nil"/>
            </w:tcBorders>
            <w:vAlign w:val="center"/>
          </w:tcPr>
          <w:p w:rsidR="00F44786" w:rsidRPr="00EE18B9" w:rsidRDefault="00F44786" w:rsidP="00B11105">
            <w:pPr>
              <w:jc w:val="center"/>
              <w:rPr>
                <w:b/>
              </w:rPr>
            </w:pPr>
            <w:r w:rsidRPr="006C66B7">
              <w:rPr>
                <w:rFonts w:asciiTheme="minorHAnsi" w:hAnsiTheme="minorHAnsi"/>
                <w:b/>
                <w:sz w:val="22"/>
                <w:szCs w:val="22"/>
              </w:rPr>
              <w:t>PBIAS</w:t>
            </w:r>
          </w:p>
        </w:tc>
        <w:tc>
          <w:tcPr>
            <w:tcW w:w="820" w:type="dxa"/>
            <w:tcBorders>
              <w:top w:val="single" w:sz="4" w:space="0" w:color="auto"/>
              <w:left w:val="nil"/>
              <w:bottom w:val="single" w:sz="18" w:space="0" w:color="auto"/>
              <w:right w:val="nil"/>
            </w:tcBorders>
            <w:vAlign w:val="center"/>
          </w:tcPr>
          <w:p w:rsidR="00F44786" w:rsidRPr="00750965" w:rsidRDefault="00F44786" w:rsidP="00B11105">
            <w:pPr>
              <w:jc w:val="center"/>
              <w:rPr>
                <w:rFonts w:asciiTheme="minorHAnsi" w:hAnsiTheme="minorHAnsi"/>
                <w:b/>
                <w:sz w:val="22"/>
                <w:szCs w:val="22"/>
              </w:rPr>
            </w:pPr>
            <w:r w:rsidRPr="00750965">
              <w:rPr>
                <w:rFonts w:asciiTheme="minorHAnsi" w:hAnsiTheme="minorHAnsi"/>
                <w:b/>
                <w:sz w:val="22"/>
                <w:szCs w:val="22"/>
              </w:rPr>
              <w:t>R</w:t>
            </w:r>
            <w:r w:rsidRPr="00750965">
              <w:rPr>
                <w:rFonts w:asciiTheme="minorHAnsi" w:hAnsiTheme="minorHAnsi"/>
                <w:b/>
                <w:sz w:val="22"/>
                <w:szCs w:val="22"/>
                <w:vertAlign w:val="superscript"/>
              </w:rPr>
              <w:t>2</w:t>
            </w:r>
          </w:p>
        </w:tc>
      </w:tr>
      <w:tr w:rsidR="00F44786" w:rsidRPr="00EE18B9" w:rsidTr="00B11105">
        <w:trPr>
          <w:jc w:val="center"/>
        </w:trPr>
        <w:tc>
          <w:tcPr>
            <w:tcW w:w="8761" w:type="dxa"/>
            <w:gridSpan w:val="8"/>
            <w:tcBorders>
              <w:top w:val="single" w:sz="18" w:space="0" w:color="auto"/>
              <w:left w:val="nil"/>
              <w:bottom w:val="single" w:sz="12" w:space="0" w:color="auto"/>
            </w:tcBorders>
            <w:vAlign w:val="center"/>
          </w:tcPr>
          <w:p w:rsidR="00F44786" w:rsidRPr="004D310A" w:rsidRDefault="00F44786" w:rsidP="008251BF">
            <w:pPr>
              <w:jc w:val="center"/>
              <w:rPr>
                <w:i/>
              </w:rPr>
            </w:pPr>
            <w:r w:rsidRPr="004D310A">
              <w:rPr>
                <w:rFonts w:asciiTheme="minorHAnsi" w:hAnsiTheme="minorHAnsi"/>
                <w:i/>
                <w:sz w:val="22"/>
                <w:szCs w:val="22"/>
              </w:rPr>
              <w:t>Tualatin River at West Linn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1988 –</w:t>
            </w:r>
            <w:r w:rsidRPr="00EE18B9">
              <w:rPr>
                <w:rFonts w:asciiTheme="minorHAnsi" w:hAnsiTheme="minorHAnsi"/>
                <w:sz w:val="22"/>
                <w:szCs w:val="22"/>
              </w:rPr>
              <w:t xml:space="preserve"> 2010</w:t>
            </w:r>
          </w:p>
        </w:tc>
        <w:tc>
          <w:tcPr>
            <w:tcW w:w="1170" w:type="dxa"/>
            <w:gridSpan w:val="2"/>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828</w:t>
            </w:r>
          </w:p>
        </w:tc>
        <w:tc>
          <w:tcPr>
            <w:tcW w:w="1909"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 xml:space="preserve">0.06 </w:t>
            </w:r>
          </w:p>
        </w:tc>
        <w:tc>
          <w:tcPr>
            <w:tcW w:w="820" w:type="dxa"/>
            <w:tcBorders>
              <w:top w:val="single" w:sz="12" w:space="0" w:color="auto"/>
              <w:left w:val="nil"/>
              <w:bottom w:val="nil"/>
              <w:right w:val="nil"/>
            </w:tcBorders>
            <w:vAlign w:val="center"/>
          </w:tcPr>
          <w:p w:rsidR="00F44786" w:rsidRPr="00EE18B9" w:rsidRDefault="00F44786" w:rsidP="00B11105">
            <w:pPr>
              <w:jc w:val="center"/>
            </w:pPr>
            <w:r w:rsidRPr="00EE18B9">
              <w:rPr>
                <w:rFonts w:asciiTheme="minorHAnsi" w:hAnsiTheme="minorHAnsi"/>
                <w:sz w:val="22"/>
                <w:szCs w:val="22"/>
              </w:rPr>
              <w:t>11.14</w:t>
            </w:r>
          </w:p>
        </w:tc>
        <w:tc>
          <w:tcPr>
            <w:tcW w:w="820" w:type="dxa"/>
            <w:tcBorders>
              <w:top w:val="single" w:sz="12" w:space="0" w:color="auto"/>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0.94</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1974</w:t>
            </w:r>
            <w:r>
              <w:rPr>
                <w:rFonts w:asciiTheme="minorHAnsi" w:hAnsiTheme="minorHAnsi"/>
                <w:sz w:val="22"/>
                <w:szCs w:val="22"/>
              </w:rPr>
              <w:t xml:space="preserve"> – </w:t>
            </w:r>
            <w:r w:rsidRPr="00EE18B9">
              <w:rPr>
                <w:rFonts w:asciiTheme="minorHAnsi" w:hAnsiTheme="minorHAnsi"/>
                <w:sz w:val="22"/>
                <w:szCs w:val="22"/>
              </w:rPr>
              <w:t>2002</w:t>
            </w:r>
          </w:p>
        </w:tc>
        <w:tc>
          <w:tcPr>
            <w:tcW w:w="1170" w:type="dxa"/>
            <w:gridSpan w:val="2"/>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545</w:t>
            </w:r>
          </w:p>
        </w:tc>
        <w:tc>
          <w:tcPr>
            <w:tcW w:w="1909"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EE18B9" w:rsidRDefault="00F44786" w:rsidP="00B11105">
            <w:pPr>
              <w:jc w:val="center"/>
            </w:pPr>
            <w:r w:rsidRPr="00EE18B9">
              <w:rPr>
                <w:rFonts w:asciiTheme="minorHAnsi" w:hAnsiTheme="minorHAnsi"/>
                <w:sz w:val="22"/>
                <w:szCs w:val="22"/>
              </w:rPr>
              <w:t>0.12</w:t>
            </w:r>
          </w:p>
        </w:tc>
        <w:tc>
          <w:tcPr>
            <w:tcW w:w="820" w:type="dxa"/>
            <w:tcBorders>
              <w:top w:val="nil"/>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0.95</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1974 –</w:t>
            </w:r>
            <w:r w:rsidRPr="00EE18B9">
              <w:rPr>
                <w:rFonts w:asciiTheme="minorHAnsi" w:hAnsiTheme="minorHAnsi"/>
                <w:sz w:val="22"/>
                <w:szCs w:val="22"/>
              </w:rPr>
              <w:t xml:space="preserve"> 2010</w:t>
            </w:r>
          </w:p>
        </w:tc>
        <w:tc>
          <w:tcPr>
            <w:tcW w:w="1170" w:type="dxa"/>
            <w:gridSpan w:val="2"/>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972</w:t>
            </w:r>
          </w:p>
        </w:tc>
        <w:tc>
          <w:tcPr>
            <w:tcW w:w="1909"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0.65</w:t>
            </w:r>
          </w:p>
        </w:tc>
        <w:tc>
          <w:tcPr>
            <w:tcW w:w="820" w:type="dxa"/>
            <w:tcBorders>
              <w:top w:val="nil"/>
              <w:left w:val="nil"/>
              <w:bottom w:val="nil"/>
              <w:right w:val="nil"/>
            </w:tcBorders>
            <w:vAlign w:val="center"/>
          </w:tcPr>
          <w:p w:rsidR="00F44786" w:rsidRPr="00EE18B9" w:rsidRDefault="00F44786" w:rsidP="00B11105">
            <w:pPr>
              <w:jc w:val="center"/>
            </w:pPr>
            <w:r w:rsidRPr="00EE18B9">
              <w:rPr>
                <w:rFonts w:asciiTheme="minorHAnsi" w:hAnsiTheme="minorHAnsi"/>
                <w:sz w:val="22"/>
                <w:szCs w:val="22"/>
              </w:rPr>
              <w:t>5.63</w:t>
            </w:r>
          </w:p>
        </w:tc>
        <w:tc>
          <w:tcPr>
            <w:tcW w:w="820" w:type="dxa"/>
            <w:tcBorders>
              <w:top w:val="nil"/>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0.92</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251BF">
            <w:pPr>
              <w:jc w:val="center"/>
              <w:rPr>
                <w:rFonts w:asciiTheme="minorHAnsi" w:hAnsiTheme="minorHAnsi"/>
                <w:i/>
              </w:rPr>
            </w:pPr>
            <w:r>
              <w:rPr>
                <w:rFonts w:asciiTheme="minorHAnsi" w:hAnsiTheme="minorHAnsi"/>
                <w:i/>
                <w:sz w:val="22"/>
                <w:szCs w:val="22"/>
              </w:rPr>
              <w:t>Tualatin River at Dilley</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1014</w:t>
            </w:r>
          </w:p>
        </w:tc>
        <w:tc>
          <w:tcPr>
            <w:tcW w:w="1909"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0.45</w:t>
            </w:r>
          </w:p>
        </w:tc>
        <w:tc>
          <w:tcPr>
            <w:tcW w:w="820" w:type="dxa"/>
            <w:tcBorders>
              <w:top w:val="single" w:sz="12" w:space="0" w:color="auto"/>
              <w:left w:val="nil"/>
              <w:bottom w:val="nil"/>
              <w:right w:val="nil"/>
            </w:tcBorders>
            <w:vAlign w:val="center"/>
          </w:tcPr>
          <w:p w:rsidR="00F44786" w:rsidRPr="00EE18B9" w:rsidRDefault="00F44786" w:rsidP="00B11105">
            <w:pPr>
              <w:jc w:val="center"/>
            </w:pPr>
            <w:r w:rsidRPr="00EE18B9">
              <w:rPr>
                <w:rFonts w:asciiTheme="minorHAnsi" w:hAnsiTheme="minorHAnsi"/>
                <w:sz w:val="22"/>
                <w:szCs w:val="22"/>
              </w:rPr>
              <w:t>-10.24</w:t>
            </w:r>
          </w:p>
        </w:tc>
        <w:tc>
          <w:tcPr>
            <w:tcW w:w="820" w:type="dxa"/>
            <w:tcBorders>
              <w:top w:val="single" w:sz="12" w:space="0" w:color="auto"/>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0.89</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1,007</w:t>
            </w:r>
          </w:p>
        </w:tc>
        <w:tc>
          <w:tcPr>
            <w:tcW w:w="1909"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0.68</w:t>
            </w:r>
          </w:p>
        </w:tc>
        <w:tc>
          <w:tcPr>
            <w:tcW w:w="820" w:type="dxa"/>
            <w:tcBorders>
              <w:top w:val="nil"/>
              <w:left w:val="nil"/>
              <w:bottom w:val="nil"/>
              <w:right w:val="nil"/>
            </w:tcBorders>
            <w:vAlign w:val="center"/>
          </w:tcPr>
          <w:p w:rsidR="00F44786" w:rsidRPr="00EE18B9" w:rsidRDefault="00F44786" w:rsidP="00B11105">
            <w:pPr>
              <w:jc w:val="center"/>
            </w:pPr>
            <w:r w:rsidRPr="00EE18B9">
              <w:rPr>
                <w:rFonts w:asciiTheme="minorHAnsi" w:hAnsiTheme="minorHAnsi"/>
                <w:sz w:val="22"/>
                <w:szCs w:val="22"/>
              </w:rPr>
              <w:t>3.15</w:t>
            </w:r>
          </w:p>
        </w:tc>
        <w:tc>
          <w:tcPr>
            <w:tcW w:w="820" w:type="dxa"/>
            <w:tcBorders>
              <w:top w:val="nil"/>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0.88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 xml:space="preserve">1984 </w:t>
            </w:r>
            <w:r>
              <w:rPr>
                <w:rFonts w:asciiTheme="minorHAnsi" w:hAnsiTheme="minorHAnsi"/>
                <w:sz w:val="22"/>
                <w:szCs w:val="22"/>
              </w:rPr>
              <w:t>–</w:t>
            </w:r>
            <w:r w:rsidRPr="00EE18B9">
              <w:rPr>
                <w:rFonts w:asciiTheme="minorHAnsi" w:hAnsiTheme="minorHAnsi"/>
                <w:sz w:val="22"/>
                <w:szCs w:val="22"/>
              </w:rPr>
              <w:t xml:space="preserve"> 2011</w:t>
            </w:r>
          </w:p>
        </w:tc>
        <w:tc>
          <w:tcPr>
            <w:tcW w:w="1170" w:type="dxa"/>
            <w:gridSpan w:val="2"/>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1,032*</w:t>
            </w:r>
          </w:p>
        </w:tc>
        <w:tc>
          <w:tcPr>
            <w:tcW w:w="1909"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1981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0.67</w:t>
            </w:r>
          </w:p>
        </w:tc>
        <w:tc>
          <w:tcPr>
            <w:tcW w:w="820" w:type="dxa"/>
            <w:tcBorders>
              <w:top w:val="nil"/>
              <w:left w:val="nil"/>
              <w:bottom w:val="nil"/>
              <w:right w:val="nil"/>
            </w:tcBorders>
            <w:vAlign w:val="center"/>
          </w:tcPr>
          <w:p w:rsidR="00F44786" w:rsidRPr="00EE18B9" w:rsidRDefault="00F44786" w:rsidP="00B11105">
            <w:pPr>
              <w:jc w:val="center"/>
            </w:pPr>
            <w:r w:rsidRPr="00EE18B9">
              <w:rPr>
                <w:rFonts w:asciiTheme="minorHAnsi" w:hAnsiTheme="minorHAnsi"/>
                <w:sz w:val="22"/>
                <w:szCs w:val="22"/>
              </w:rPr>
              <w:t>-2.80</w:t>
            </w:r>
          </w:p>
        </w:tc>
        <w:tc>
          <w:tcPr>
            <w:tcW w:w="820" w:type="dxa"/>
            <w:tcBorders>
              <w:top w:val="nil"/>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0.84</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8251BF" w:rsidP="008251BF">
            <w:pPr>
              <w:jc w:val="center"/>
              <w:rPr>
                <w:rFonts w:asciiTheme="minorHAnsi" w:hAnsiTheme="minorHAnsi"/>
                <w:i/>
              </w:rPr>
            </w:pPr>
            <w:proofErr w:type="spellStart"/>
            <w:r>
              <w:rPr>
                <w:rFonts w:asciiTheme="minorHAnsi" w:hAnsiTheme="minorHAnsi"/>
                <w:i/>
                <w:sz w:val="22"/>
                <w:szCs w:val="22"/>
              </w:rPr>
              <w:t>Fanno</w:t>
            </w:r>
            <w:proofErr w:type="spellEnd"/>
            <w:r>
              <w:rPr>
                <w:rFonts w:asciiTheme="minorHAnsi" w:hAnsiTheme="minorHAnsi"/>
                <w:i/>
                <w:sz w:val="22"/>
                <w:szCs w:val="22"/>
              </w:rPr>
              <w:t xml:space="preserve"> Creek at Durham</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E627BC">
            <w:pPr>
              <w:jc w:val="center"/>
              <w:rPr>
                <w:rFonts w:asciiTheme="minorHAnsi" w:hAnsiTheme="minorHAnsi"/>
                <w:b/>
                <w:i/>
                <w:sz w:val="22"/>
                <w:szCs w:val="22"/>
              </w:rPr>
            </w:pPr>
            <w:r>
              <w:rPr>
                <w:rFonts w:asciiTheme="minorHAnsi" w:hAnsiTheme="minorHAnsi"/>
                <w:b/>
                <w:i/>
                <w:sz w:val="22"/>
                <w:szCs w:val="22"/>
              </w:rPr>
              <w:lastRenderedPageBreak/>
              <w:t>TSS</w:t>
            </w:r>
          </w:p>
        </w:tc>
        <w:tc>
          <w:tcPr>
            <w:tcW w:w="1954"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530</w:t>
            </w:r>
          </w:p>
        </w:tc>
        <w:tc>
          <w:tcPr>
            <w:tcW w:w="1909"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-1.76</w:t>
            </w:r>
          </w:p>
        </w:tc>
        <w:tc>
          <w:tcPr>
            <w:tcW w:w="820" w:type="dxa"/>
            <w:tcBorders>
              <w:top w:val="single" w:sz="12" w:space="0" w:color="auto"/>
              <w:left w:val="nil"/>
              <w:bottom w:val="nil"/>
              <w:right w:val="nil"/>
            </w:tcBorders>
            <w:vAlign w:val="center"/>
          </w:tcPr>
          <w:p w:rsidR="00F44786" w:rsidRPr="00750965" w:rsidRDefault="00F44786" w:rsidP="00B11105">
            <w:pPr>
              <w:jc w:val="center"/>
              <w:rPr>
                <w:sz w:val="22"/>
                <w:szCs w:val="22"/>
              </w:rPr>
            </w:pPr>
            <w:r w:rsidRPr="00750965">
              <w:rPr>
                <w:rFonts w:asciiTheme="minorHAnsi" w:hAnsiTheme="minorHAnsi"/>
                <w:sz w:val="22"/>
                <w:szCs w:val="22"/>
              </w:rPr>
              <w:t>46.09</w:t>
            </w:r>
            <w:r w:rsidR="00E627BC" w:rsidRPr="004C65A4">
              <w:rPr>
                <w:rFonts w:ascii="Calibri" w:hAnsi="Calibri"/>
                <w:color w:val="000000"/>
              </w:rPr>
              <w:t>†</w:t>
            </w:r>
          </w:p>
        </w:tc>
        <w:tc>
          <w:tcPr>
            <w:tcW w:w="820" w:type="dxa"/>
            <w:tcBorders>
              <w:top w:val="single" w:sz="12" w:space="0" w:color="auto"/>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0.93</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623**</w:t>
            </w:r>
          </w:p>
        </w:tc>
        <w:tc>
          <w:tcPr>
            <w:tcW w:w="1909"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0.93</w:t>
            </w:r>
          </w:p>
        </w:tc>
        <w:tc>
          <w:tcPr>
            <w:tcW w:w="820" w:type="dxa"/>
            <w:tcBorders>
              <w:top w:val="nil"/>
              <w:left w:val="nil"/>
              <w:bottom w:val="nil"/>
              <w:right w:val="nil"/>
            </w:tcBorders>
            <w:vAlign w:val="center"/>
          </w:tcPr>
          <w:p w:rsidR="00F44786" w:rsidRPr="00750965" w:rsidRDefault="00F44786" w:rsidP="00B11105">
            <w:pPr>
              <w:jc w:val="center"/>
              <w:rPr>
                <w:sz w:val="22"/>
                <w:szCs w:val="22"/>
              </w:rPr>
            </w:pPr>
            <w:r w:rsidRPr="00750965">
              <w:rPr>
                <w:rFonts w:asciiTheme="minorHAnsi" w:hAnsiTheme="minorHAnsi"/>
                <w:sz w:val="22"/>
                <w:szCs w:val="22"/>
              </w:rPr>
              <w:t>2.72</w:t>
            </w:r>
          </w:p>
        </w:tc>
        <w:tc>
          <w:tcPr>
            <w:tcW w:w="820" w:type="dxa"/>
            <w:tcBorders>
              <w:top w:val="nil"/>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1278" w:type="dxa"/>
            <w:tcBorders>
              <w:top w:val="nil"/>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1993</w:t>
            </w:r>
            <w:r>
              <w:rPr>
                <w:rFonts w:asciiTheme="minorHAnsi" w:hAnsiTheme="minorHAnsi"/>
                <w:sz w:val="22"/>
                <w:szCs w:val="22"/>
              </w:rPr>
              <w:t xml:space="preserve"> – </w:t>
            </w:r>
            <w:r w:rsidRPr="00EE18B9">
              <w:rPr>
                <w:rFonts w:asciiTheme="minorHAnsi" w:hAnsiTheme="minorHAnsi"/>
                <w:sz w:val="22"/>
                <w:szCs w:val="22"/>
              </w:rPr>
              <w:t>2012</w:t>
            </w:r>
          </w:p>
        </w:tc>
        <w:tc>
          <w:tcPr>
            <w:tcW w:w="1170" w:type="dxa"/>
            <w:gridSpan w:val="2"/>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733</w:t>
            </w:r>
          </w:p>
        </w:tc>
        <w:tc>
          <w:tcPr>
            <w:tcW w:w="1909"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10/1/1993</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0.66</w:t>
            </w:r>
          </w:p>
        </w:tc>
        <w:tc>
          <w:tcPr>
            <w:tcW w:w="820" w:type="dxa"/>
            <w:tcBorders>
              <w:top w:val="nil"/>
              <w:left w:val="nil"/>
              <w:bottom w:val="nil"/>
              <w:right w:val="nil"/>
            </w:tcBorders>
            <w:vAlign w:val="center"/>
          </w:tcPr>
          <w:p w:rsidR="00F44786" w:rsidRPr="00750965" w:rsidRDefault="00F44786" w:rsidP="00B11105">
            <w:pPr>
              <w:jc w:val="center"/>
              <w:rPr>
                <w:sz w:val="22"/>
                <w:szCs w:val="22"/>
              </w:rPr>
            </w:pPr>
            <w:r w:rsidRPr="00750965">
              <w:rPr>
                <w:rFonts w:asciiTheme="minorHAnsi" w:hAnsiTheme="minorHAnsi"/>
                <w:sz w:val="22"/>
                <w:szCs w:val="22"/>
              </w:rPr>
              <w:t>1.75</w:t>
            </w:r>
          </w:p>
        </w:tc>
        <w:tc>
          <w:tcPr>
            <w:tcW w:w="820" w:type="dxa"/>
            <w:tcBorders>
              <w:top w:val="nil"/>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0.98</w:t>
            </w:r>
          </w:p>
        </w:tc>
      </w:tr>
      <w:tr w:rsidR="00F44786" w:rsidRPr="00EE18B9" w:rsidTr="00B11105">
        <w:trPr>
          <w:jc w:val="center"/>
        </w:trPr>
        <w:tc>
          <w:tcPr>
            <w:tcW w:w="8761" w:type="dxa"/>
            <w:gridSpan w:val="8"/>
            <w:tcBorders>
              <w:top w:val="single" w:sz="12" w:space="0" w:color="auto"/>
              <w:left w:val="nil"/>
              <w:bottom w:val="single" w:sz="12" w:space="0" w:color="auto"/>
              <w:right w:val="nil"/>
            </w:tcBorders>
            <w:vAlign w:val="center"/>
          </w:tcPr>
          <w:p w:rsidR="00F44786" w:rsidRPr="00750965" w:rsidRDefault="00F44786" w:rsidP="008251BF">
            <w:pPr>
              <w:jc w:val="center"/>
              <w:rPr>
                <w:rFonts w:asciiTheme="minorHAnsi" w:hAnsiTheme="minorHAnsi"/>
                <w:i/>
                <w:sz w:val="22"/>
                <w:szCs w:val="22"/>
              </w:rPr>
            </w:pPr>
            <w:r w:rsidRPr="00750965">
              <w:rPr>
                <w:rFonts w:asciiTheme="minorHAnsi" w:hAnsiTheme="minorHAnsi"/>
                <w:i/>
                <w:sz w:val="22"/>
                <w:szCs w:val="22"/>
              </w:rPr>
              <w:t>Yamhill Water Quality Station</w:t>
            </w:r>
          </w:p>
        </w:tc>
      </w:tr>
      <w:tr w:rsidR="00F44786" w:rsidRPr="00EE18B9" w:rsidTr="00B11105">
        <w:trPr>
          <w:jc w:val="center"/>
        </w:trPr>
        <w:tc>
          <w:tcPr>
            <w:tcW w:w="1278"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TSS</w:t>
            </w:r>
          </w:p>
        </w:tc>
        <w:tc>
          <w:tcPr>
            <w:tcW w:w="1954"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single" w:sz="12" w:space="0" w:color="auto"/>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0.72</w:t>
            </w:r>
          </w:p>
        </w:tc>
        <w:tc>
          <w:tcPr>
            <w:tcW w:w="820" w:type="dxa"/>
            <w:tcBorders>
              <w:top w:val="single" w:sz="12" w:space="0" w:color="auto"/>
              <w:left w:val="nil"/>
              <w:bottom w:val="nil"/>
              <w:right w:val="nil"/>
            </w:tcBorders>
            <w:vAlign w:val="center"/>
          </w:tcPr>
          <w:p w:rsidR="00F44786" w:rsidRPr="00750965" w:rsidRDefault="00F44786" w:rsidP="00B11105">
            <w:pPr>
              <w:jc w:val="center"/>
              <w:rPr>
                <w:sz w:val="22"/>
                <w:szCs w:val="22"/>
              </w:rPr>
            </w:pPr>
            <w:r w:rsidRPr="00750965">
              <w:rPr>
                <w:rFonts w:asciiTheme="minorHAnsi" w:hAnsiTheme="minorHAnsi"/>
                <w:sz w:val="22"/>
                <w:szCs w:val="22"/>
              </w:rPr>
              <w:t>3.58</w:t>
            </w:r>
          </w:p>
        </w:tc>
        <w:tc>
          <w:tcPr>
            <w:tcW w:w="820" w:type="dxa"/>
            <w:tcBorders>
              <w:top w:val="single" w:sz="12" w:space="0" w:color="auto"/>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0.96</w:t>
            </w:r>
          </w:p>
        </w:tc>
      </w:tr>
      <w:tr w:rsidR="00F44786" w:rsidRPr="00EE18B9" w:rsidTr="00B11105">
        <w:trPr>
          <w:trHeight w:val="225"/>
          <w:jc w:val="center"/>
        </w:trPr>
        <w:tc>
          <w:tcPr>
            <w:tcW w:w="1278" w:type="dxa"/>
            <w:tcBorders>
              <w:top w:val="nil"/>
              <w:left w:val="nil"/>
              <w:bottom w:val="nil"/>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TN</w:t>
            </w:r>
          </w:p>
        </w:tc>
        <w:tc>
          <w:tcPr>
            <w:tcW w:w="1954"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10/1/</w:t>
            </w:r>
            <w:r w:rsidRPr="00EE18B9">
              <w:rPr>
                <w:rFonts w:asciiTheme="minorHAnsi" w:hAnsiTheme="minorHAnsi"/>
                <w:sz w:val="22"/>
                <w:szCs w:val="22"/>
              </w:rPr>
              <w:t>1994</w:t>
            </w:r>
            <w:r>
              <w:rPr>
                <w:rFonts w:asciiTheme="minorHAnsi" w:hAnsiTheme="minorHAnsi"/>
                <w:sz w:val="22"/>
                <w:szCs w:val="22"/>
              </w:rPr>
              <w:t xml:space="preserve"> – </w:t>
            </w:r>
            <w:r w:rsidRPr="00EE18B9">
              <w:rPr>
                <w:rFonts w:asciiTheme="minorHAnsi" w:hAnsiTheme="minorHAnsi"/>
                <w:sz w:val="22"/>
                <w:szCs w:val="22"/>
              </w:rPr>
              <w:t>2007</w:t>
            </w:r>
          </w:p>
        </w:tc>
        <w:tc>
          <w:tcPr>
            <w:tcW w:w="1170" w:type="dxa"/>
            <w:gridSpan w:val="2"/>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132</w:t>
            </w:r>
          </w:p>
        </w:tc>
        <w:tc>
          <w:tcPr>
            <w:tcW w:w="1909"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nil"/>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0.77</w:t>
            </w:r>
          </w:p>
        </w:tc>
        <w:tc>
          <w:tcPr>
            <w:tcW w:w="820" w:type="dxa"/>
            <w:tcBorders>
              <w:top w:val="nil"/>
              <w:left w:val="nil"/>
              <w:bottom w:val="nil"/>
              <w:right w:val="nil"/>
            </w:tcBorders>
            <w:vAlign w:val="center"/>
          </w:tcPr>
          <w:p w:rsidR="00F44786" w:rsidRPr="00750965" w:rsidRDefault="00F44786" w:rsidP="00B11105">
            <w:pPr>
              <w:jc w:val="center"/>
              <w:rPr>
                <w:sz w:val="22"/>
                <w:szCs w:val="22"/>
              </w:rPr>
            </w:pPr>
            <w:r w:rsidRPr="00750965">
              <w:rPr>
                <w:rFonts w:asciiTheme="minorHAnsi" w:hAnsiTheme="minorHAnsi"/>
                <w:sz w:val="22"/>
                <w:szCs w:val="22"/>
              </w:rPr>
              <w:t>8.86</w:t>
            </w:r>
          </w:p>
        </w:tc>
        <w:tc>
          <w:tcPr>
            <w:tcW w:w="820" w:type="dxa"/>
            <w:tcBorders>
              <w:top w:val="nil"/>
              <w:left w:val="nil"/>
              <w:bottom w:val="nil"/>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0.97</w:t>
            </w:r>
          </w:p>
        </w:tc>
      </w:tr>
      <w:tr w:rsidR="00F44786" w:rsidRPr="00EE18B9" w:rsidTr="00E627BC">
        <w:trPr>
          <w:trHeight w:val="135"/>
          <w:jc w:val="center"/>
        </w:trPr>
        <w:tc>
          <w:tcPr>
            <w:tcW w:w="1278" w:type="dxa"/>
            <w:tcBorders>
              <w:top w:val="nil"/>
              <w:left w:val="nil"/>
              <w:bottom w:val="single" w:sz="4" w:space="0" w:color="auto"/>
              <w:right w:val="nil"/>
            </w:tcBorders>
            <w:vAlign w:val="center"/>
          </w:tcPr>
          <w:p w:rsidR="00F44786" w:rsidRPr="00EE18B9" w:rsidRDefault="00F44786" w:rsidP="00B11105">
            <w:pPr>
              <w:jc w:val="center"/>
              <w:rPr>
                <w:rFonts w:asciiTheme="minorHAnsi" w:hAnsiTheme="minorHAnsi"/>
                <w:b/>
                <w:i/>
                <w:sz w:val="22"/>
                <w:szCs w:val="22"/>
              </w:rPr>
            </w:pPr>
            <w:r>
              <w:rPr>
                <w:rFonts w:asciiTheme="minorHAnsi" w:hAnsiTheme="minorHAnsi"/>
                <w:b/>
                <w:i/>
                <w:sz w:val="22"/>
                <w:szCs w:val="22"/>
              </w:rPr>
              <w:t>TP</w:t>
            </w:r>
          </w:p>
        </w:tc>
        <w:tc>
          <w:tcPr>
            <w:tcW w:w="1954" w:type="dxa"/>
            <w:tcBorders>
              <w:top w:val="nil"/>
              <w:left w:val="nil"/>
              <w:bottom w:val="single" w:sz="4" w:space="0" w:color="auto"/>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 xml:space="preserve">10/1/1994 – </w:t>
            </w:r>
            <w:r w:rsidRPr="00EE18B9">
              <w:rPr>
                <w:rFonts w:asciiTheme="minorHAnsi" w:hAnsiTheme="minorHAnsi"/>
                <w:sz w:val="22"/>
                <w:szCs w:val="22"/>
              </w:rPr>
              <w:t>2012</w:t>
            </w:r>
          </w:p>
        </w:tc>
        <w:tc>
          <w:tcPr>
            <w:tcW w:w="1170" w:type="dxa"/>
            <w:gridSpan w:val="2"/>
            <w:tcBorders>
              <w:top w:val="nil"/>
              <w:left w:val="nil"/>
              <w:bottom w:val="single" w:sz="4" w:space="0" w:color="auto"/>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164</w:t>
            </w:r>
          </w:p>
        </w:tc>
        <w:tc>
          <w:tcPr>
            <w:tcW w:w="1909" w:type="dxa"/>
            <w:tcBorders>
              <w:top w:val="nil"/>
              <w:left w:val="nil"/>
              <w:bottom w:val="single" w:sz="4" w:space="0" w:color="auto"/>
              <w:right w:val="nil"/>
            </w:tcBorders>
            <w:vAlign w:val="center"/>
          </w:tcPr>
          <w:p w:rsidR="00F44786" w:rsidRPr="00EE18B9" w:rsidRDefault="00F44786" w:rsidP="00B11105">
            <w:pPr>
              <w:jc w:val="center"/>
              <w:rPr>
                <w:rFonts w:asciiTheme="minorHAnsi" w:hAnsiTheme="minorHAnsi"/>
                <w:sz w:val="22"/>
                <w:szCs w:val="22"/>
              </w:rPr>
            </w:pPr>
            <w:r>
              <w:rPr>
                <w:rFonts w:asciiTheme="minorHAnsi" w:hAnsiTheme="minorHAnsi"/>
                <w:sz w:val="22"/>
                <w:szCs w:val="22"/>
              </w:rPr>
              <w:t>10</w:t>
            </w:r>
            <w:r w:rsidRPr="00EE18B9">
              <w:rPr>
                <w:rFonts w:asciiTheme="minorHAnsi" w:hAnsiTheme="minorHAnsi"/>
                <w:sz w:val="22"/>
                <w:szCs w:val="22"/>
              </w:rPr>
              <w:t>/</w:t>
            </w:r>
            <w:r>
              <w:rPr>
                <w:rFonts w:asciiTheme="minorHAnsi" w:hAnsiTheme="minorHAnsi"/>
                <w:sz w:val="22"/>
                <w:szCs w:val="22"/>
              </w:rPr>
              <w:t>1</w:t>
            </w:r>
            <w:r w:rsidRPr="00EE18B9">
              <w:rPr>
                <w:rFonts w:asciiTheme="minorHAnsi" w:hAnsiTheme="minorHAnsi"/>
                <w:sz w:val="22"/>
                <w:szCs w:val="22"/>
              </w:rPr>
              <w:t>/</w:t>
            </w:r>
            <w:r>
              <w:rPr>
                <w:rFonts w:asciiTheme="minorHAnsi" w:hAnsiTheme="minorHAnsi"/>
                <w:sz w:val="22"/>
                <w:szCs w:val="22"/>
              </w:rPr>
              <w:t>1994</w:t>
            </w:r>
            <w:r w:rsidRPr="00EE18B9">
              <w:rPr>
                <w:rFonts w:asciiTheme="minorHAnsi" w:hAnsiTheme="minorHAnsi"/>
                <w:sz w:val="22"/>
                <w:szCs w:val="22"/>
              </w:rPr>
              <w:t xml:space="preserve"> –</w:t>
            </w:r>
            <w:r>
              <w:rPr>
                <w:rFonts w:asciiTheme="minorHAnsi" w:hAnsiTheme="minorHAnsi"/>
                <w:sz w:val="22"/>
                <w:szCs w:val="22"/>
              </w:rPr>
              <w:t xml:space="preserve"> </w:t>
            </w:r>
            <w:r w:rsidRPr="00EE18B9">
              <w:rPr>
                <w:rFonts w:asciiTheme="minorHAnsi" w:hAnsiTheme="minorHAnsi"/>
                <w:sz w:val="22"/>
                <w:szCs w:val="22"/>
              </w:rPr>
              <w:t>2010</w:t>
            </w:r>
          </w:p>
        </w:tc>
        <w:tc>
          <w:tcPr>
            <w:tcW w:w="810" w:type="dxa"/>
            <w:tcBorders>
              <w:top w:val="nil"/>
              <w:left w:val="nil"/>
              <w:bottom w:val="single" w:sz="4" w:space="0" w:color="auto"/>
              <w:right w:val="nil"/>
            </w:tcBorders>
            <w:vAlign w:val="center"/>
          </w:tcPr>
          <w:p w:rsidR="00F44786" w:rsidRPr="00EE18B9" w:rsidRDefault="00F44786" w:rsidP="00B11105">
            <w:pPr>
              <w:jc w:val="center"/>
              <w:rPr>
                <w:rFonts w:asciiTheme="minorHAnsi" w:hAnsiTheme="minorHAnsi"/>
                <w:sz w:val="22"/>
                <w:szCs w:val="22"/>
              </w:rPr>
            </w:pPr>
            <w:r w:rsidRPr="00EE18B9">
              <w:rPr>
                <w:rFonts w:asciiTheme="minorHAnsi" w:hAnsiTheme="minorHAnsi"/>
                <w:sz w:val="22"/>
                <w:szCs w:val="22"/>
              </w:rPr>
              <w:t>0.85</w:t>
            </w:r>
          </w:p>
        </w:tc>
        <w:tc>
          <w:tcPr>
            <w:tcW w:w="820" w:type="dxa"/>
            <w:tcBorders>
              <w:top w:val="nil"/>
              <w:left w:val="nil"/>
              <w:bottom w:val="single" w:sz="4" w:space="0" w:color="auto"/>
              <w:right w:val="nil"/>
            </w:tcBorders>
            <w:vAlign w:val="center"/>
          </w:tcPr>
          <w:p w:rsidR="00F44786" w:rsidRPr="00750965" w:rsidRDefault="00F44786" w:rsidP="00B11105">
            <w:pPr>
              <w:jc w:val="center"/>
              <w:rPr>
                <w:sz w:val="22"/>
                <w:szCs w:val="22"/>
              </w:rPr>
            </w:pPr>
            <w:r w:rsidRPr="00750965">
              <w:rPr>
                <w:rFonts w:asciiTheme="minorHAnsi" w:hAnsiTheme="minorHAnsi"/>
                <w:sz w:val="22"/>
                <w:szCs w:val="22"/>
              </w:rPr>
              <w:t>-1.74</w:t>
            </w:r>
          </w:p>
        </w:tc>
        <w:tc>
          <w:tcPr>
            <w:tcW w:w="820" w:type="dxa"/>
            <w:tcBorders>
              <w:top w:val="nil"/>
              <w:left w:val="nil"/>
              <w:bottom w:val="single" w:sz="4" w:space="0" w:color="auto"/>
              <w:right w:val="nil"/>
            </w:tcBorders>
            <w:vAlign w:val="center"/>
          </w:tcPr>
          <w:p w:rsidR="00F44786" w:rsidRPr="00750965" w:rsidRDefault="00F44786" w:rsidP="00B11105">
            <w:pPr>
              <w:jc w:val="center"/>
              <w:rPr>
                <w:rFonts w:asciiTheme="minorHAnsi" w:hAnsiTheme="minorHAnsi"/>
                <w:sz w:val="22"/>
                <w:szCs w:val="22"/>
              </w:rPr>
            </w:pPr>
            <w:r w:rsidRPr="00750965">
              <w:rPr>
                <w:rFonts w:asciiTheme="minorHAnsi" w:hAnsiTheme="minorHAnsi"/>
                <w:sz w:val="22"/>
                <w:szCs w:val="22"/>
              </w:rPr>
              <w:t>0.97</w:t>
            </w:r>
          </w:p>
        </w:tc>
      </w:tr>
      <w:tr w:rsidR="00E627BC" w:rsidRPr="00EE18B9" w:rsidTr="00E627BC">
        <w:trPr>
          <w:trHeight w:val="135"/>
          <w:jc w:val="center"/>
        </w:trPr>
        <w:tc>
          <w:tcPr>
            <w:tcW w:w="4380" w:type="dxa"/>
            <w:gridSpan w:val="3"/>
            <w:tcBorders>
              <w:top w:val="single" w:sz="4" w:space="0" w:color="auto"/>
              <w:left w:val="nil"/>
              <w:bottom w:val="nil"/>
              <w:right w:val="nil"/>
            </w:tcBorders>
            <w:vAlign w:val="center"/>
          </w:tcPr>
          <w:p w:rsidR="00E627BC" w:rsidRDefault="00F6713B" w:rsidP="00B11105">
            <w:r>
              <w:t>*    25 samples registered</w:t>
            </w:r>
            <w:r w:rsidR="00E627BC">
              <w:t xml:space="preserve"> below hardware detection limits</w:t>
            </w:r>
          </w:p>
          <w:p w:rsidR="00E627BC" w:rsidRDefault="00F6713B" w:rsidP="00B11105">
            <w:r>
              <w:t>**  1 sample registered</w:t>
            </w:r>
            <w:r w:rsidR="00E627BC">
              <w:t xml:space="preserve"> below hardware detection limits</w:t>
            </w:r>
          </w:p>
        </w:tc>
        <w:tc>
          <w:tcPr>
            <w:tcW w:w="4381" w:type="dxa"/>
            <w:gridSpan w:val="5"/>
            <w:tcBorders>
              <w:top w:val="single" w:sz="4" w:space="0" w:color="auto"/>
              <w:left w:val="nil"/>
              <w:bottom w:val="nil"/>
              <w:right w:val="nil"/>
            </w:tcBorders>
          </w:tcPr>
          <w:p w:rsidR="00E627BC" w:rsidRPr="00750965" w:rsidRDefault="00E627BC" w:rsidP="00E627BC">
            <w:r w:rsidRPr="004C65A4">
              <w:rPr>
                <w:rFonts w:ascii="Calibri" w:hAnsi="Calibri"/>
                <w:color w:val="000000"/>
              </w:rPr>
              <w:t>†</w:t>
            </w:r>
            <w:r>
              <w:rPr>
                <w:rFonts w:ascii="Calibri" w:hAnsi="Calibri"/>
                <w:color w:val="000000"/>
              </w:rPr>
              <w:t xml:space="preserve">  LOADEST does not recommend using models with PBIAS greater than 25%</w:t>
            </w:r>
          </w:p>
        </w:tc>
      </w:tr>
    </w:tbl>
    <w:p w:rsidR="00F44786" w:rsidRDefault="00F44786" w:rsidP="004559AB">
      <w:pPr>
        <w:spacing w:line="240" w:lineRule="auto"/>
        <w:rPr>
          <w:b/>
        </w:rPr>
      </w:pPr>
    </w:p>
    <w:p w:rsidR="00F44786" w:rsidRDefault="00F44786" w:rsidP="004559AB">
      <w:pPr>
        <w:spacing w:line="240" w:lineRule="auto"/>
        <w:rPr>
          <w:b/>
        </w:rPr>
      </w:pPr>
    </w:p>
    <w:p w:rsidR="004559AB" w:rsidRPr="00662AA9" w:rsidRDefault="004559AB" w:rsidP="00662AA9">
      <w:pPr>
        <w:pStyle w:val="Heading2"/>
      </w:pPr>
      <w:r w:rsidRPr="00662AA9">
        <w:t>3.2 Methods</w:t>
      </w:r>
    </w:p>
    <w:p w:rsidR="004559AB" w:rsidRDefault="004559AB" w:rsidP="004559AB">
      <w:pPr>
        <w:spacing w:line="240" w:lineRule="auto"/>
      </w:pPr>
    </w:p>
    <w:p w:rsidR="004559AB" w:rsidRPr="00662AA9" w:rsidRDefault="004559AB" w:rsidP="00662AA9">
      <w:pPr>
        <w:pStyle w:val="Heading3"/>
      </w:pPr>
      <w:r w:rsidRPr="00662AA9">
        <w:t xml:space="preserve">3.2.1 SWAT </w:t>
      </w:r>
      <w:commentRangeStart w:id="0"/>
      <w:r w:rsidRPr="00662AA9">
        <w:t>Model</w:t>
      </w:r>
      <w:commentRangeEnd w:id="0"/>
      <w:r w:rsidRPr="00662AA9">
        <w:rPr>
          <w:rStyle w:val="CommentReference"/>
          <w:sz w:val="22"/>
          <w:szCs w:val="22"/>
        </w:rPr>
        <w:commentReference w:id="0"/>
      </w:r>
    </w:p>
    <w:p w:rsidR="004559AB" w:rsidRDefault="004559AB" w:rsidP="004559AB">
      <w:pPr>
        <w:spacing w:line="240" w:lineRule="auto"/>
      </w:pPr>
    </w:p>
    <w:p w:rsidR="004559AB" w:rsidRDefault="004559AB" w:rsidP="004559AB">
      <w:pPr>
        <w:spacing w:line="240" w:lineRule="auto"/>
      </w:pPr>
      <w:r>
        <w:tab/>
        <w:t>SWAT is a physically based, daily time-step model.  It accounts for both terrestrial and in-stream processes</w:t>
      </w:r>
      <w:r w:rsidR="00F6713B">
        <w:t xml:space="preserve"> (Fig 3)</w:t>
      </w:r>
      <w:r>
        <w:t xml:space="preserve">.  To model flow, SWAT uses either the SCS curve number procedure (SCS, 1972), or the Green &amp; </w:t>
      </w:r>
      <w:proofErr w:type="spellStart"/>
      <w:r>
        <w:t>Ampt</w:t>
      </w:r>
      <w:proofErr w:type="spellEnd"/>
      <w:r>
        <w:t xml:space="preserve"> infiltration method (1911).  While the Green &amp; </w:t>
      </w:r>
      <w:proofErr w:type="spellStart"/>
      <w:r>
        <w:t>Ampt</w:t>
      </w:r>
      <w:proofErr w:type="spellEnd"/>
      <w:r>
        <w:t xml:space="preserve"> method is more robust, it requires sub-daily precipitation.  Since hourly precipitation is not available for our study region, we use the SCS curve number approach.  </w:t>
      </w:r>
    </w:p>
    <w:p w:rsidR="000C0D7D" w:rsidRDefault="000C0D7D" w:rsidP="004559AB">
      <w:pPr>
        <w:spacing w:line="240" w:lineRule="auto"/>
      </w:pPr>
    </w:p>
    <w:p w:rsidR="000C0D7D" w:rsidRDefault="006D0C3D" w:rsidP="000C0D7D">
      <w:pPr>
        <w:spacing w:line="240" w:lineRule="auto"/>
        <w:jc w:val="center"/>
      </w:pPr>
      <w:r>
        <w:rPr>
          <w:b/>
          <w:i/>
          <w:noProof/>
        </w:rPr>
        <mc:AlternateContent>
          <mc:Choice Requires="wpg">
            <w:drawing>
              <wp:inline distT="0" distB="0" distL="0" distR="0" wp14:anchorId="600ECEF7" wp14:editId="3326B67E">
                <wp:extent cx="5821680" cy="2895600"/>
                <wp:effectExtent l="0" t="0" r="7620" b="0"/>
                <wp:docPr id="40" name="Group 40"/>
                <wp:cNvGraphicFramePr/>
                <a:graphic xmlns:a="http://schemas.openxmlformats.org/drawingml/2006/main">
                  <a:graphicData uri="http://schemas.microsoft.com/office/word/2010/wordprocessingGroup">
                    <wpg:wgp>
                      <wpg:cNvGrpSpPr/>
                      <wpg:grpSpPr>
                        <a:xfrm>
                          <a:off x="0" y="0"/>
                          <a:ext cx="5821680" cy="2895600"/>
                          <a:chOff x="0" y="0"/>
                          <a:chExt cx="5822317" cy="2895600"/>
                        </a:xfrm>
                      </wpg:grpSpPr>
                      <wps:wsp>
                        <wps:cNvPr id="116" name="Rectangle 115"/>
                        <wps:cNvSpPr/>
                        <wps:spPr>
                          <a:xfrm>
                            <a:off x="0" y="0"/>
                            <a:ext cx="5791199" cy="2895600"/>
                          </a:xfrm>
                          <a:prstGeom prst="rect">
                            <a:avLst/>
                          </a:prstGeom>
                          <a:solidFill>
                            <a:schemeClr val="tx2">
                              <a:lumMod val="75000"/>
                            </a:schemeClr>
                          </a:solidFill>
                          <a:ln w="1905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6"/>
                        <wps:cNvSpPr/>
                        <wps:spPr>
                          <a:xfrm>
                            <a:off x="76200" y="533400"/>
                            <a:ext cx="4648200" cy="2320588"/>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0"/>
                        <wps:cNvSpPr/>
                        <wps:spPr>
                          <a:xfrm>
                            <a:off x="1219200" y="762000"/>
                            <a:ext cx="3428999" cy="1714500"/>
                          </a:xfrm>
                          <a:prstGeom prst="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6"/>
                        <wps:cNvSpPr/>
                        <wps:spPr>
                          <a:xfrm>
                            <a:off x="1285906" y="895349"/>
                            <a:ext cx="1379780" cy="1476376"/>
                          </a:xfrm>
                          <a:prstGeom prst="rect">
                            <a:avLst/>
                          </a:pr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A7E" w:rsidRDefault="00EA5A7E" w:rsidP="006D0C3D">
                              <w:pPr>
                                <w:rPr>
                                  <w:rFonts w:eastAsia="Times New Roman"/>
                                </w:rPr>
                              </w:pPr>
                            </w:p>
                            <w:p w:rsidR="00EA5A7E" w:rsidRDefault="00EA5A7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3"/>
                        <wps:cNvSpPr/>
                        <wps:spPr>
                          <a:xfrm>
                            <a:off x="1524000" y="76200"/>
                            <a:ext cx="914400" cy="381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4"/>
                        <wps:cNvSpPr/>
                        <wps:spPr>
                          <a:xfrm>
                            <a:off x="142875" y="2209800"/>
                            <a:ext cx="850900" cy="5334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5"/>
                        <wps:cNvSpPr/>
                        <wps:spPr>
                          <a:xfrm>
                            <a:off x="142875" y="1371600"/>
                            <a:ext cx="850900" cy="4572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Soil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6"/>
                        <wps:cNvSpPr/>
                        <wps:spPr>
                          <a:xfrm>
                            <a:off x="142875" y="609600"/>
                            <a:ext cx="850900" cy="457200"/>
                          </a:xfrm>
                          <a:prstGeom prst="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7"/>
                        <wps:cNvSpPr/>
                        <wps:spPr>
                          <a:xfrm>
                            <a:off x="1371132" y="990599"/>
                            <a:ext cx="1219200" cy="609601"/>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 (HRUs)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Elbow Connector 9"/>
                        <wps:cNvCnPr/>
                        <wps:spPr>
                          <a:xfrm>
                            <a:off x="990600" y="838200"/>
                            <a:ext cx="381000" cy="381000"/>
                          </a:xfrm>
                          <a:prstGeom prst="bentConnector3">
                            <a:avLst>
                              <a:gd name="adj1"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Elbow Connector 13"/>
                        <wps:cNvCnPr/>
                        <wps:spPr>
                          <a:xfrm flipV="1">
                            <a:off x="990600" y="1219200"/>
                            <a:ext cx="381000" cy="1257300"/>
                          </a:xfrm>
                          <a:prstGeom prst="bentConnector3">
                            <a:avLst>
                              <a:gd name="adj1" fmla="val 50000"/>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7"/>
                        <wps:cNvCnPr/>
                        <wps:spPr>
                          <a:xfrm>
                            <a:off x="1981200" y="457200"/>
                            <a:ext cx="0" cy="5334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 name="Straight Arrow Connector 32"/>
                        <wps:cNvCnPr/>
                        <wps:spPr>
                          <a:xfrm>
                            <a:off x="2590800" y="1219200"/>
                            <a:ext cx="2286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5" name="Rectangle 34"/>
                        <wps:cNvSpPr/>
                        <wps:spPr>
                          <a:xfrm>
                            <a:off x="2819400" y="990600"/>
                            <a:ext cx="779025"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Sub-basins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Box 57"/>
                        <wps:cNvSpPr txBox="1"/>
                        <wps:spPr>
                          <a:xfrm>
                            <a:off x="1215456" y="1524000"/>
                            <a:ext cx="1513371" cy="1085850"/>
                          </a:xfrm>
                          <a:prstGeom prst="rect">
                            <a:avLst/>
                          </a:prstGeom>
                          <a:noFill/>
                        </wps:spPr>
                        <wps:txbx>
                          <w:txbxContent>
                            <w:p w:rsidR="00EA5A7E" w:rsidRDefault="00EA5A7E" w:rsidP="006D0C3D">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EA5A7E" w:rsidRDefault="00EA5A7E"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Water Yield</w:t>
                              </w:r>
                              <w:r>
                                <w:rPr>
                                  <w:rFonts w:asciiTheme="minorHAnsi" w:hAnsi="Calibri" w:cstheme="minorBidi"/>
                                  <w:color w:val="000000" w:themeColor="text1"/>
                                  <w:kern w:val="24"/>
                                  <w:sz w:val="20"/>
                                  <w:szCs w:val="20"/>
                                </w:rPr>
                                <w:t xml:space="preserve"> (SCS Curve #)</w:t>
                              </w:r>
                            </w:p>
                            <w:p w:rsidR="00EA5A7E" w:rsidRDefault="00EA5A7E"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Sediment Yield</w:t>
                              </w:r>
                              <w:r>
                                <w:rPr>
                                  <w:rFonts w:asciiTheme="minorHAnsi" w:hAnsi="Calibri" w:cstheme="minorBidi"/>
                                  <w:color w:val="000000" w:themeColor="text1"/>
                                  <w:kern w:val="24"/>
                                  <w:sz w:val="20"/>
                                  <w:szCs w:val="20"/>
                                </w:rPr>
                                <w:t xml:space="preserve"> (MUSLE)</w:t>
                              </w:r>
                            </w:p>
                            <w:p w:rsidR="00EA5A7E" w:rsidRDefault="00EA5A7E" w:rsidP="006D0C3D">
                              <w:pPr>
                                <w:pStyle w:val="NormalWeb"/>
                                <w:spacing w:before="0" w:beforeAutospacing="0" w:after="0" w:afterAutospacing="0"/>
                                <w:rPr>
                                  <w:rFonts w:asciiTheme="minorHAnsi" w:hAnsi="Calibri" w:cstheme="minorBidi"/>
                                  <w:color w:val="000000" w:themeColor="text1"/>
                                  <w:kern w:val="24"/>
                                  <w:sz w:val="20"/>
                                  <w:szCs w:val="20"/>
                                </w:rPr>
                              </w:pPr>
                              <w:r w:rsidRPr="00186C59">
                                <w:rPr>
                                  <w:rFonts w:asciiTheme="minorHAnsi" w:hAnsi="Calibri" w:cstheme="minorBidi"/>
                                  <w:b/>
                                  <w:i/>
                                  <w:color w:val="000000" w:themeColor="text1"/>
                                  <w:kern w:val="24"/>
                                  <w:sz w:val="20"/>
                                  <w:szCs w:val="20"/>
                                </w:rPr>
                                <w:t>Nutrient Yield</w:t>
                              </w:r>
                              <w:r>
                                <w:rPr>
                                  <w:rFonts w:asciiTheme="minorHAnsi" w:hAnsi="Calibri" w:cstheme="minorBidi"/>
                                  <w:color w:val="000000" w:themeColor="text1"/>
                                  <w:kern w:val="24"/>
                                  <w:sz w:val="20"/>
                                  <w:szCs w:val="20"/>
                                </w:rPr>
                                <w:t xml:space="preserve"> (Mass </w:t>
                              </w:r>
                            </w:p>
                            <w:p w:rsidR="00EA5A7E" w:rsidRDefault="00EA5A7E" w:rsidP="006D0C3D">
                              <w:pPr>
                                <w:pStyle w:val="NormalWeb"/>
                                <w:spacing w:before="0" w:beforeAutospacing="0" w:after="0" w:afterAutospacing="0"/>
                              </w:pPr>
                              <w:r>
                                <w:rPr>
                                  <w:rFonts w:asciiTheme="minorHAnsi" w:hAnsi="Calibri" w:cstheme="minorBidi"/>
                                  <w:color w:val="000000" w:themeColor="text1"/>
                                  <w:kern w:val="24"/>
                                  <w:sz w:val="20"/>
                                  <w:szCs w:val="20"/>
                                </w:rPr>
                                <w:t>Balance)</w:t>
                              </w:r>
                            </w:p>
                          </w:txbxContent>
                        </wps:txbx>
                        <wps:bodyPr wrap="none" rtlCol="0">
                          <a:noAutofit/>
                        </wps:bodyPr>
                      </wps:wsp>
                      <wps:wsp>
                        <wps:cNvPr id="83" name="Rectangle 82"/>
                        <wps:cNvSpPr/>
                        <wps:spPr>
                          <a:xfrm>
                            <a:off x="3810000" y="990600"/>
                            <a:ext cx="761999"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In-stream</w:t>
                              </w:r>
                              <w:r>
                                <w:rPr>
                                  <w:rFonts w:asciiTheme="minorHAnsi" w:hAnsi="Calibri" w:cstheme="minorBidi"/>
                                  <w:color w:val="FFFFFF" w:themeColor="light1"/>
                                  <w:kern w:val="24"/>
                                  <w:sz w:val="20"/>
                                  <w:szCs w:val="20"/>
                                </w:rPr>
                                <w:t xml:space="preserve"> </w:t>
                              </w:r>
                              <w:r>
                                <w:rPr>
                                  <w:rFonts w:asciiTheme="minorHAnsi" w:hAnsi="Calibri" w:cstheme="minorBidi"/>
                                  <w:b/>
                                  <w:bCs/>
                                  <w:color w:val="FFFFFF" w:themeColor="light1"/>
                                  <w:kern w:val="24"/>
                                  <w:sz w:val="20"/>
                                  <w:szCs w:val="20"/>
                                </w:rPr>
                                <w:t>Processes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4"/>
                        <wps:cNvCnPr/>
                        <wps:spPr>
                          <a:xfrm>
                            <a:off x="3600450" y="1219200"/>
                            <a:ext cx="211576"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8" name="TextBox 87"/>
                        <wps:cNvSpPr txBox="1"/>
                        <wps:spPr>
                          <a:xfrm>
                            <a:off x="2666708" y="1447800"/>
                            <a:ext cx="1980565" cy="1021715"/>
                          </a:xfrm>
                          <a:prstGeom prst="rect">
                            <a:avLst/>
                          </a:prstGeom>
                          <a:noFill/>
                        </wps:spPr>
                        <wps:txbx>
                          <w:txbxContent>
                            <w:p w:rsidR="00EA5A7E" w:rsidRDefault="00EA5A7E" w:rsidP="006D0C3D">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EA5A7E" w:rsidRDefault="00EA5A7E" w:rsidP="006D0C3D">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 for current reach.</w:t>
                              </w:r>
                            </w:p>
                          </w:txbxContent>
                        </wps:txbx>
                        <wps:bodyPr wrap="square" rtlCol="0">
                          <a:spAutoFit/>
                        </wps:bodyPr>
                      </wps:wsp>
                      <wps:wsp>
                        <wps:cNvPr id="97" name="Rectangle 96"/>
                        <wps:cNvSpPr/>
                        <wps:spPr>
                          <a:xfrm>
                            <a:off x="4857334" y="990600"/>
                            <a:ext cx="858292" cy="457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aight Arrow Connector 98"/>
                        <wps:cNvCnPr/>
                        <wps:spPr>
                          <a:xfrm>
                            <a:off x="4572000" y="1219200"/>
                            <a:ext cx="28777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5" name="TextBox 104"/>
                        <wps:cNvSpPr txBox="1"/>
                        <wps:spPr>
                          <a:xfrm>
                            <a:off x="4723647" y="1447800"/>
                            <a:ext cx="1098670" cy="866775"/>
                          </a:xfrm>
                          <a:prstGeom prst="rect">
                            <a:avLst/>
                          </a:prstGeom>
                          <a:noFill/>
                        </wps:spPr>
                        <wps:txbx>
                          <w:txbxContent>
                            <w:p w:rsidR="00EA5A7E" w:rsidRDefault="00EA5A7E" w:rsidP="006D0C3D">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EA5A7E" w:rsidRPr="00186C59" w:rsidRDefault="00EA5A7E"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Flow</w:t>
                              </w:r>
                            </w:p>
                            <w:p w:rsidR="00EA5A7E" w:rsidRPr="00186C59" w:rsidRDefault="00EA5A7E"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Sediment</w:t>
                              </w:r>
                            </w:p>
                            <w:p w:rsidR="00EA5A7E" w:rsidRPr="00186C59" w:rsidRDefault="00EA5A7E"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Nitrogen</w:t>
                              </w:r>
                            </w:p>
                            <w:p w:rsidR="00EA5A7E" w:rsidRPr="00186C59" w:rsidRDefault="00EA5A7E"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Phosphorus</w:t>
                              </w:r>
                            </w:p>
                          </w:txbxContent>
                        </wps:txbx>
                        <wps:bodyPr wrap="none" rtlCol="0">
                          <a:spAutoFit/>
                        </wps:bodyPr>
                      </wps:wsp>
                      <wps:wsp>
                        <wps:cNvPr id="144" name="Straight Connector 143"/>
                        <wps:cNvCnPr/>
                        <wps:spPr>
                          <a:xfrm>
                            <a:off x="971384" y="1600200"/>
                            <a:ext cx="20984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0" o:spid="_x0000_s1026" style="width:458.4pt;height:228pt;mso-position-horizontal-relative:char;mso-position-vertical-relative:line" coordsize="5822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">
                <v:rect id="Rectangle 115" o:spid="_x0000_s1027" style="position:absolute;width:57911;height:28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6xcUA&#10;AADcAAAADwAAAGRycy9kb3ducmV2LnhtbERPS2vCQBC+C/0PyxR6kbrRipXUVYpg8VTqAzS3aXaS&#10;Dc3Ohuw2pv/eFQre5uN7zmLV21p01PrKsYLxKAFBnDtdcangeNg8z0H4gKyxdkwK/sjDavkwWGCq&#10;3YV31O1DKWII+xQVmBCaVEqfG7LoR64hjlzhWoshwraUusVLDLe1nCTJTFqsODYYbGhtKP/Z/1oF&#10;SXYyH99f86ycTj6pyIbTl9fzVqmnx/79DUSgPtzF/+6tjvPHM7g9Ey+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LrFxQAAANwAAAAPAAAAAAAAAAAAAAAAAJgCAABkcnMv&#10;ZG93bnJldi54bWxQSwUGAAAAAAQABAD1AAAAigMAAAAA&#10;" fillcolor="#17365d [2415]" stroked="f" strokeweight="1.5pt"/>
                <v:rect id="Rectangle 86" o:spid="_x0000_s1028" style="position:absolute;left:762;top:5334;width:46482;height:232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RjmcUA&#10;AADbAAAADwAAAGRycy9kb3ducmV2LnhtbESPQWvCQBSE70L/w/KEXkQ3LbVKdJVWEEp7kKrg9ZF9&#10;SZZk34bsaqK/3i0UPA4z8w2zXPe2FhdqvXGs4GWSgCDOnDZcKDgetuM5CB+QNdaOScGVPKxXT4Ml&#10;ptp1/EuXfShEhLBPUUEZQpNK6bOSLPqJa4ijl7vWYoiyLaRusYtwW8vXJHmXFg3HhRIb2pSUVfuz&#10;VdDtPn9M9V2Rme1O07dilPNtmiv1POw/FiAC9eER/m9/aQXzGfx9i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NGOZxQAAANsAAAAPAAAAAAAAAAAAAAAAAJgCAABkcnMv&#10;ZG93bnJldi54bWxQSwUGAAAAAAQABAD1AAAAigMAAAAA&#10;" fillcolor="#548dd4 [1951]" stroked="f" strokeweight="2pt"/>
                <v:rect id="Rectangle 90" o:spid="_x0000_s1029" style="position:absolute;left:12192;top:7620;width:34289;height:17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ifasUA&#10;AADbAAAADwAAAGRycy9kb3ducmV2LnhtbESPQWvCQBSE74L/YXlCL9JsIlTb1FWMUOipoBZKb6/Z&#10;ZzaafRuyW5P++64geBxm5htmuR5sIy7U+dqxgixJQRCXTtdcKfg8vD0+g/ABWWPjmBT8kYf1ajxa&#10;Yq5dzzu67EMlIoR9jgpMCG0upS8NWfSJa4mjd3SdxRBlV0ndYR/htpGzNJ1LizXHBYMtbQ2V5/2v&#10;VfB1nKaFlYuT/ngq7I/53mSy6JV6mAybVxCBhnAP39rvWsFLBtcv8Qf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qJ9qxQAAANsAAAAPAAAAAAAAAAAAAAAAAJgCAABkcnMv&#10;ZG93bnJldi54bWxQSwUGAAAAAAQABAD1AAAAigMAAAAA&#10;" fillcolor="#8db3e2 [1311]" stroked="f" strokeweight="2pt"/>
                <v:rect id="Rectangle 56" o:spid="_x0000_s1030" style="position:absolute;left:12859;top:8953;width:13797;height:14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TZ1cIA&#10;AADbAAAADwAAAGRycy9kb3ducmV2LnhtbESPT4vCMBTE78J+h/AWvIimCtqla5RFEPTmv8veHs2z&#10;6W7zUprY1m9vBMHjMDO/YZbr3laipcaXjhVMJwkI4tzpkgsFl/N2/AXCB2SNlWNScCcP69XHYImZ&#10;dh0fqT2FQkQI+wwVmBDqTEqfG7LoJ64mjt7VNRZDlE0hdYNdhNtKzpJkIS2WHBcM1rQxlP+fblZB&#10;683CjEL3V90PI7P3afd72RyUGn72P98gAvXhHX61d1rBPIXnl/gD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NnVwgAAANsAAAAPAAAAAAAAAAAAAAAAAJgCAABkcnMvZG93&#10;bnJldi54bWxQSwUGAAAAAAQABAD1AAAAhwMAAAAA&#10;" fillcolor="#c6d9f1 [671]" stroked="f" strokeweight="2pt">
                  <v:textbox>
                    <w:txbxContent>
                      <w:p w:rsidR="00EA5A7E" w:rsidRDefault="00EA5A7E" w:rsidP="006D0C3D">
                        <w:pPr>
                          <w:rPr>
                            <w:rFonts w:eastAsia="Times New Roman"/>
                          </w:rPr>
                        </w:pPr>
                      </w:p>
                      <w:p w:rsidR="00EA5A7E" w:rsidRDefault="00EA5A7E"/>
                    </w:txbxContent>
                  </v:textbox>
                </v:rect>
                <v:rect id="Rectangle 3" o:spid="_x0000_s1031" style="position:absolute;left:15240;top:762;width:9144;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6+68EA&#10;AADaAAAADwAAAGRycy9kb3ducmV2LnhtbESPT4vCMBTE78J+h/CEvWnqH2StRllEYU+CVRaPj+bZ&#10;lDYvpYm1++03guBxmJnfMOttb2vRUetLxwom4wQEce50yYWCy/kw+gLhA7LG2jEp+CMP283HYI2p&#10;dg8+UZeFQkQI+xQVmBCaVEqfG7Lox64hjt7NtRZDlG0hdYuPCLe1nCbJQlosOS4YbGhnKK+yu1VQ&#10;XA/7rq8MuZOfZfeqWV6Ov1qpz2H/vQIRqA/v8Kv9oxXM4Xkl3g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evuvBAAAA2gAAAA8AAAAAAAAAAAAAAAAAmAIAAGRycy9kb3du&#10;cmV2LnhtbFBLBQYAAAAABAAEAPUAAACGAwAAAAA=&#10;" fillcolor="black [3213]" stroked="f" strokeweight="2pt">
                  <v:textbo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Climate</w:t>
                        </w:r>
                      </w:p>
                    </w:txbxContent>
                  </v:textbox>
                </v:rect>
                <v:rect id="Rectangle 4" o:spid="_x0000_s1032" style="position:absolute;left:1428;top:22098;width:850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bA74A&#10;AADaAAAADwAAAGRycy9kb3ducmV2LnhtbESPzarCMBSE94LvEI7gTlMt/lCNIoLgwo1eH+DQHJtq&#10;c1KaWOvbG0G4y2FmvmHW285WoqXGl44VTMYJCOLc6ZILBde/w2gJwgdkjZVjUvAmD9tNv7fGTLsX&#10;n6m9hEJECPsMFZgQ6kxKnxuy6MeuJo7ezTUWQ5RNIXWDrwi3lZwmyVxaLDkuGKxpbyh/XJ5WwX2+&#10;cOUjPNPWeJnS1J32Mj0pNRx0uxWIQF34D//aR61gBt8r8Qb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XjmwO+AAAA2gAAAA8AAAAAAAAAAAAAAAAAmAIAAGRycy9kb3ducmV2&#10;LnhtbFBLBQYAAAAABAAEAPUAAACDAwAAAAA=&#10;" fillcolor="#31849b [2408]" stroked="f" strokeweight="2pt">
                  <v:textbo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Topography</w:t>
                        </w:r>
                      </w:p>
                    </w:txbxContent>
                  </v:textbox>
                </v:rect>
                <v:rect id="Rectangle 5" o:spid="_x0000_s1033" style="position:absolute;left:1428;top:13716;width:85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FdMEA&#10;AADaAAAADwAAAGRycy9kb3ducmV2LnhtbESPzWrDMBCE74G8g9hAb7FcG9ziRjbFUOghl6R9gMXa&#10;Wm6slbHkn759VQj0OMzMN8yp3uwgFpp871jBY5KCIG6d7rlT8PnxdnwG4QOyxsExKfghD3W1352w&#10;1G7lCy3X0IkIYV+iAhPCWErpW0MWfeJG4uh9ucliiHLqpJ5wjXA7yCxNC2mx57hgcKTGUHu7zlbB&#10;d/Hk+luY88V4mVPmzo3Mz0o9HLbXFxCBtvAfvrfftYIC/q7EGy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xBXTBAAAA2gAAAA8AAAAAAAAAAAAAAAAAmAIAAGRycy9kb3du&#10;cmV2LnhtbFBLBQYAAAAABAAEAPUAAACGAwAAAAA=&#10;" fillcolor="#31849b [2408]" stroked="f" strokeweight="2pt">
                  <v:textbo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Soil Structure</w:t>
                        </w:r>
                      </w:p>
                    </w:txbxContent>
                  </v:textbox>
                </v:rect>
                <v:rect id="Rectangle 6" o:spid="_x0000_s1034" style="position:absolute;left:1428;top:6096;width:85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2g770A&#10;AADaAAAADwAAAGRycy9kb3ducmV2LnhtbESPzQrCMBCE74LvEFbwpqkWVKpRRBA8ePHnAZZmbarN&#10;pjSx1rc3guBxmJlvmNWms5VoqfGlYwWTcQKCOHe65ELB9bIfLUD4gKyxckwK3uRhs+73Vphp9+IT&#10;tedQiAhhn6ECE0KdSelzQxb92NXE0bu5xmKIsimkbvAV4baS0ySZSYslxwWDNe0M5Y/z0yq4z+au&#10;fIRn2hovU5q6406mR6WGg267BBGoC//wr33QCubwvRJvgF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n2g770AAADaAAAADwAAAAAAAAAAAAAAAACYAgAAZHJzL2Rvd25yZXYu&#10;eG1sUEsFBgAAAAAEAAQA9QAAAIIDAAAAAA==&#10;" fillcolor="#31849b [2408]" stroked="f" strokeweight="2pt">
                  <v:textbo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Land Use</w:t>
                        </w:r>
                      </w:p>
                    </w:txbxContent>
                  </v:textbox>
                </v:rect>
                <v:rect id="Rectangle 7" o:spid="_x0000_s1035" style="position:absolute;left:13711;top:9905;width:12192;height:6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XUhMQA&#10;AADbAAAADwAAAGRycy9kb3ducmV2LnhtbESPQWsCMRSE7wX/Q3iCt5q1Ui2rUayg9NiqlPb22Dw3&#10;i5uXsMm6a399Uyh4HGbmG2a57m0trtSEyrGCyTgDQVw4XXGp4HTcPb6ACBFZY+2YFNwowHo1eFhi&#10;rl3HH3Q9xFIkCIccFZgYfS5lKAxZDGPniZN3do3FmGRTSt1gl+C2lk9ZNpMWK04LBj1tDRWXQ2sV&#10;+P3p/ftsXn03u30+7/uy/fqpWqVGw36zABGpj/fwf/tNK5jO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F1ITEAAAA2wAAAA8AAAAAAAAAAAAAAAAAmAIAAGRycy9k&#10;b3ducmV2LnhtbFBLBQYAAAAABAAEAPUAAACJAwAAAAA=&#10;" fillcolor="#4f81bd [3204]" stroked="f" strokeweight="2pt">
                  <v:textbo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Hydrologic Response Unit (HRUs)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6" type="#_x0000_t34" style="position:absolute;left:9906;top:8382;width:3810;height:38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cuA8EAAADbAAAADwAAAGRycy9kb3ducmV2LnhtbERPTWsCMRC9C/6HMIVepGbVImVrFCkI&#10;hYpQFXsdkml222SyJKlu/705CB4f73ux6r0TZ4qpDaxgMq5AEOtgWrYKjofN0wuIlJENusCk4J8S&#10;rJbDwQJrEy78Sed9tqKEcKpRQZNzV0uZdEMe0zh0xIX7DtFjLjBaaSJeSrh3clpVc+mx5dLQYEdv&#10;Denf/Z9XoHd2+2znbqp/JqOPU9xUX46PSj0+9OtXEJn6fBff3O9GwayMLV/KD5DLK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xy4DwQAAANsAAAAPAAAAAAAAAAAAAAAA&#10;AKECAABkcnMvZG93bnJldi54bWxQSwUGAAAAAAQABAD5AAAAjwMAAAAA&#10;" strokecolor="black [3213]" strokeweight="1.5pt"/>
                <v:shape id="Elbow Connector 13" o:spid="_x0000_s1037" type="#_x0000_t34" style="position:absolute;left:9906;top:12192;width:3810;height:1257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bTqcMAAADbAAAADwAAAGRycy9kb3ducmV2LnhtbESPT4vCMBTE74LfIbwFb5qqINo1yiIo&#10;K+phu+790bz+0ealNFmtfnojCB6HmfkNM1+2phIXalxpWcFwEIEgTq0uOVdw/F33pyCcR9ZYWSYF&#10;N3KwXHQ7c4y1vfIPXRKfiwBhF6OCwvs6ltKlBRl0A1sTBy+zjUEfZJNL3eA1wE0lR1E0kQZLDgsF&#10;1rQqKD0n/0YByeNQZpupLqPdPdue/mZ7XB2U6n20X58gPLX+HX61v7WC8QyeX8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m06nDAAAA2wAAAA8AAAAAAAAAAAAA&#10;AAAAoQIAAGRycy9kb3ducmV2LnhtbFBLBQYAAAAABAAEAPkAAACRAwAAAAA=&#10;" strokecolor="black [3213]" strokeweight="1.5pt">
                  <v:stroke endarrow="open"/>
                </v:shape>
                <v:shapetype id="_x0000_t32" coordsize="21600,21600" o:spt="32" o:oned="t" path="m,l21600,21600e" filled="f">
                  <v:path arrowok="t" fillok="f" o:connecttype="none"/>
                  <o:lock v:ext="edit" shapetype="t"/>
                </v:shapetype>
                <v:shape id="Straight Arrow Connector 27" o:spid="_x0000_s1038" type="#_x0000_t32" style="position:absolute;left:19812;top:4572;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CZcEAAADbAAAADwAAAGRycy9kb3ducmV2LnhtbERP3WrCMBS+F/YO4Qx2p6le6NY1laET&#10;diEMqw9waI5JZ3JSmsx2b79cDHb58f1X28k7cachdoEVLBcFCOI26I6Ngsv5MH8GEROyRheYFPxQ&#10;hG39MKuw1GHkE92bZEQO4ViiAptSX0oZW0se4yL0xJm7hsFjynAwUg845nDv5Koo1tJjx7nBYk87&#10;S+2t+fYKvj43L5fb3iyv5li4U+PGs30flXp6nN5eQSSa0r/4z/2hFazy2Pwl/wBZ/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I0JlwQAAANsAAAAPAAAAAAAAAAAAAAAA&#10;AKECAABkcnMvZG93bnJldi54bWxQSwUGAAAAAAQABAD5AAAAjwMAAAAA&#10;" strokecolor="black [3213]" strokeweight="1.5pt">
                  <v:stroke endarrow="open"/>
                </v:shape>
                <v:shape id="Straight Arrow Connector 32" o:spid="_x0000_s1039" type="#_x0000_t32" style="position:absolute;left:25908;top:12192;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5GycQAAADbAAAADwAAAGRycy9kb3ducmV2LnhtbESP3WoCMRSE7wu+QzhC72rWCla3Rin9&#10;AS+E4uoDHDbHZGtysmxSd/v2jSB4OczMN8xqM3gnLtTFJrCC6aQAQVwH3bBRcDx8PS1AxISs0QUm&#10;BX8UYbMePayw1KHnPV2qZESGcCxRgU2pLaWMtSWPcRJa4uydQucxZdkZqTvsM9w7+VwUc+mx4bxg&#10;saV3S/W5+vUKfr5flsfzh5mezK5w+8r1B/vZK/U4Ht5eQSQa0j18a2+1gtkMrl/y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XkbJxAAAANsAAAAPAAAAAAAAAAAA&#10;AAAAAKECAABkcnMvZG93bnJldi54bWxQSwUGAAAAAAQABAD5AAAAkgMAAAAA&#10;" strokecolor="black [3213]" strokeweight="1.5pt">
                  <v:stroke endarrow="open"/>
                </v:shape>
                <v:rect id="Rectangle 34" o:spid="_x0000_s1040" style="position:absolute;left:28194;top:9906;width:779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vvaMQA&#10;AADbAAAADwAAAGRycy9kb3ducmV2LnhtbESPT2sCMRTE74LfITyht5pti1JWo1Sh0mP9Q9HbY/Pc&#10;LG5ewibrrv30jVDwOMzMb5j5sre1uFITKscKXsYZCOLC6YpLBYf95/M7iBCRNdaOScGNAiwXw8Ec&#10;c+063tJ1F0uRIBxyVGBi9LmUoTBkMYydJ07e2TUWY5JNKXWDXYLbWr5m2VRarDgtGPS0NlRcdq1V&#10;4DeH79PZrHw3vf1MNn3ZHn+rVqmnUf8xAxGpj4/wf/tLK3ibwP1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b72jEAAAA2wAAAA8AAAAAAAAAAAAAAAAAmAIAAGRycy9k&#10;b3ducmV2LnhtbFBLBQYAAAAABAAEAPUAAACJAwAAAAA=&#10;" fillcolor="#4f81bd [3204]" stroked="f" strokeweight="2pt">
                  <v:textbo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Sub-basins</w:t>
                        </w:r>
                      </w:p>
                    </w:txbxContent>
                  </v:textbox>
                </v:rect>
                <v:shapetype id="_x0000_t202" coordsize="21600,21600" o:spt="202" path="m,l,21600r21600,l21600,xe">
                  <v:stroke joinstyle="miter"/>
                  <v:path gradientshapeok="t" o:connecttype="rect"/>
                </v:shapetype>
                <v:shape id="TextBox 57" o:spid="_x0000_s1041" type="#_x0000_t202" style="position:absolute;left:12154;top:15240;width:15134;height:10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5hsQA&#10;AADbAAAADwAAAGRycy9kb3ducmV2LnhtbERPz2vCMBS+C/4P4Qm7jJnaMRnVKLIxGSjK3A47Pptn&#10;W21eShJr3V9vDgOPH9/v6bwztWjJ+cqygtEwAUGcW11xoeDn++PpFYQPyBpry6TgSh7ms35vipm2&#10;F/6idhcKEUPYZ6igDKHJpPR5SQb90DbEkTtYZzBE6AqpHV5iuKllmiRjabDi2FBiQ28l5afd2Sj4&#10;27q1TdP1crT/fa7a8P543Kw2Sj0MusUERKAu3MX/7k+t4CWOjV/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VOYbEAAAA2wAAAA8AAAAAAAAAAAAAAAAAmAIAAGRycy9k&#10;b3ducmV2LnhtbFBLBQYAAAAABAAEAPUAAACJAwAAAAA=&#10;" filled="f" stroked="f">
                  <v:textbox>
                    <w:txbxContent>
                      <w:p w:rsidR="00EA5A7E" w:rsidRDefault="00EA5A7E" w:rsidP="006D0C3D">
                        <w:pPr>
                          <w:pStyle w:val="NormalWeb"/>
                          <w:spacing w:before="0" w:beforeAutospacing="0" w:after="0" w:afterAutospacing="0"/>
                        </w:pPr>
                        <w:r>
                          <w:rPr>
                            <w:rFonts w:asciiTheme="minorHAnsi" w:hAnsi="Calibri" w:cstheme="minorBidi"/>
                            <w:b/>
                            <w:bCs/>
                            <w:color w:val="000000" w:themeColor="text1"/>
                            <w:kern w:val="24"/>
                            <w:sz w:val="20"/>
                            <w:szCs w:val="20"/>
                          </w:rPr>
                          <w:t>Terrestrial Component:</w:t>
                        </w:r>
                      </w:p>
                      <w:p w:rsidR="00EA5A7E" w:rsidRDefault="00EA5A7E"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Water Yield</w:t>
                        </w:r>
                        <w:r>
                          <w:rPr>
                            <w:rFonts w:asciiTheme="minorHAnsi" w:hAnsi="Calibri" w:cstheme="minorBidi"/>
                            <w:color w:val="000000" w:themeColor="text1"/>
                            <w:kern w:val="24"/>
                            <w:sz w:val="20"/>
                            <w:szCs w:val="20"/>
                          </w:rPr>
                          <w:t xml:space="preserve"> (SCS Curve #)</w:t>
                        </w:r>
                      </w:p>
                      <w:p w:rsidR="00EA5A7E" w:rsidRDefault="00EA5A7E" w:rsidP="006D0C3D">
                        <w:pPr>
                          <w:pStyle w:val="NormalWeb"/>
                          <w:spacing w:before="0" w:beforeAutospacing="0" w:after="0" w:afterAutospacing="0"/>
                        </w:pPr>
                        <w:r w:rsidRPr="00186C59">
                          <w:rPr>
                            <w:rFonts w:asciiTheme="minorHAnsi" w:hAnsi="Calibri" w:cstheme="minorBidi"/>
                            <w:b/>
                            <w:i/>
                            <w:color w:val="000000" w:themeColor="text1"/>
                            <w:kern w:val="24"/>
                            <w:sz w:val="20"/>
                            <w:szCs w:val="20"/>
                          </w:rPr>
                          <w:t>Sediment Yield</w:t>
                        </w:r>
                        <w:r>
                          <w:rPr>
                            <w:rFonts w:asciiTheme="minorHAnsi" w:hAnsi="Calibri" w:cstheme="minorBidi"/>
                            <w:color w:val="000000" w:themeColor="text1"/>
                            <w:kern w:val="24"/>
                            <w:sz w:val="20"/>
                            <w:szCs w:val="20"/>
                          </w:rPr>
                          <w:t xml:space="preserve"> (MUSLE)</w:t>
                        </w:r>
                      </w:p>
                      <w:p w:rsidR="00EA5A7E" w:rsidRDefault="00EA5A7E" w:rsidP="006D0C3D">
                        <w:pPr>
                          <w:pStyle w:val="NormalWeb"/>
                          <w:spacing w:before="0" w:beforeAutospacing="0" w:after="0" w:afterAutospacing="0"/>
                          <w:rPr>
                            <w:rFonts w:asciiTheme="minorHAnsi" w:hAnsi="Calibri" w:cstheme="minorBidi"/>
                            <w:color w:val="000000" w:themeColor="text1"/>
                            <w:kern w:val="24"/>
                            <w:sz w:val="20"/>
                            <w:szCs w:val="20"/>
                          </w:rPr>
                        </w:pPr>
                        <w:r w:rsidRPr="00186C59">
                          <w:rPr>
                            <w:rFonts w:asciiTheme="minorHAnsi" w:hAnsi="Calibri" w:cstheme="minorBidi"/>
                            <w:b/>
                            <w:i/>
                            <w:color w:val="000000" w:themeColor="text1"/>
                            <w:kern w:val="24"/>
                            <w:sz w:val="20"/>
                            <w:szCs w:val="20"/>
                          </w:rPr>
                          <w:t>Nutrient Yield</w:t>
                        </w:r>
                        <w:r>
                          <w:rPr>
                            <w:rFonts w:asciiTheme="minorHAnsi" w:hAnsi="Calibri" w:cstheme="minorBidi"/>
                            <w:color w:val="000000" w:themeColor="text1"/>
                            <w:kern w:val="24"/>
                            <w:sz w:val="20"/>
                            <w:szCs w:val="20"/>
                          </w:rPr>
                          <w:t xml:space="preserve"> (Mass </w:t>
                        </w:r>
                      </w:p>
                      <w:p w:rsidR="00EA5A7E" w:rsidRDefault="00EA5A7E" w:rsidP="006D0C3D">
                        <w:pPr>
                          <w:pStyle w:val="NormalWeb"/>
                          <w:spacing w:before="0" w:beforeAutospacing="0" w:after="0" w:afterAutospacing="0"/>
                        </w:pPr>
                        <w:r>
                          <w:rPr>
                            <w:rFonts w:asciiTheme="minorHAnsi" w:hAnsi="Calibri" w:cstheme="minorBidi"/>
                            <w:color w:val="000000" w:themeColor="text1"/>
                            <w:kern w:val="24"/>
                            <w:sz w:val="20"/>
                            <w:szCs w:val="20"/>
                          </w:rPr>
                          <w:t>Balance)</w:t>
                        </w:r>
                      </w:p>
                    </w:txbxContent>
                  </v:textbox>
                </v:shape>
                <v:rect id="Rectangle 82" o:spid="_x0000_s1042" style="position:absolute;left:38100;top:9906;width:761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EbYMQA&#10;AADbAAAADwAAAGRycy9kb3ducmV2LnhtbESPQWsCMRSE7wX/Q3hCbzXbloqsRqlCpcdqpejtsXlu&#10;FjcvYZN11/56Iwgeh5n5hpkteluLMzWhcqzgdZSBIC6crrhUsPv9epmACBFZY+2YFFwowGI+eJph&#10;rl3HGzpvYykShEOOCkyMPpcyFIYshpHzxMk7usZiTLIppW6wS3Bby7csG0uLFacFg55WhorTtrUK&#10;/Hr3cziape/Gl7+PdV+2+/+qVep52H9OQUTq4yN8b39rBZN3uH1JP0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BG2DEAAAA2wAAAA8AAAAAAAAAAAAAAAAAmAIAAGRycy9k&#10;b3ducmV2LnhtbFBLBQYAAAAABAAEAPUAAACJAwAAAAA=&#10;" fillcolor="#4f81bd [3204]" stroked="f" strokeweight="2pt">
                  <v:textbo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In-stream</w:t>
                        </w:r>
                        <w:r>
                          <w:rPr>
                            <w:rFonts w:asciiTheme="minorHAnsi" w:hAnsi="Calibri" w:cstheme="minorBidi"/>
                            <w:color w:val="FFFFFF" w:themeColor="light1"/>
                            <w:kern w:val="24"/>
                            <w:sz w:val="20"/>
                            <w:szCs w:val="20"/>
                          </w:rPr>
                          <w:t xml:space="preserve"> </w:t>
                        </w:r>
                        <w:r>
                          <w:rPr>
                            <w:rFonts w:asciiTheme="minorHAnsi" w:hAnsi="Calibri" w:cstheme="minorBidi"/>
                            <w:b/>
                            <w:bCs/>
                            <w:color w:val="FFFFFF" w:themeColor="light1"/>
                            <w:kern w:val="24"/>
                            <w:sz w:val="20"/>
                            <w:szCs w:val="20"/>
                          </w:rPr>
                          <w:t>Processes</w:t>
                        </w:r>
                      </w:p>
                    </w:txbxContent>
                  </v:textbox>
                </v:rect>
                <v:shape id="Straight Arrow Connector 84" o:spid="_x0000_s1043" type="#_x0000_t32" style="position:absolute;left:36004;top:12192;width:211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SywcQAAADbAAAADwAAAGRycy9kb3ducmV2LnhtbESP3WoCMRSE74W+QzhC7zRrof6sRin9&#10;AS8K4uoDHDbHZDU5WTapu337plDo5TAz3zCb3eCduFMXm8AKZtMCBHEddMNGwfn0MVmCiAlZowtM&#10;Cr4pwm77MNpgqUPPR7pXyYgM4ViiAptSW0oZa0se4zS0xNm7hM5jyrIzUnfYZ7h38qko5tJjw3nB&#10;Ykuvlupb9eUVXA+L1fn2ZmYX81m4Y+X6k33vlXocDy9rEImG9B/+a++1guUz/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RLLBxAAAANsAAAAPAAAAAAAAAAAA&#10;AAAAAKECAABkcnMvZG93bnJldi54bWxQSwUGAAAAAAQABAD5AAAAkgMAAAAA&#10;" strokecolor="black [3213]" strokeweight="1.5pt">
                  <v:stroke endarrow="open"/>
                </v:shape>
                <v:shape id="TextBox 87" o:spid="_x0000_s1044" type="#_x0000_t202" style="position:absolute;left:26667;top:14478;width:19805;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b4A&#10;AADbAAAADwAAAGRycy9kb3ducmV2LnhtbERPS4vCMBC+L/gfwgje1lTBRapRxAd42Mu69T40Y1Ns&#10;JqUZbf335rCwx4/vvd4OvlFP6mId2MBsmoEiLoOtuTJQ/J4+l6CiIFtsApOBF0XYbkYfa8xt6PmH&#10;nhepVArhmKMBJ9LmWsfSkcc4DS1x4m6h8ygJdpW2HfYp3Dd6nmVf2mPNqcFhS3tH5f3y8AZE7G72&#10;Ko4+nq/D96F3WbnAwpjJeNitQAkN8i/+c5+tgWUam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z//rm+AAAA2wAAAA8AAAAAAAAAAAAAAAAAmAIAAGRycy9kb3ducmV2&#10;LnhtbFBLBQYAAAAABAAEAPUAAACDAwAAAAA=&#10;" filled="f" stroked="f">
                  <v:textbox style="mso-fit-shape-to-text:t">
                    <w:txbxContent>
                      <w:p w:rsidR="00EA5A7E" w:rsidRDefault="00EA5A7E" w:rsidP="006D0C3D">
                        <w:pPr>
                          <w:pStyle w:val="NormalWeb"/>
                          <w:spacing w:before="0" w:beforeAutospacing="0" w:after="0" w:afterAutospacing="0"/>
                        </w:pPr>
                        <w:r>
                          <w:rPr>
                            <w:rFonts w:asciiTheme="minorHAnsi" w:hAnsi="Calibri" w:cstheme="minorBidi"/>
                            <w:b/>
                            <w:bCs/>
                            <w:color w:val="000000" w:themeColor="text1"/>
                            <w:kern w:val="24"/>
                            <w:sz w:val="20"/>
                            <w:szCs w:val="20"/>
                          </w:rPr>
                          <w:t>Sub-basin/reach scale</w:t>
                        </w:r>
                      </w:p>
                      <w:p w:rsidR="00EA5A7E" w:rsidRDefault="00EA5A7E" w:rsidP="006D0C3D">
                        <w:pPr>
                          <w:pStyle w:val="NormalWeb"/>
                          <w:spacing w:before="0" w:beforeAutospacing="0" w:after="0" w:afterAutospacing="0"/>
                        </w:pPr>
                        <w:r>
                          <w:rPr>
                            <w:rFonts w:asciiTheme="minorHAnsi" w:hAnsi="Calibri" w:cstheme="minorBidi"/>
                            <w:color w:val="000000" w:themeColor="text1"/>
                            <w:kern w:val="24"/>
                            <w:sz w:val="20"/>
                            <w:szCs w:val="20"/>
                          </w:rPr>
                          <w:t>Adds terrestrial yields, sub-surface contributions, and inputs from upstream reaches to current reach, and computes in-stream processes for current reach.</w:t>
                        </w:r>
                      </w:p>
                    </w:txbxContent>
                  </v:textbox>
                </v:shape>
                <v:rect id="Rectangle 96" o:spid="_x0000_s1045" style="position:absolute;left:48573;top:9906;width:8583;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OLvsQA&#10;AADbAAAADwAAAGRycy9kb3ducmV2LnhtbESPQWsCMRSE7wX/Q3iCt5q1oLWrUayg9NiqlPb22Dw3&#10;i5uXsMm6a399Uyh4HGbmG2a57m0trtSEyrGCyTgDQVw4XXGp4HTcPc5BhIissXZMCm4UYL0aPCwx&#10;167jD7oeYikShEOOCkyMPpcyFIYshrHzxMk7u8ZiTLIppW6wS3Bby6csm0mLFacFg562horLobUK&#10;/P70/n02r76b3T6n+75sv36qVqnRsN8sQETq4z38337TCl6e4e9L+g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ji77EAAAA2wAAAA8AAAAAAAAAAAAAAAAAmAIAAGRycy9k&#10;b3ducmV2LnhtbFBLBQYAAAAABAAEAPUAAACJAwAAAAA=&#10;" fillcolor="#4f81bd [3204]" stroked="f" strokeweight="2pt">
                  <v:textbox>
                    <w:txbxContent>
                      <w:p w:rsidR="00EA5A7E" w:rsidRDefault="00EA5A7E" w:rsidP="006D0C3D">
                        <w:pPr>
                          <w:pStyle w:val="NormalWeb"/>
                          <w:spacing w:before="0" w:beforeAutospacing="0" w:after="0" w:afterAutospacing="0"/>
                          <w:jc w:val="center"/>
                        </w:pPr>
                        <w:r>
                          <w:rPr>
                            <w:rFonts w:asciiTheme="minorHAnsi" w:hAnsi="Calibri" w:cstheme="minorBidi"/>
                            <w:b/>
                            <w:bCs/>
                            <w:color w:val="FFFFFF" w:themeColor="light1"/>
                            <w:kern w:val="24"/>
                            <w:sz w:val="20"/>
                            <w:szCs w:val="20"/>
                          </w:rPr>
                          <w:t>Watershed</w:t>
                        </w:r>
                      </w:p>
                    </w:txbxContent>
                  </v:textbox>
                </v:rect>
                <v:shape id="Straight Arrow Connector 98" o:spid="_x0000_s1046" type="#_x0000_t32" style="position:absolute;left:45720;top:12192;width:28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AuGcQAAADbAAAADwAAAGRycy9kb3ducmV2LnhtbESP3WoCMRSE7wXfIRyhd5q1F213NYr0&#10;B3pREFcf4LA5JqvJybJJ3e3bNwWhl8PMfMOst6N34kZ9bAMrWC4KEMRN0C0bBafjx/wFREzIGl1g&#10;UvBDEbab6WSNlQ4DH+hWJyMyhGOFCmxKXSVlbCx5jIvQEWfvHHqPKcveSN3jkOHeyceieJIeW84L&#10;Fjt6tdRc62+v4LJ/Lk/XN7M8m6/CHWo3HO37oNTDbNytQCQa03/43v7UCsoS/r7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0C4ZxAAAANsAAAAPAAAAAAAAAAAA&#10;AAAAAKECAABkcnMvZG93bnJldi54bWxQSwUGAAAAAAQABAD5AAAAkgMAAAAA&#10;" strokecolor="black [3213]" strokeweight="1.5pt">
                  <v:stroke endarrow="open"/>
                </v:shape>
                <v:shape id="TextBox 104" o:spid="_x0000_s1047" type="#_x0000_t202" style="position:absolute;left:47236;top:14478;width:10987;height:86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VEbcIA&#10;AADcAAAADwAAAGRycy9kb3ducmV2LnhtbERP3WrCMBS+F/YO4Qx2p4kyRWtTGW4D7+bfAxyas6Zr&#10;c1KaTDuffhkMvDsf3+/JN4NrxYX6UHvWMJ0oEMSlNzVXGs6n9/ESRIjIBlvPpOGHAmyKh1GOmfFX&#10;PtDlGCuRQjhkqMHG2GVShtKSwzDxHXHiPn3vMCbYV9L0eE3hrpUzpRbSYc2pwWJHW0tlc/x2GpbK&#10;fTTNarYP7vk2ndvtq3/rvrR+ehxe1iAiDfEu/nfvTJqv5vD3TL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JURtwgAAANwAAAAPAAAAAAAAAAAAAAAAAJgCAABkcnMvZG93&#10;bnJldi54bWxQSwUGAAAAAAQABAD1AAAAhwMAAAAA&#10;" filled="f" stroked="f">
                  <v:textbox style="mso-fit-shape-to-text:t">
                    <w:txbxContent>
                      <w:p w:rsidR="00EA5A7E" w:rsidRDefault="00EA5A7E" w:rsidP="006D0C3D">
                        <w:pPr>
                          <w:pStyle w:val="NormalWeb"/>
                          <w:spacing w:before="0" w:beforeAutospacing="0" w:after="0" w:afterAutospacing="0"/>
                        </w:pPr>
                        <w:r>
                          <w:rPr>
                            <w:rFonts w:asciiTheme="minorHAnsi" w:hAnsi="Calibri" w:cstheme="minorBidi"/>
                            <w:b/>
                            <w:bCs/>
                            <w:color w:val="FFFFFF" w:themeColor="background1"/>
                            <w:kern w:val="24"/>
                            <w:sz w:val="20"/>
                            <w:szCs w:val="20"/>
                          </w:rPr>
                          <w:t>Outputs</w:t>
                        </w:r>
                      </w:p>
                      <w:p w:rsidR="00EA5A7E" w:rsidRPr="00186C59" w:rsidRDefault="00EA5A7E"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Flow</w:t>
                        </w:r>
                      </w:p>
                      <w:p w:rsidR="00EA5A7E" w:rsidRPr="00186C59" w:rsidRDefault="00EA5A7E"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Sediment</w:t>
                        </w:r>
                      </w:p>
                      <w:p w:rsidR="00EA5A7E" w:rsidRPr="00186C59" w:rsidRDefault="00EA5A7E"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Nitrogen</w:t>
                        </w:r>
                      </w:p>
                      <w:p w:rsidR="00EA5A7E" w:rsidRPr="00186C59" w:rsidRDefault="00EA5A7E" w:rsidP="006D0C3D">
                        <w:pPr>
                          <w:pStyle w:val="NormalWeb"/>
                          <w:spacing w:before="0" w:beforeAutospacing="0" w:after="0" w:afterAutospacing="0"/>
                          <w:rPr>
                            <w:b/>
                            <w:i/>
                          </w:rPr>
                        </w:pPr>
                        <w:r w:rsidRPr="00186C59">
                          <w:rPr>
                            <w:rFonts w:asciiTheme="minorHAnsi" w:hAnsi="Calibri" w:cstheme="minorBidi"/>
                            <w:b/>
                            <w:i/>
                            <w:color w:val="FFFFFF" w:themeColor="background1"/>
                            <w:kern w:val="24"/>
                            <w:sz w:val="20"/>
                            <w:szCs w:val="20"/>
                          </w:rPr>
                          <w:t>Total Phosphorus</w:t>
                        </w:r>
                      </w:p>
                    </w:txbxContent>
                  </v:textbox>
                </v:shape>
                <v:line id="Straight Connector 143" o:spid="_x0000_s1048" style="position:absolute;visibility:visible;mso-wrap-style:square" from="9713,16002" to="11812,16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5Ao8EAAADcAAAADwAAAGRycy9kb3ducmV2LnhtbERPTWvCQBC9F/wPywi91U1FpKSuIRXU&#10;Xhv10NuQHbPB7GzY3Zj033cLQm/zeJ+zKSbbiTv50DpW8LrIQBDXTrfcKDif9i9vIEJE1tg5JgU/&#10;FKDYzp42mGs38hfdq9iIFMIhRwUmxj6XMtSGLIaF64kTd3XeYkzQN1J7HFO47eQyy9bSYsupwWBP&#10;O0P1rRqsgu/hI/rjSZZjNe0OZrnv6sFdlHqeT+U7iEhT/Bc/3J86zV+t4O+ZdIH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kCjwQAAANwAAAAPAAAAAAAAAAAAAAAA&#10;AKECAABkcnMvZG93bnJldi54bWxQSwUGAAAAAAQABAD5AAAAjwMAAAAA&#10;" strokecolor="black [3213]" strokeweight="1.5pt"/>
                <w10:anchorlock/>
              </v:group>
            </w:pict>
          </mc:Fallback>
        </mc:AlternateContent>
      </w:r>
    </w:p>
    <w:p w:rsidR="000C0D7D" w:rsidRDefault="006D0C3D" w:rsidP="004559AB">
      <w:pPr>
        <w:spacing w:line="240" w:lineRule="auto"/>
      </w:pPr>
      <w:r>
        <w:t xml:space="preserve">  </w:t>
      </w:r>
      <w:r w:rsidRPr="00EE2C5B">
        <w:rPr>
          <w:b/>
        </w:rPr>
        <w:t>Figure 3</w:t>
      </w:r>
      <w:r>
        <w:t>:  Conceptual diagram of SWAT.</w:t>
      </w:r>
    </w:p>
    <w:p w:rsidR="006D0C3D" w:rsidRDefault="006D0C3D" w:rsidP="004559AB">
      <w:pPr>
        <w:spacing w:line="240" w:lineRule="auto"/>
      </w:pPr>
    </w:p>
    <w:p w:rsidR="006D0C3D" w:rsidRDefault="004559AB" w:rsidP="004559AB">
      <w:pPr>
        <w:spacing w:line="240" w:lineRule="auto"/>
        <w:ind w:firstLine="720"/>
      </w:pPr>
      <w:r>
        <w:t xml:space="preserve">SWAT uses the Modified Universal Soil Loss Equation (MUSLE, Williams, 1975) to model sediment transport across the landscape.  The MUSLE uses runoff instead of precipitation as a measure of erosive energy.  Since the majority of field level studies have been done using the USLE, SWAT also provides USLE output for comparison purposes.  The nitrogen mass balance is budgeted into five pools, and two main categories: Mineral N and Organic N.  Mineral N consists of the ammonia and nitrate pools, while organic N consists of the fresh organic N (biomass) and active and stable organic N pools.  </w:t>
      </w:r>
      <w:r>
        <w:lastRenderedPageBreak/>
        <w:t>The Phosphorus mass balance is budgeted into six pools split between mineral and organic P.  Mineral P consists of the stable, active, and solution pools, while organic P consists of the stable, active, and fresh (biomass) pools</w:t>
      </w:r>
      <w:r w:rsidR="005D57F9">
        <w:t xml:space="preserve"> (</w:t>
      </w:r>
      <w:proofErr w:type="spellStart"/>
      <w:r w:rsidR="005D57F9">
        <w:t>Neitsch</w:t>
      </w:r>
      <w:proofErr w:type="spellEnd"/>
      <w:r w:rsidR="005D57F9">
        <w:t xml:space="preserve"> 2011)</w:t>
      </w:r>
      <w:r>
        <w:t xml:space="preserve">.  </w:t>
      </w:r>
    </w:p>
    <w:p w:rsidR="004559AB" w:rsidRDefault="004559AB" w:rsidP="006D0C3D">
      <w:pPr>
        <w:spacing w:line="240" w:lineRule="auto"/>
        <w:jc w:val="center"/>
      </w:pPr>
    </w:p>
    <w:p w:rsidR="00FB147F" w:rsidRDefault="004559AB" w:rsidP="004559AB">
      <w:pPr>
        <w:spacing w:line="240" w:lineRule="auto"/>
      </w:pPr>
      <w:r>
        <w:tab/>
      </w:r>
      <w:r w:rsidR="00FB147F">
        <w:t>There are several options for m</w:t>
      </w:r>
      <w:r>
        <w:t>odeling in-stream sediment</w:t>
      </w:r>
      <w:r w:rsidR="00FB147F">
        <w:t xml:space="preserve"> processes.</w:t>
      </w:r>
      <w:r>
        <w:t xml:space="preserve"> Channel sediment deposition and re-entrainment are modeled using one of four equations.  The Simplified </w:t>
      </w:r>
      <w:proofErr w:type="spellStart"/>
      <w:r>
        <w:t>Bangold</w:t>
      </w:r>
      <w:proofErr w:type="spellEnd"/>
      <w:r>
        <w:t xml:space="preserve"> equation is the default, but does not pool sediment by particle size.  Three other options are available to do so.  We chose the Simplified </w:t>
      </w:r>
      <w:proofErr w:type="spellStart"/>
      <w:r>
        <w:t>Bangold</w:t>
      </w:r>
      <w:proofErr w:type="spellEnd"/>
      <w:r>
        <w:t xml:space="preserve"> equation </w:t>
      </w:r>
      <w:r w:rsidRPr="00C22B81">
        <w:t>since the two basins have relatively homogenous sediments.</w:t>
      </w:r>
      <w:r>
        <w:t xml:space="preserve">   </w:t>
      </w:r>
    </w:p>
    <w:p w:rsidR="004559AB" w:rsidRPr="002459D6" w:rsidRDefault="00FB147F" w:rsidP="00FB147F">
      <w:pPr>
        <w:spacing w:line="240" w:lineRule="auto"/>
        <w:ind w:firstLine="720"/>
      </w:pPr>
      <w:r>
        <w:t xml:space="preserve">In-stream nutrient processes are optional, but </w:t>
      </w:r>
      <w:r w:rsidR="00091FC2">
        <w:t xml:space="preserve">are sometimes necessary </w:t>
      </w:r>
      <w:r>
        <w:t xml:space="preserve">for accurate results.  </w:t>
      </w:r>
      <w:r w:rsidR="00274A2C">
        <w:t>SWAT uses algorithms from t</w:t>
      </w:r>
      <w:r w:rsidR="004559AB">
        <w:t xml:space="preserve">he QUAL2E </w:t>
      </w:r>
      <w:r w:rsidR="00274A2C">
        <w:t xml:space="preserve">model to simulate nutrient transport between the stream and algae </w:t>
      </w:r>
      <w:r w:rsidR="004559AB">
        <w:t xml:space="preserve">(Brown and Barnwell, 1987). </w:t>
      </w:r>
    </w:p>
    <w:p w:rsidR="004559AB" w:rsidRDefault="004559AB" w:rsidP="004559AB">
      <w:pPr>
        <w:spacing w:line="240" w:lineRule="auto"/>
        <w:rPr>
          <w:b/>
        </w:rPr>
      </w:pPr>
    </w:p>
    <w:p w:rsidR="004559AB" w:rsidRDefault="004559AB" w:rsidP="00662AA9">
      <w:pPr>
        <w:pStyle w:val="Heading3"/>
      </w:pPr>
      <w:r>
        <w:t>3.2.2 Calibration Metrics</w:t>
      </w:r>
    </w:p>
    <w:p w:rsidR="004559AB" w:rsidRDefault="004559AB" w:rsidP="004559AB">
      <w:pPr>
        <w:spacing w:line="240" w:lineRule="auto"/>
      </w:pPr>
    </w:p>
    <w:p w:rsidR="004559AB" w:rsidRDefault="004559AB" w:rsidP="004559AB">
      <w:pPr>
        <w:spacing w:line="240" w:lineRule="auto"/>
      </w:pPr>
      <w:r>
        <w:tab/>
        <w:t xml:space="preserve">The efficacy of a watershed model is measured by how closely the model’s simulated output compares to measured observed flow data.  Among the many metrics, we used the three suggested by </w:t>
      </w:r>
      <w:proofErr w:type="spellStart"/>
      <w:r>
        <w:t>Moriasi</w:t>
      </w:r>
      <w:proofErr w:type="spellEnd"/>
      <w:r>
        <w:t xml:space="preserve"> (2007):  </w:t>
      </w:r>
      <w:proofErr w:type="spellStart"/>
      <w:r>
        <w:t>Nashe</w:t>
      </w:r>
      <w:proofErr w:type="spellEnd"/>
      <w:r>
        <w:t xml:space="preserve">-Sutcliffe Efficiency (NSE), percent bias (PBIAS), and the RMSE-observations standard deviation (RSR).  </w:t>
      </w:r>
    </w:p>
    <w:p w:rsidR="004559AB" w:rsidRDefault="004559AB" w:rsidP="004559AB">
      <w:pPr>
        <w:spacing w:line="240" w:lineRule="auto"/>
        <w:ind w:firstLine="720"/>
      </w:pPr>
      <w:r>
        <w:t>The NSE is calculated as follows:</w:t>
      </w:r>
    </w:p>
    <w:p w:rsidR="004559AB" w:rsidRDefault="004559AB" w:rsidP="004559AB">
      <w:pPr>
        <w:spacing w:line="240" w:lineRule="auto"/>
        <w:ind w:firstLine="720"/>
      </w:pPr>
    </w:p>
    <w:p w:rsidR="004559AB" w:rsidRDefault="004559AB" w:rsidP="004559AB">
      <w:pPr>
        <w:spacing w:line="240" w:lineRule="auto"/>
        <w:rPr>
          <w:rFonts w:eastAsiaTheme="minorEastAsia"/>
        </w:rPr>
      </w:pPr>
      <m:oMathPara>
        <m:oMath>
          <m:r>
            <w:rPr>
              <w:rFonts w:ascii="Cambria Math" w:hAnsi="Cambria Math"/>
            </w:rPr>
            <m:t>NSE=1-</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den>
          </m:f>
        </m:oMath>
      </m:oMathPara>
    </w:p>
    <w:p w:rsidR="004559AB" w:rsidRPr="0038369A" w:rsidRDefault="004559AB" w:rsidP="004559AB">
      <w:pPr>
        <w:spacing w:line="240" w:lineRule="auto"/>
      </w:pPr>
    </w:p>
    <w:p w:rsidR="004559AB" w:rsidRDefault="004559AB" w:rsidP="004559AB">
      <w:pPr>
        <w:spacing w:line="240" w:lineRule="auto"/>
        <w:rPr>
          <w:rFonts w:eastAsiaTheme="minorEastAsia"/>
        </w:rPr>
      </w:pPr>
      <w:proofErr w:type="gramStart"/>
      <w:r>
        <w:t>where</w:t>
      </w:r>
      <w:proofErr w:type="gramEnd"/>
      <w:r>
        <w:t xml:space="preserve"> </w:t>
      </w:r>
      <m:oMath>
        <m:r>
          <w:rPr>
            <w:rFonts w:ascii="Cambria Math" w:hAnsi="Cambria Math"/>
          </w:rPr>
          <m:t>n</m:t>
        </m:r>
      </m:oMath>
      <w:r>
        <w:t xml:space="preserve"> represents the number of observations,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observed data point,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oMath>
      <w:r>
        <w:rPr>
          <w:rFonts w:eastAsiaTheme="minorEastAsia"/>
        </w:rP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simulated data point, and </w:t>
      </w:r>
      <m:oMath>
        <m:sSup>
          <m:sSupPr>
            <m:ctrlPr>
              <w:rPr>
                <w:rFonts w:ascii="Cambria Math" w:hAnsi="Cambria Math"/>
                <w:i/>
              </w:rPr>
            </m:ctrlPr>
          </m:sSupPr>
          <m:e>
            <m:r>
              <w:rPr>
                <w:rFonts w:ascii="Cambria Math" w:hAnsi="Cambria Math"/>
              </w:rPr>
              <m:t>Y</m:t>
            </m:r>
          </m:e>
          <m:sup>
            <m:r>
              <w:rPr>
                <w:rFonts w:ascii="Cambria Math" w:hAnsi="Cambria Math"/>
              </w:rPr>
              <m:t>mean</m:t>
            </m:r>
          </m:sup>
        </m:sSup>
      </m:oMath>
      <w:r>
        <w:rPr>
          <w:rFonts w:eastAsiaTheme="minorEastAsia"/>
        </w:rPr>
        <w:t xml:space="preserve"> is the mean of all the observed data points.  If the model perfectly fits the observed data</w:t>
      </w:r>
      <w:proofErr w:type="gramStart"/>
      <w:r>
        <w:rPr>
          <w:rFonts w:eastAsiaTheme="minorEastAsia"/>
        </w:rPr>
        <w:t xml:space="preserve">, </w:t>
      </w:r>
      <w:proofErr w:type="gramEnd"/>
      <m:oMath>
        <m:r>
          <w:rPr>
            <w:rFonts w:ascii="Cambria Math" w:hAnsi="Cambria Math"/>
          </w:rPr>
          <m:t>NSE=1</m:t>
        </m:r>
      </m:oMath>
      <w:r>
        <w:rPr>
          <w:rFonts w:eastAsiaTheme="minorEastAsia"/>
        </w:rPr>
        <w:t>.  If the model is just as good as taking the mean of the observed data</w:t>
      </w:r>
      <w:proofErr w:type="gramStart"/>
      <w:r>
        <w:rPr>
          <w:rFonts w:eastAsiaTheme="minorEastAsia"/>
        </w:rPr>
        <w:t xml:space="preserve">, </w:t>
      </w:r>
      <w:proofErr w:type="gramEnd"/>
      <m:oMath>
        <m:r>
          <w:rPr>
            <w:rFonts w:ascii="Cambria Math" w:hAnsi="Cambria Math"/>
          </w:rPr>
          <m:t>NSE=0</m:t>
        </m:r>
      </m:oMath>
      <w:r>
        <w:rPr>
          <w:rFonts w:eastAsiaTheme="minorEastAsia"/>
        </w:rPr>
        <w:t xml:space="preserve">.  </w:t>
      </w:r>
      <w:proofErr w:type="gramStart"/>
      <w:r>
        <w:rPr>
          <w:rFonts w:eastAsiaTheme="minorEastAsia"/>
        </w:rPr>
        <w:t xml:space="preserve">If </w:t>
      </w:r>
      <w:proofErr w:type="gramEnd"/>
      <m:oMath>
        <m:r>
          <w:rPr>
            <w:rFonts w:ascii="Cambria Math" w:hAnsi="Cambria Math"/>
          </w:rPr>
          <m:t>NSE&lt;0</m:t>
        </m:r>
      </m:oMath>
      <w:r>
        <w:rPr>
          <w:rFonts w:eastAsiaTheme="minorEastAsia"/>
        </w:rPr>
        <w:t>, you are better off using the mean of the observed data.</w:t>
      </w:r>
    </w:p>
    <w:p w:rsidR="004559AB" w:rsidRDefault="004559AB" w:rsidP="004559AB">
      <w:pPr>
        <w:spacing w:line="240" w:lineRule="auto"/>
        <w:rPr>
          <w:rFonts w:eastAsiaTheme="minorEastAsia"/>
        </w:rPr>
      </w:pPr>
      <w:r>
        <w:rPr>
          <w:rFonts w:eastAsiaTheme="minorEastAsia"/>
        </w:rPr>
        <w:tab/>
        <w:t>PBIAS is a measure of the model’s t</w:t>
      </w:r>
      <w:r w:rsidR="00A00788">
        <w:rPr>
          <w:rFonts w:eastAsiaTheme="minorEastAsia"/>
        </w:rPr>
        <w:t>endency to either over or under-</w:t>
      </w:r>
      <w:r w:rsidR="00F6713B">
        <w:rPr>
          <w:rFonts w:eastAsiaTheme="minorEastAsia"/>
        </w:rPr>
        <w:t>predict</w:t>
      </w:r>
      <w:r>
        <w:rPr>
          <w:rFonts w:eastAsiaTheme="minorEastAsia"/>
        </w:rPr>
        <w:t>, and is calculated as follows:</w:t>
      </w:r>
    </w:p>
    <w:p w:rsidR="004559AB" w:rsidRDefault="004559AB" w:rsidP="004559AB">
      <w:pPr>
        <w:spacing w:line="240" w:lineRule="auto"/>
        <w:rPr>
          <w:rFonts w:eastAsiaTheme="minorEastAsia"/>
        </w:rPr>
      </w:pPr>
    </w:p>
    <w:p w:rsidR="004559AB" w:rsidRDefault="004559AB" w:rsidP="004559AB">
      <w:pPr>
        <w:spacing w:line="240" w:lineRule="auto"/>
        <w:rPr>
          <w:rFonts w:eastAsiaTheme="minorEastAsia"/>
        </w:rPr>
      </w:pPr>
      <m:oMathPara>
        <m:oMath>
          <m:r>
            <w:rPr>
              <w:rFonts w:ascii="Cambria Math" w:hAnsi="Cambria Math"/>
            </w:rPr>
            <m:t>PBIAS=</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e>
                  </m:d>
                  <m:r>
                    <w:rPr>
                      <w:rFonts w:ascii="Cambria Math" w:hAnsi="Cambria Math"/>
                    </w:rPr>
                    <m:t>*100</m:t>
                  </m:r>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e>
              </m:nary>
            </m:den>
          </m:f>
        </m:oMath>
      </m:oMathPara>
    </w:p>
    <w:p w:rsidR="004559AB" w:rsidRPr="00E32175" w:rsidRDefault="004559AB" w:rsidP="004559AB">
      <w:pPr>
        <w:spacing w:line="240" w:lineRule="auto"/>
        <w:rPr>
          <w:rFonts w:eastAsiaTheme="minorEastAsia"/>
        </w:rPr>
      </w:pPr>
    </w:p>
    <w:p w:rsidR="004559AB" w:rsidRDefault="004559AB" w:rsidP="004559AB">
      <w:pPr>
        <w:spacing w:line="240" w:lineRule="auto"/>
      </w:pPr>
      <w:r>
        <w:t>If the model on average over predicts, PBIAS is greater than 0.  Under predictions result in negative PBIAS values.</w:t>
      </w:r>
    </w:p>
    <w:p w:rsidR="004559AB" w:rsidRDefault="004559AB" w:rsidP="004559AB">
      <w:pPr>
        <w:spacing w:line="240" w:lineRule="auto"/>
      </w:pPr>
      <w:r>
        <w:tab/>
        <w:t>The third metric is designed to give a description of the model’s absolute error, and is calculated as follows:</w:t>
      </w:r>
    </w:p>
    <w:p w:rsidR="004559AB" w:rsidRDefault="004559AB" w:rsidP="004559AB">
      <w:pPr>
        <w:spacing w:line="240" w:lineRule="auto"/>
      </w:pPr>
    </w:p>
    <w:p w:rsidR="004559AB" w:rsidRDefault="004559AB" w:rsidP="004559AB">
      <w:pPr>
        <w:spacing w:line="240" w:lineRule="auto"/>
        <w:rPr>
          <w:rFonts w:eastAsiaTheme="minorEastAsia"/>
        </w:rPr>
      </w:pPr>
      <m:oMathPara>
        <m:oMath>
          <m:r>
            <w:rPr>
              <w:rFonts w:ascii="Cambria Math" w:hAnsi="Cambria Math"/>
            </w:rPr>
            <m:t>RSR=</m:t>
          </m:r>
          <m:f>
            <m:fPr>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STDEV</m:t>
                  </m:r>
                </m:e>
                <m:sub>
                  <m:r>
                    <w:rPr>
                      <w:rFonts w:ascii="Cambria Math" w:hAnsi="Cambria Math"/>
                    </w:rPr>
                    <m:t>obs</m:t>
                  </m:r>
                </m:sub>
              </m:sSub>
            </m:den>
          </m:f>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sim</m:t>
                              </m:r>
                            </m:sup>
                          </m:sSubSup>
                          <m:r>
                            <w:rPr>
                              <w:rFonts w:ascii="Cambria Math" w:hAnsi="Cambria Math"/>
                            </w:rPr>
                            <m:t>)</m:t>
                          </m:r>
                        </m:e>
                        <m:sup>
                          <m:r>
                            <w:rPr>
                              <w:rFonts w:ascii="Cambria Math" w:hAnsi="Cambria Math"/>
                            </w:rPr>
                            <m:t>2</m:t>
                          </m:r>
                        </m:sup>
                      </m:sSup>
                    </m:e>
                  </m:nary>
                </m:e>
              </m:rad>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obs</m:t>
                              </m:r>
                            </m:sup>
                          </m:sSub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mean</m:t>
                              </m:r>
                            </m:sup>
                          </m:sSup>
                          <m:r>
                            <w:rPr>
                              <w:rFonts w:ascii="Cambria Math" w:hAnsi="Cambria Math"/>
                            </w:rPr>
                            <m:t>)</m:t>
                          </m:r>
                        </m:e>
                        <m:sup>
                          <m:r>
                            <w:rPr>
                              <w:rFonts w:ascii="Cambria Math" w:hAnsi="Cambria Math"/>
                            </w:rPr>
                            <m:t>2</m:t>
                          </m:r>
                        </m:sup>
                      </m:sSup>
                    </m:e>
                  </m:nary>
                </m:e>
              </m:rad>
            </m:den>
          </m:f>
        </m:oMath>
      </m:oMathPara>
    </w:p>
    <w:p w:rsidR="004559AB" w:rsidRDefault="004559AB" w:rsidP="004559AB">
      <w:pPr>
        <w:spacing w:line="240" w:lineRule="auto"/>
      </w:pPr>
    </w:p>
    <w:p w:rsidR="004559AB" w:rsidRDefault="004559AB" w:rsidP="004559AB">
      <w:pPr>
        <w:spacing w:line="240" w:lineRule="auto"/>
      </w:pPr>
      <w:r>
        <w:t xml:space="preserve">It is suggested </w:t>
      </w:r>
      <w:proofErr w:type="gramStart"/>
      <w:r>
        <w:t xml:space="preserve">that </w:t>
      </w:r>
      <w:proofErr w:type="gramEnd"/>
      <m:oMath>
        <m:r>
          <w:rPr>
            <w:rFonts w:ascii="Cambria Math" w:hAnsi="Cambria Math"/>
          </w:rPr>
          <m:t>RSR≤0.7</m:t>
        </m:r>
      </m:oMath>
      <w:r>
        <w:rPr>
          <w:rFonts w:eastAsiaTheme="minorEastAsia"/>
        </w:rPr>
        <w:t>.</w:t>
      </w:r>
    </w:p>
    <w:p w:rsidR="004559AB" w:rsidRPr="00C22B81" w:rsidRDefault="004559AB" w:rsidP="004559AB">
      <w:pPr>
        <w:spacing w:line="240" w:lineRule="auto"/>
      </w:pPr>
    </w:p>
    <w:p w:rsidR="004559AB" w:rsidRPr="00232588" w:rsidRDefault="004559AB" w:rsidP="00662AA9">
      <w:pPr>
        <w:pStyle w:val="Heading1"/>
      </w:pPr>
      <w:r>
        <w:t>4 Model</w:t>
      </w:r>
      <w:r w:rsidRPr="00232588">
        <w:t xml:space="preserve"> Calibration</w:t>
      </w:r>
      <w:r>
        <w:t xml:space="preserve"> and Validation</w:t>
      </w:r>
    </w:p>
    <w:p w:rsidR="004559AB" w:rsidRDefault="004559AB" w:rsidP="004559AB">
      <w:pPr>
        <w:spacing w:line="240" w:lineRule="auto"/>
        <w:rPr>
          <w:rFonts w:ascii="Calibri" w:eastAsia="Times New Roman" w:hAnsi="Calibri" w:cs="Times New Roman"/>
          <w:color w:val="000000"/>
        </w:rPr>
      </w:pPr>
    </w:p>
    <w:p w:rsidR="004559AB" w:rsidRDefault="004559AB" w:rsidP="00662AA9">
      <w:pPr>
        <w:pStyle w:val="Heading2"/>
      </w:pPr>
      <w:r>
        <w:t>4.1 Sensitivity Analysis</w:t>
      </w:r>
    </w:p>
    <w:p w:rsidR="004559AB" w:rsidRDefault="004559AB" w:rsidP="004559AB">
      <w:pPr>
        <w:spacing w:line="240" w:lineRule="auto"/>
        <w:rPr>
          <w:rFonts w:ascii="Calibri" w:eastAsia="Times New Roman" w:hAnsi="Calibri" w:cs="Times New Roman"/>
          <w:color w:val="000000"/>
        </w:rPr>
      </w:pPr>
    </w:p>
    <w:p w:rsidR="004559AB" w:rsidRDefault="004559AB" w:rsidP="004559AB">
      <w:pPr>
        <w:spacing w:line="240" w:lineRule="auto"/>
      </w:pPr>
      <w:r>
        <w:tab/>
        <w:t xml:space="preserve">In order to calibrate a model, it is important to use only those model parameters that have a strong influence on model output.  There are two ways to determine which parameters are sensitive.  A “global” sensitivity analysis can be done by varying multiple parameters concurrently and computing a multiple linear regression function between the parameter and objective function values.  While this captures the full variability of each parameter, the interactions between parameters can obscure the results.  The second way is called “one-at-a-time” sensitivity analysis and involves changing one parameter at a time and measuring the associated change in model output.  This isolates the effect of each parameter but </w:t>
      </w:r>
      <w:proofErr w:type="gramStart"/>
      <w:r>
        <w:t>misses</w:t>
      </w:r>
      <w:proofErr w:type="gramEnd"/>
      <w:r>
        <w:t xml:space="preserve"> information on the interaction between multiple parameters.  This limitation can be alleviated with a proper understanding of the model algorithms, but some feedbacks throughout the system will still be missed.  Since calibrating for flow, sediment and nutrients involves a large set of parameters, we chose to conduct “one-at-a-time” sensitivity analysis.  We used the SWAT-CUP calibration software (</w:t>
      </w:r>
      <w:proofErr w:type="spellStart"/>
      <w:r>
        <w:t>Abbaspour</w:t>
      </w:r>
      <w:proofErr w:type="spellEnd"/>
      <w:r>
        <w:t xml:space="preserve"> 2012) which provides detailed representations of sensitivity results.  Figu</w:t>
      </w:r>
      <w:r w:rsidR="00A00788">
        <w:t>re</w:t>
      </w:r>
      <w:r>
        <w:t xml:space="preserve"> 3 displays an example of this process</w:t>
      </w:r>
      <w:r w:rsidR="00A00788">
        <w:t xml:space="preserve"> </w:t>
      </w:r>
      <w:r>
        <w:t>showing results for the parameter EPCO (Plant uptake compensation factor).   As the p</w:t>
      </w:r>
      <w:r w:rsidR="00A00788">
        <w:t>arameter increases, winter flow</w:t>
      </w:r>
      <w:r>
        <w:t xml:space="preserve"> decrease</w:t>
      </w:r>
      <w:r w:rsidR="00A00788">
        <w:t>s</w:t>
      </w:r>
      <w:r>
        <w:t xml:space="preserve">.  Sensitivity analysis was done for 43 parameters.  A summary </w:t>
      </w:r>
      <w:r w:rsidR="00A00788">
        <w:t>of sensitive parameters can be found in Table 4</w:t>
      </w:r>
      <w:r>
        <w:t>.</w:t>
      </w:r>
    </w:p>
    <w:p w:rsidR="004559AB" w:rsidRDefault="004559AB" w:rsidP="004559AB">
      <w:pPr>
        <w:spacing w:line="240" w:lineRule="auto"/>
      </w:pPr>
    </w:p>
    <w:p w:rsidR="004559AB" w:rsidRDefault="0087101C" w:rsidP="004559AB">
      <w:pPr>
        <w:spacing w:line="240" w:lineRule="auto"/>
        <w:jc w:val="center"/>
      </w:pPr>
      <w:r>
        <w:rPr>
          <w:noProof/>
        </w:rPr>
        <w:drawing>
          <wp:inline distT="0" distB="0" distL="0" distR="0" wp14:anchorId="7BDEF04B" wp14:editId="5866147A">
            <wp:extent cx="5943600" cy="3396615"/>
            <wp:effectExtent l="0" t="0" r="0" b="0"/>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559AB" w:rsidRDefault="004559AB" w:rsidP="004559AB">
      <w:pPr>
        <w:spacing w:line="240" w:lineRule="auto"/>
        <w:ind w:left="900" w:right="990"/>
      </w:pPr>
      <w:r w:rsidRPr="00662AA9">
        <w:rPr>
          <w:rStyle w:val="FigureChar"/>
        </w:rPr>
        <w:t xml:space="preserve">Fig </w:t>
      </w:r>
      <w:r w:rsidR="00EE2C5B" w:rsidRPr="00662AA9">
        <w:rPr>
          <w:rStyle w:val="FigureChar"/>
        </w:rPr>
        <w:t>4</w:t>
      </w:r>
      <w:r w:rsidRPr="00D473B4">
        <w:rPr>
          <w:b/>
        </w:rPr>
        <w:t>:</w:t>
      </w:r>
      <w:r>
        <w:t xml:space="preserve">  Sensitivity analysis of the EPCO parameter (Plant uptake compensation factor) </w:t>
      </w:r>
      <w:r w:rsidR="0087101C">
        <w:t>using the</w:t>
      </w:r>
      <w:r>
        <w:t xml:space="preserve"> SWAT-CUP</w:t>
      </w:r>
      <w:r w:rsidR="0087101C">
        <w:t xml:space="preserve"> software</w:t>
      </w:r>
      <w:r>
        <w:t xml:space="preserve">.  Larger values of EPCO result in smaller peak flows during winter months.  </w:t>
      </w:r>
    </w:p>
    <w:p w:rsidR="004559AB" w:rsidRDefault="004559AB" w:rsidP="004559AB">
      <w:pPr>
        <w:spacing w:line="240" w:lineRule="auto"/>
      </w:pPr>
    </w:p>
    <w:p w:rsidR="004559AB" w:rsidRDefault="004559AB" w:rsidP="00662AA9">
      <w:pPr>
        <w:pStyle w:val="Heading2"/>
      </w:pPr>
      <w:r>
        <w:t>4.2 Calibration and Validation</w:t>
      </w:r>
    </w:p>
    <w:p w:rsidR="004559AB" w:rsidRDefault="004559AB" w:rsidP="004559AB">
      <w:pPr>
        <w:spacing w:line="240" w:lineRule="auto"/>
      </w:pPr>
    </w:p>
    <w:p w:rsidR="00AC6A38" w:rsidRDefault="004559AB" w:rsidP="004559AB">
      <w:pPr>
        <w:spacing w:line="240" w:lineRule="auto"/>
        <w:ind w:firstLine="720"/>
      </w:pPr>
      <w:r>
        <w:t>There are two main strategies fo</w:t>
      </w:r>
      <w:r w:rsidR="00A00788">
        <w:t>r determining model parameters:</w:t>
      </w:r>
      <w:r>
        <w:t xml:space="preserve">  Manual and automated calibration.  A modeler using the manual approach will run the model, and then adjust parameters individually until a good fit to the observed data has been made.  Automated calibration routines vary </w:t>
      </w:r>
      <w:r>
        <w:lastRenderedPageBreak/>
        <w:t>the model parameters systematically over the course of many model simulation runs and use objective (numeric) criteria to determine which runs are most accurate.  The calibration results for automatic calibrations are sensitive to the objective criteria chosen.  Krause et al. (2003) discuss the common objective criteria used, and how each impacts calibration results.  Whichever method is used, the final parameter set should be representative of the physical characteristics of the basin.  However, due to the spatial and temporal variation in these characteristics, as well as the difficulty in acquiring direct measurements of these parameters, it is difficult to know what the true parameters are (</w:t>
      </w:r>
      <w:proofErr w:type="spellStart"/>
      <w:r>
        <w:t>Abbaspour</w:t>
      </w:r>
      <w:proofErr w:type="spellEnd"/>
      <w:r>
        <w:t xml:space="preserve"> et al 1999).  This results in a large degree of uncertainty in parameter estimates.  Furthermore, there are often times more than one set of parameters that provide a good model fit.  This is referred to as the </w:t>
      </w:r>
      <w:proofErr w:type="spellStart"/>
      <w:r>
        <w:t>equifinality</w:t>
      </w:r>
      <w:proofErr w:type="spellEnd"/>
      <w:r>
        <w:t xml:space="preserve">, or non-uniqueness </w:t>
      </w:r>
      <w:r w:rsidRPr="007B40F5">
        <w:t>problem (</w:t>
      </w:r>
      <w:proofErr w:type="spellStart"/>
      <w:r w:rsidRPr="007B40F5">
        <w:t>Abbaspour</w:t>
      </w:r>
      <w:proofErr w:type="spellEnd"/>
      <w:r w:rsidRPr="007B40F5">
        <w:t xml:space="preserve"> 201</w:t>
      </w:r>
      <w:r>
        <w:t>2</w:t>
      </w:r>
      <w:r w:rsidRPr="007B40F5">
        <w:t>).</w:t>
      </w:r>
      <w:r>
        <w:t xml:space="preserve">  </w:t>
      </w:r>
    </w:p>
    <w:p w:rsidR="004559AB" w:rsidRDefault="00A00788" w:rsidP="004559AB">
      <w:pPr>
        <w:spacing w:line="240" w:lineRule="auto"/>
        <w:ind w:firstLine="720"/>
      </w:pPr>
      <w:r>
        <w:t>W</w:t>
      </w:r>
      <w:r w:rsidR="00EB3EE0">
        <w:t xml:space="preserve">e used data on our study site to perform manual calibration.  </w:t>
      </w:r>
      <w:r w:rsidR="00AC6A38">
        <w:t>Three gages were used to calibrate the Tualatin and one gage was used to calibrate the Yamhill.  Parameters selected were all global in nature with the exception of in-stream sediment deposition and erosion</w:t>
      </w:r>
      <w:r w:rsidR="00293826">
        <w:t xml:space="preserve"> parameters which</w:t>
      </w:r>
      <w:r w:rsidR="00AC6A38">
        <w:t xml:space="preserve"> were localized to the three gages in the Tualatin in instances where the MUSLE alone did not pro</w:t>
      </w:r>
      <w:r w:rsidR="00293826">
        <w:t>vide adequate model fit (Table 5</w:t>
      </w:r>
      <w:r w:rsidR="00AC6A38">
        <w:t xml:space="preserve">).  </w:t>
      </w:r>
    </w:p>
    <w:p w:rsidR="004559AB" w:rsidRDefault="004559AB" w:rsidP="004559AB">
      <w:pPr>
        <w:spacing w:line="240" w:lineRule="auto"/>
      </w:pPr>
    </w:p>
    <w:p w:rsidR="004559AB" w:rsidRDefault="004559AB" w:rsidP="004559AB">
      <w:pPr>
        <w:spacing w:line="240" w:lineRule="auto"/>
      </w:pPr>
    </w:p>
    <w:p w:rsidR="004559AB" w:rsidRDefault="004559AB" w:rsidP="00BE3FDF">
      <w:pPr>
        <w:pStyle w:val="Heading2"/>
      </w:pPr>
      <w:r>
        <w:t>4.4 Calibration and Validation Results</w:t>
      </w:r>
    </w:p>
    <w:p w:rsidR="004559AB" w:rsidRDefault="004559AB" w:rsidP="004559AB">
      <w:pPr>
        <w:spacing w:line="240" w:lineRule="auto"/>
      </w:pPr>
      <w:r>
        <w:tab/>
      </w:r>
    </w:p>
    <w:p w:rsidR="004559AB" w:rsidRPr="009942EA" w:rsidRDefault="004559AB" w:rsidP="00BE3FDF">
      <w:pPr>
        <w:pStyle w:val="Heading3"/>
      </w:pPr>
      <w:r>
        <w:t>4.4.1 Flow</w:t>
      </w:r>
    </w:p>
    <w:p w:rsidR="004559AB" w:rsidRDefault="004559AB" w:rsidP="004559AB">
      <w:pPr>
        <w:spacing w:line="240" w:lineRule="auto"/>
      </w:pPr>
      <w:r>
        <w:tab/>
      </w:r>
      <w:r w:rsidR="00996CB8">
        <w:t>Based on a review of the existing literature and our sensitivity analysis, s</w:t>
      </w:r>
      <w:r>
        <w:t xml:space="preserve">ix parameters were </w:t>
      </w:r>
      <w:r w:rsidR="00996CB8">
        <w:t>used</w:t>
      </w:r>
      <w:r>
        <w:t xml:space="preserve"> to calibrate the Tualatin.  Five were </w:t>
      </w:r>
      <w:r w:rsidR="00996CB8">
        <w:t>used</w:t>
      </w:r>
      <w:r>
        <w:t xml:space="preserve"> to calibrate Yamhill.  Monthly calibration results for flow were quite good in both basins, with NSE ranging between 0.85-0.94 during the calibration period and 0.7 – 0.9 for the validation period (Figure 3).  The simulated runoff ratio for Tualatin is 0.</w:t>
      </w:r>
      <w:r w:rsidR="00293826">
        <w:t>58 and 0.65 for Yamhill (Table 4</w:t>
      </w:r>
      <w:r>
        <w:t xml:space="preserve">).  Despite the heterogeneous land cover throughout the Tualatin basin, a global parameter set was sufficient to acquire a good flow calibration at each of the three gages.  </w:t>
      </w:r>
    </w:p>
    <w:p w:rsidR="004559AB" w:rsidRDefault="00A00788" w:rsidP="004559AB">
      <w:pPr>
        <w:spacing w:line="240" w:lineRule="auto"/>
        <w:ind w:firstLine="720"/>
      </w:pPr>
      <w:r>
        <w:t>The SWAT models underestimate</w:t>
      </w:r>
      <w:r w:rsidR="004559AB">
        <w:t xml:space="preserve"> flow consistently throughout both basins for both calibration and validation periods.  In the Tualatin, the most severe underestimation was in </w:t>
      </w:r>
      <w:proofErr w:type="spellStart"/>
      <w:r w:rsidR="004559AB">
        <w:t>Fanno</w:t>
      </w:r>
      <w:proofErr w:type="spellEnd"/>
      <w:r w:rsidR="004559AB">
        <w:t xml:space="preserve"> creek during both calibration and validation periods</w:t>
      </w:r>
      <w:r w:rsidR="00996CB8">
        <w:t xml:space="preserve"> (Fig 3)</w:t>
      </w:r>
      <w:r w:rsidR="004559AB">
        <w:t xml:space="preserve">.  The </w:t>
      </w:r>
      <w:proofErr w:type="spellStart"/>
      <w:r w:rsidR="004559AB">
        <w:t>McMinville</w:t>
      </w:r>
      <w:proofErr w:type="spellEnd"/>
      <w:r w:rsidR="004559AB">
        <w:t xml:space="preserve"> gage had the most severe underestimation of all gages in the validation period (-37.7%).  West Linn had the smallest bias (&lt; 2%) in both calib</w:t>
      </w:r>
      <w:r w:rsidR="00CC6EB0">
        <w:t>ration and validation periods.  Visual comparison of the observed and simulated results by hydrograph show that the source of bias in the model is mostly wintertime high flows</w:t>
      </w:r>
      <w:r w:rsidR="00411D4C">
        <w:t xml:space="preserve">, however there are some instances of underestimation during low flow periods as well in calibration and validation periods, suggesting that </w:t>
      </w:r>
      <w:proofErr w:type="spellStart"/>
      <w:r w:rsidR="00411D4C">
        <w:t>evapo</w:t>
      </w:r>
      <w:proofErr w:type="spellEnd"/>
      <w:r w:rsidR="00411D4C">
        <w:t>-transpiration is too high</w:t>
      </w:r>
      <w:r w:rsidR="00CC6EB0">
        <w:t xml:space="preserve">.  </w:t>
      </w:r>
      <w:r w:rsidR="004559AB">
        <w:t xml:space="preserve">RSR values never exceed 0.54 at all gages for both calibration and validation periods.  </w:t>
      </w:r>
    </w:p>
    <w:p w:rsidR="004559AB" w:rsidRDefault="004559AB" w:rsidP="004559AB">
      <w:pPr>
        <w:spacing w:line="240" w:lineRule="auto"/>
      </w:pPr>
    </w:p>
    <w:tbl>
      <w:tblPr>
        <w:tblW w:w="6061" w:type="dxa"/>
        <w:jc w:val="center"/>
        <w:tblInd w:w="93" w:type="dxa"/>
        <w:tblLook w:val="04A0" w:firstRow="1" w:lastRow="0" w:firstColumn="1" w:lastColumn="0" w:noHBand="0" w:noVBand="1"/>
      </w:tblPr>
      <w:tblGrid>
        <w:gridCol w:w="1092"/>
        <w:gridCol w:w="853"/>
        <w:gridCol w:w="914"/>
        <w:gridCol w:w="771"/>
        <w:gridCol w:w="771"/>
        <w:gridCol w:w="1660"/>
      </w:tblGrid>
      <w:tr w:rsidR="004559AB" w:rsidRPr="00491734" w:rsidTr="000C0D7D">
        <w:trPr>
          <w:trHeight w:val="300"/>
          <w:jc w:val="center"/>
        </w:trPr>
        <w:tc>
          <w:tcPr>
            <w:tcW w:w="6061" w:type="dxa"/>
            <w:gridSpan w:val="6"/>
            <w:tcBorders>
              <w:top w:val="nil"/>
              <w:left w:val="nil"/>
              <w:bottom w:val="single" w:sz="4" w:space="0" w:color="auto"/>
              <w:right w:val="nil"/>
            </w:tcBorders>
            <w:shd w:val="clear" w:color="auto" w:fill="auto"/>
            <w:noWrap/>
            <w:vAlign w:val="bottom"/>
            <w:hideMark/>
          </w:tcPr>
          <w:p w:rsidR="004559AB" w:rsidRPr="00023157" w:rsidRDefault="00293826" w:rsidP="0087101C">
            <w:pPr>
              <w:spacing w:line="240" w:lineRule="auto"/>
              <w:rPr>
                <w:rFonts w:ascii="Calibri" w:eastAsia="Times New Roman" w:hAnsi="Calibri" w:cs="Times New Roman"/>
                <w:color w:val="000000"/>
              </w:rPr>
            </w:pPr>
            <w:r>
              <w:rPr>
                <w:rFonts w:ascii="Calibri" w:eastAsia="Times New Roman" w:hAnsi="Calibri" w:cs="Times New Roman"/>
                <w:b/>
                <w:color w:val="000000"/>
              </w:rPr>
              <w:t>Table 4</w:t>
            </w:r>
            <w:r w:rsidR="004559AB" w:rsidRPr="00023157">
              <w:rPr>
                <w:rFonts w:ascii="Calibri" w:eastAsia="Times New Roman" w:hAnsi="Calibri" w:cs="Times New Roman"/>
                <w:color w:val="000000"/>
              </w:rPr>
              <w:t>:  Simulated historic water budget (mm) for the time period 1/1/1979 - 12/31/2005</w:t>
            </w:r>
          </w:p>
        </w:tc>
      </w:tr>
      <w:tr w:rsidR="004559AB" w:rsidRPr="00491734" w:rsidTr="000C0D7D">
        <w:trPr>
          <w:trHeight w:val="315"/>
          <w:jc w:val="center"/>
        </w:trPr>
        <w:tc>
          <w:tcPr>
            <w:tcW w:w="1092" w:type="dxa"/>
            <w:tcBorders>
              <w:top w:val="single" w:sz="4" w:space="0" w:color="auto"/>
              <w:left w:val="nil"/>
              <w:bottom w:val="single" w:sz="12" w:space="0" w:color="auto"/>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Basin</w:t>
            </w:r>
          </w:p>
        </w:tc>
        <w:tc>
          <w:tcPr>
            <w:tcW w:w="853"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proofErr w:type="spellStart"/>
            <w:r w:rsidRPr="00491734">
              <w:rPr>
                <w:rFonts w:ascii="Calibri" w:eastAsia="Times New Roman" w:hAnsi="Calibri" w:cs="Times New Roman"/>
                <w:b/>
                <w:color w:val="000000"/>
              </w:rPr>
              <w:t>Precip</w:t>
            </w:r>
            <w:proofErr w:type="spellEnd"/>
          </w:p>
        </w:tc>
        <w:tc>
          <w:tcPr>
            <w:tcW w:w="914"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PET</w:t>
            </w:r>
          </w:p>
        </w:tc>
        <w:tc>
          <w:tcPr>
            <w:tcW w:w="771"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AET</w:t>
            </w:r>
          </w:p>
        </w:tc>
        <w:tc>
          <w:tcPr>
            <w:tcW w:w="1660" w:type="dxa"/>
            <w:tcBorders>
              <w:top w:val="single" w:sz="4" w:space="0" w:color="auto"/>
              <w:left w:val="nil"/>
              <w:bottom w:val="single" w:sz="12"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color w:val="000000"/>
              </w:rPr>
            </w:pPr>
            <w:r w:rsidRPr="00491734">
              <w:rPr>
                <w:rFonts w:ascii="Calibri" w:eastAsia="Times New Roman" w:hAnsi="Calibri" w:cs="Times New Roman"/>
                <w:b/>
                <w:color w:val="000000"/>
              </w:rPr>
              <w:t>Runoff Ratio</w:t>
            </w:r>
          </w:p>
        </w:tc>
      </w:tr>
      <w:tr w:rsidR="004559AB" w:rsidRPr="00491734" w:rsidTr="000C0D7D">
        <w:trPr>
          <w:trHeight w:val="300"/>
          <w:jc w:val="center"/>
        </w:trPr>
        <w:tc>
          <w:tcPr>
            <w:tcW w:w="1092" w:type="dxa"/>
            <w:tcBorders>
              <w:top w:val="single" w:sz="12" w:space="0" w:color="auto"/>
              <w:left w:val="nil"/>
              <w:bottom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Tualatin</w:t>
            </w:r>
          </w:p>
        </w:tc>
        <w:tc>
          <w:tcPr>
            <w:tcW w:w="853"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1,212</w:t>
            </w:r>
          </w:p>
        </w:tc>
        <w:tc>
          <w:tcPr>
            <w:tcW w:w="914"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709</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939</w:t>
            </w:r>
          </w:p>
        </w:tc>
        <w:tc>
          <w:tcPr>
            <w:tcW w:w="771"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488</w:t>
            </w:r>
          </w:p>
        </w:tc>
        <w:tc>
          <w:tcPr>
            <w:tcW w:w="1660" w:type="dxa"/>
            <w:tcBorders>
              <w:top w:val="single" w:sz="12" w:space="0" w:color="auto"/>
              <w:left w:val="nil"/>
              <w:bottom w:val="nil"/>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0.58</w:t>
            </w:r>
          </w:p>
        </w:tc>
      </w:tr>
      <w:tr w:rsidR="004559AB" w:rsidRPr="00491734" w:rsidTr="000C0D7D">
        <w:trPr>
          <w:trHeight w:val="300"/>
          <w:jc w:val="center"/>
        </w:trPr>
        <w:tc>
          <w:tcPr>
            <w:tcW w:w="1092" w:type="dxa"/>
            <w:tcBorders>
              <w:top w:val="nil"/>
              <w:left w:val="nil"/>
              <w:bottom w:val="single" w:sz="4" w:space="0" w:color="auto"/>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b/>
                <w:i/>
                <w:color w:val="000000"/>
              </w:rPr>
            </w:pPr>
            <w:r w:rsidRPr="00491734">
              <w:rPr>
                <w:rFonts w:ascii="Calibri" w:eastAsia="Times New Roman" w:hAnsi="Calibri" w:cs="Times New Roman"/>
                <w:b/>
                <w:i/>
                <w:color w:val="000000"/>
              </w:rPr>
              <w:t>Yamhill</w:t>
            </w:r>
          </w:p>
        </w:tc>
        <w:tc>
          <w:tcPr>
            <w:tcW w:w="853"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sidRPr="00491734">
              <w:rPr>
                <w:rFonts w:ascii="Calibri" w:eastAsia="Times New Roman" w:hAnsi="Calibri" w:cs="Times New Roman"/>
                <w:color w:val="000000"/>
              </w:rPr>
              <w:t>1</w:t>
            </w:r>
            <w:r>
              <w:rPr>
                <w:rFonts w:ascii="Calibri" w:eastAsia="Times New Roman" w:hAnsi="Calibri" w:cs="Times New Roman"/>
                <w:color w:val="000000"/>
              </w:rPr>
              <w:t>,389</w:t>
            </w:r>
          </w:p>
        </w:tc>
        <w:tc>
          <w:tcPr>
            <w:tcW w:w="914"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900</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967</w:t>
            </w:r>
          </w:p>
        </w:tc>
        <w:tc>
          <w:tcPr>
            <w:tcW w:w="771"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467</w:t>
            </w:r>
          </w:p>
        </w:tc>
        <w:tc>
          <w:tcPr>
            <w:tcW w:w="1660" w:type="dxa"/>
            <w:tcBorders>
              <w:top w:val="nil"/>
              <w:left w:val="nil"/>
              <w:bottom w:val="single" w:sz="4" w:space="0" w:color="auto"/>
              <w:right w:val="nil"/>
            </w:tcBorders>
            <w:shd w:val="clear" w:color="auto" w:fill="auto"/>
            <w:noWrap/>
            <w:vAlign w:val="bottom"/>
            <w:hideMark/>
          </w:tcPr>
          <w:p w:rsidR="004559AB" w:rsidRPr="00491734" w:rsidRDefault="004559AB" w:rsidP="000C0D7D">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0.65</w:t>
            </w:r>
          </w:p>
        </w:tc>
      </w:tr>
    </w:tbl>
    <w:p w:rsidR="004559AB" w:rsidRDefault="004559AB" w:rsidP="004559AB">
      <w:pPr>
        <w:spacing w:line="240" w:lineRule="auto"/>
      </w:pPr>
    </w:p>
    <w:p w:rsidR="00813633" w:rsidRDefault="00813633" w:rsidP="00813633">
      <w:pPr>
        <w:spacing w:line="240" w:lineRule="auto"/>
        <w:rPr>
          <w:rFonts w:ascii="Calibri" w:eastAsia="Times New Roman" w:hAnsi="Calibri" w:cs="Times New Roman"/>
          <w:b/>
          <w:bCs/>
          <w:color w:val="000000"/>
        </w:rPr>
        <w:sectPr w:rsidR="00813633" w:rsidSect="000C0D7D">
          <w:pgSz w:w="12240" w:h="15840"/>
          <w:pgMar w:top="1440" w:right="1440" w:bottom="1440" w:left="1440" w:header="720" w:footer="720" w:gutter="0"/>
          <w:cols w:space="720"/>
          <w:docGrid w:linePitch="360"/>
        </w:sectPr>
      </w:pPr>
    </w:p>
    <w:tbl>
      <w:tblPr>
        <w:tblW w:w="12161" w:type="dxa"/>
        <w:tblInd w:w="93" w:type="dxa"/>
        <w:tblLook w:val="04A0" w:firstRow="1" w:lastRow="0" w:firstColumn="1" w:lastColumn="0" w:noHBand="0" w:noVBand="1"/>
      </w:tblPr>
      <w:tblGrid>
        <w:gridCol w:w="3550"/>
        <w:gridCol w:w="2415"/>
        <w:gridCol w:w="830"/>
        <w:gridCol w:w="663"/>
        <w:gridCol w:w="2522"/>
        <w:gridCol w:w="1149"/>
        <w:gridCol w:w="1092"/>
      </w:tblGrid>
      <w:tr w:rsidR="004C65A4" w:rsidRPr="004C65A4" w:rsidTr="004C65A4">
        <w:trPr>
          <w:trHeight w:val="315"/>
        </w:trPr>
        <w:tc>
          <w:tcPr>
            <w:tcW w:w="12161" w:type="dxa"/>
            <w:gridSpan w:val="7"/>
            <w:tcBorders>
              <w:top w:val="nil"/>
              <w:left w:val="nil"/>
              <w:bottom w:val="single" w:sz="8" w:space="0" w:color="auto"/>
              <w:right w:val="nil"/>
            </w:tcBorders>
            <w:shd w:val="clear" w:color="auto" w:fill="auto"/>
            <w:noWrap/>
            <w:vAlign w:val="center"/>
            <w:hideMark/>
          </w:tcPr>
          <w:p w:rsidR="004C65A4" w:rsidRPr="004C65A4" w:rsidRDefault="00293826" w:rsidP="004C65A4">
            <w:pPr>
              <w:spacing w:line="240" w:lineRule="auto"/>
              <w:rPr>
                <w:rFonts w:ascii="Calibri" w:eastAsia="Times New Roman" w:hAnsi="Calibri" w:cs="Times New Roman"/>
                <w:b/>
                <w:bCs/>
                <w:color w:val="000000"/>
              </w:rPr>
            </w:pPr>
            <w:r>
              <w:rPr>
                <w:rFonts w:ascii="Calibri" w:eastAsia="Times New Roman" w:hAnsi="Calibri" w:cs="Times New Roman"/>
                <w:b/>
                <w:bCs/>
                <w:color w:val="000000"/>
              </w:rPr>
              <w:lastRenderedPageBreak/>
              <w:t>Table 5</w:t>
            </w:r>
            <w:r w:rsidR="004C65A4" w:rsidRPr="004C65A4">
              <w:rPr>
                <w:rFonts w:ascii="Calibri" w:eastAsia="Times New Roman" w:hAnsi="Calibri" w:cs="Times New Roman"/>
                <w:b/>
                <w:bCs/>
                <w:color w:val="000000"/>
              </w:rPr>
              <w:t xml:space="preserve">:  </w:t>
            </w:r>
            <w:r w:rsidR="004C65A4" w:rsidRPr="004C65A4">
              <w:rPr>
                <w:rFonts w:ascii="Calibri" w:eastAsia="Times New Roman" w:hAnsi="Calibri" w:cs="Times New Roman"/>
                <w:color w:val="000000"/>
              </w:rPr>
              <w:t>List of final calibrated parameters for Tualatin and Yamhill sub-basins</w:t>
            </w:r>
          </w:p>
        </w:tc>
      </w:tr>
      <w:tr w:rsidR="004C65A4" w:rsidRPr="004C65A4" w:rsidTr="004C65A4">
        <w:trPr>
          <w:trHeight w:val="915"/>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Description</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Parameter</w:t>
            </w:r>
          </w:p>
        </w:tc>
        <w:tc>
          <w:tcPr>
            <w:tcW w:w="823"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Min</w:t>
            </w:r>
          </w:p>
        </w:tc>
        <w:tc>
          <w:tcPr>
            <w:tcW w:w="610"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Max</w:t>
            </w:r>
          </w:p>
        </w:tc>
        <w:tc>
          <w:tcPr>
            <w:tcW w:w="2522" w:type="dxa"/>
            <w:tcBorders>
              <w:top w:val="nil"/>
              <w:left w:val="nil"/>
              <w:bottom w:val="single" w:sz="12" w:space="0" w:color="auto"/>
              <w:right w:val="nil"/>
            </w:tcBorders>
            <w:shd w:val="clear" w:color="auto" w:fill="auto"/>
            <w:vAlign w:val="center"/>
            <w:hideMark/>
          </w:tcPr>
          <w:p w:rsidR="004C65A4" w:rsidRPr="004C65A4" w:rsidRDefault="004C65A4" w:rsidP="00325369">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Sensitivity (Increase/Decrease)</w:t>
            </w:r>
          </w:p>
        </w:tc>
        <w:tc>
          <w:tcPr>
            <w:tcW w:w="1149" w:type="dxa"/>
            <w:tcBorders>
              <w:top w:val="nil"/>
              <w:left w:val="nil"/>
              <w:bottom w:val="single" w:sz="12" w:space="0" w:color="auto"/>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Tualatin  Fitted Value</w:t>
            </w:r>
          </w:p>
        </w:tc>
        <w:tc>
          <w:tcPr>
            <w:tcW w:w="1092" w:type="dxa"/>
            <w:tcBorders>
              <w:top w:val="nil"/>
              <w:left w:val="nil"/>
              <w:bottom w:val="single" w:sz="12" w:space="0" w:color="auto"/>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b/>
                <w:bCs/>
                <w:color w:val="000000"/>
              </w:rPr>
            </w:pPr>
            <w:r w:rsidRPr="004C65A4">
              <w:rPr>
                <w:rFonts w:ascii="Calibri" w:eastAsia="Times New Roman" w:hAnsi="Calibri" w:cs="Times New Roman"/>
                <w:b/>
                <w:bCs/>
                <w:color w:val="000000"/>
              </w:rPr>
              <w:t>Yamhill Fitted Value</w:t>
            </w:r>
          </w:p>
        </w:tc>
      </w:tr>
      <w:tr w:rsidR="004C65A4" w:rsidRPr="004C65A4" w:rsidTr="004C65A4">
        <w:trPr>
          <w:trHeight w:val="330"/>
        </w:trPr>
        <w:tc>
          <w:tcPr>
            <w:tcW w:w="3550"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Flow</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SCS runoff curve number</w:t>
            </w:r>
          </w:p>
        </w:tc>
        <w:tc>
          <w:tcPr>
            <w:tcW w:w="2415" w:type="dxa"/>
            <w:tcBorders>
              <w:top w:val="nil"/>
              <w:left w:val="nil"/>
              <w:bottom w:val="nil"/>
              <w:right w:val="nil"/>
            </w:tcBorders>
            <w:shd w:val="clear" w:color="auto" w:fill="auto"/>
            <w:noWrap/>
            <w:vAlign w:val="center"/>
            <w:hideMark/>
          </w:tcPr>
          <w:p w:rsidR="004C65A4" w:rsidRPr="004C65A4" w:rsidRDefault="004C65A4" w:rsidP="002B019B">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r__CN2.mgt</w:t>
            </w:r>
            <w:r w:rsidR="002B019B">
              <w:rPr>
                <w:rFonts w:ascii="Calibri" w:eastAsia="Times New Roman" w:hAnsi="Calibri" w:cs="Times New Roman"/>
                <w:color w:val="000000"/>
              </w:rPr>
              <w:t>*</w:t>
            </w:r>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Baseflow</w:t>
            </w:r>
            <w:proofErr w:type="spellEnd"/>
            <w:r w:rsidRPr="004C65A4">
              <w:rPr>
                <w:rFonts w:ascii="Calibri" w:eastAsia="Times New Roman" w:hAnsi="Calibri" w:cs="Times New Roman"/>
                <w:color w:val="000000"/>
              </w:rPr>
              <w:t xml:space="preserve"> alpha factor (days)</w:t>
            </w:r>
          </w:p>
        </w:tc>
        <w:tc>
          <w:tcPr>
            <w:tcW w:w="2415" w:type="dxa"/>
            <w:vMerge w:val="restart"/>
            <w:tcBorders>
              <w:top w:val="nil"/>
              <w:left w:val="nil"/>
              <w:bottom w:val="nil"/>
              <w:right w:val="nil"/>
            </w:tcBorders>
            <w:shd w:val="clear" w:color="auto" w:fill="auto"/>
            <w:noWrap/>
            <w:vAlign w:val="center"/>
            <w:hideMark/>
          </w:tcPr>
          <w:p w:rsidR="004C65A4" w:rsidRPr="004C65A4" w:rsidRDefault="002B019B" w:rsidP="004C65A4">
            <w:pPr>
              <w:spacing w:line="240" w:lineRule="auto"/>
              <w:rPr>
                <w:rFonts w:ascii="Calibri" w:eastAsia="Times New Roman" w:hAnsi="Calibri" w:cs="Times New Roman"/>
                <w:color w:val="000000"/>
              </w:rPr>
            </w:pPr>
            <w:r>
              <w:rPr>
                <w:rFonts w:ascii="Calibri" w:eastAsia="Times New Roman" w:hAnsi="Calibri" w:cs="Times New Roman"/>
                <w:color w:val="000000"/>
              </w:rPr>
              <w:t>v__ALPHA_BF.gw*</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Rising limb: I </w:t>
            </w:r>
          </w:p>
        </w:tc>
        <w:tc>
          <w:tcPr>
            <w:tcW w:w="1149"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45"/>
        </w:trPr>
        <w:tc>
          <w:tcPr>
            <w:tcW w:w="355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522"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Falling limb: D</w:t>
            </w:r>
          </w:p>
        </w:tc>
        <w:tc>
          <w:tcPr>
            <w:tcW w:w="1149"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109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Soil evaporation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ESCO.bsn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Plant uptake compensation factor</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EPCO.bsn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Available water capacity of the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r__SOL_AWC</w:t>
            </w:r>
            <w:proofErr w:type="spellEnd"/>
            <w:r w:rsidRPr="004C65A4">
              <w:rPr>
                <w:rFonts w:ascii="Calibri" w:eastAsia="Times New Roman" w:hAnsi="Calibri" w:cs="Times New Roman"/>
                <w:color w:val="000000"/>
              </w:rPr>
              <w:t>().sol</w:t>
            </w:r>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9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Treshold</w:t>
            </w:r>
            <w:proofErr w:type="spellEnd"/>
            <w:r w:rsidRPr="004C65A4">
              <w:rPr>
                <w:rFonts w:ascii="Calibri" w:eastAsia="Times New Roman" w:hAnsi="Calibri" w:cs="Times New Roman"/>
                <w:color w:val="000000"/>
              </w:rPr>
              <w:t xml:space="preserve"> depth of water in the shallow aquifer required for return flow to occur (mm)</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v__GWQMN.gw</w:t>
            </w:r>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5000</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Sediment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USLE equation support practice factor</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w:t>
            </w:r>
            <w:proofErr w:type="spellStart"/>
            <w:r w:rsidRPr="004C65A4">
              <w:rPr>
                <w:rFonts w:ascii="Calibri" w:eastAsia="Times New Roman" w:hAnsi="Calibri" w:cs="Times New Roman"/>
                <w:color w:val="000000"/>
              </w:rPr>
              <w:t>USLE_P.mgt</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-0.6</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Average slope length</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w:t>
            </w:r>
            <w:proofErr w:type="spellStart"/>
            <w:r w:rsidRPr="004C65A4">
              <w:rPr>
                <w:rFonts w:ascii="Calibri" w:eastAsia="Times New Roman" w:hAnsi="Calibri" w:cs="Times New Roman"/>
                <w:color w:val="000000"/>
              </w:rPr>
              <w:t>SLSUBBSN.hru</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-0.3</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9A62DC">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Min value of USLE C factor applicable to the land cover/plant (Forest)</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9A62DC">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r__USLE_C.crop.dat</w:t>
            </w:r>
          </w:p>
        </w:tc>
        <w:tc>
          <w:tcPr>
            <w:tcW w:w="823" w:type="dxa"/>
            <w:vMerge w:val="restart"/>
            <w:tcBorders>
              <w:top w:val="nil"/>
              <w:left w:val="nil"/>
              <w:bottom w:val="nil"/>
              <w:right w:val="nil"/>
            </w:tcBorders>
            <w:shd w:val="clear" w:color="auto" w:fill="auto"/>
            <w:noWrap/>
            <w:vAlign w:val="center"/>
            <w:hideMark/>
          </w:tcPr>
          <w:p w:rsidR="004C65A4" w:rsidRPr="004C65A4" w:rsidRDefault="00325369" w:rsidP="004C65A4">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0.35†</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-0.2††</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-0.2†††</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0.25†††</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xml:space="preserve">USLE equation soil </w:t>
            </w:r>
            <w:proofErr w:type="spellStart"/>
            <w:r w:rsidRPr="004C65A4">
              <w:rPr>
                <w:rFonts w:ascii="Calibri" w:eastAsia="Times New Roman" w:hAnsi="Calibri" w:cs="Times New Roman"/>
                <w:color w:val="000000"/>
              </w:rPr>
              <w:t>erodibility</w:t>
            </w:r>
            <w:proofErr w:type="spellEnd"/>
            <w:r w:rsidRPr="004C65A4">
              <w:rPr>
                <w:rFonts w:ascii="Calibri" w:eastAsia="Times New Roman" w:hAnsi="Calibri" w:cs="Times New Roman"/>
                <w:color w:val="000000"/>
              </w:rPr>
              <w:t xml:space="preserve"> (K) factor</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r__USLE_K</w:t>
            </w:r>
            <w:proofErr w:type="spellEnd"/>
            <w:r w:rsidRPr="004C65A4">
              <w:rPr>
                <w:rFonts w:ascii="Calibri" w:eastAsia="Times New Roman" w:hAnsi="Calibri" w:cs="Times New Roman"/>
                <w:color w:val="000000"/>
              </w:rPr>
              <w:t>().sol</w:t>
            </w:r>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0.5</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-0.5</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xml:space="preserve">Channel </w:t>
            </w:r>
            <w:proofErr w:type="spellStart"/>
            <w:r w:rsidRPr="004C65A4">
              <w:rPr>
                <w:rFonts w:ascii="Calibri" w:eastAsia="Times New Roman" w:hAnsi="Calibri" w:cs="Times New Roman"/>
                <w:color w:val="000000"/>
              </w:rPr>
              <w:t>erodibility</w:t>
            </w:r>
            <w:proofErr w:type="spellEnd"/>
            <w:r w:rsidRPr="004C65A4">
              <w:rPr>
                <w:rFonts w:ascii="Calibri" w:eastAsia="Times New Roman" w:hAnsi="Calibri" w:cs="Times New Roman"/>
                <w:color w:val="000000"/>
              </w:rPr>
              <w:t xml:space="preserve"> factor</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v__CH_COV1.rte</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r w:rsidR="002B019B" w:rsidRPr="004C65A4">
              <w:rPr>
                <w:rFonts w:ascii="Calibri" w:eastAsia="Times New Roman" w:hAnsi="Calibri" w:cs="Times New Roman"/>
                <w:color w:val="000000"/>
              </w:rPr>
              <w:t>‡</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0.9</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val="restart"/>
            <w:tcBorders>
              <w:top w:val="nil"/>
              <w:left w:val="nil"/>
              <w:bottom w:val="nil"/>
              <w:right w:val="nil"/>
            </w:tcBorders>
            <w:shd w:val="clear" w:color="auto" w:fill="auto"/>
            <w:vAlign w:val="center"/>
            <w:hideMark/>
          </w:tcPr>
          <w:p w:rsidR="004C65A4" w:rsidRPr="004C65A4" w:rsidRDefault="004C65A4" w:rsidP="009A62DC">
            <w:r w:rsidRPr="004C65A4">
              <w:t>Channel cover factor</w:t>
            </w:r>
          </w:p>
        </w:tc>
        <w:tc>
          <w:tcPr>
            <w:tcW w:w="2415"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v__CH_COV2.rte</w:t>
            </w:r>
          </w:p>
        </w:tc>
        <w:tc>
          <w:tcPr>
            <w:tcW w:w="823"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 xml:space="preserve"> 0.3</w:t>
            </w:r>
            <w:r w:rsidR="002B019B" w:rsidRPr="004C65A4">
              <w:rPr>
                <w:rFonts w:ascii="Calibri" w:eastAsia="Times New Roman" w:hAnsi="Calibri" w:cs="Times New Roman"/>
                <w:color w:val="000000"/>
              </w:rPr>
              <w:t>‡</w:t>
            </w:r>
          </w:p>
        </w:tc>
        <w:tc>
          <w:tcPr>
            <w:tcW w:w="1092" w:type="dxa"/>
            <w:vMerge w:val="restart"/>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0.9</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r>
      <w:tr w:rsidR="004C65A4" w:rsidRPr="004C65A4" w:rsidTr="004C65A4">
        <w:trPr>
          <w:trHeight w:val="300"/>
        </w:trPr>
        <w:tc>
          <w:tcPr>
            <w:tcW w:w="355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415"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823"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610"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252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c>
          <w:tcPr>
            <w:tcW w:w="1149" w:type="dxa"/>
            <w:tcBorders>
              <w:top w:val="nil"/>
              <w:left w:val="nil"/>
              <w:bottom w:val="nil"/>
              <w:right w:val="nil"/>
            </w:tcBorders>
            <w:shd w:val="clear" w:color="auto" w:fill="auto"/>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r w:rsidR="002B019B" w:rsidRPr="004C65A4">
              <w:rPr>
                <w:rFonts w:ascii="Calibri" w:eastAsia="Times New Roman" w:hAnsi="Calibri" w:cs="Times New Roman"/>
                <w:color w:val="000000"/>
              </w:rPr>
              <w:t>‡‡‡</w:t>
            </w:r>
          </w:p>
        </w:tc>
        <w:tc>
          <w:tcPr>
            <w:tcW w:w="1092" w:type="dxa"/>
            <w:vMerge/>
            <w:tcBorders>
              <w:top w:val="nil"/>
              <w:left w:val="nil"/>
              <w:bottom w:val="nil"/>
              <w:right w:val="nil"/>
            </w:tcBorders>
            <w:vAlign w:val="center"/>
            <w:hideMark/>
          </w:tcPr>
          <w:p w:rsidR="004C65A4" w:rsidRPr="004C65A4" w:rsidRDefault="004C65A4" w:rsidP="004C65A4">
            <w:pPr>
              <w:spacing w:line="240" w:lineRule="auto"/>
              <w:rPr>
                <w:rFonts w:ascii="Calibri" w:eastAsia="Times New Roman" w:hAnsi="Calibri" w:cs="Times New Roman"/>
                <w:color w:val="000000"/>
              </w:rPr>
            </w:pPr>
          </w:p>
        </w:tc>
      </w:tr>
      <w:tr w:rsidR="004C65A4" w:rsidRPr="004C65A4" w:rsidTr="004C65A4">
        <w:trPr>
          <w:trHeight w:val="12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lastRenderedPageBreak/>
              <w:t xml:space="preserve">Linear parameter for calculating the maximum amount of sediment that can be </w:t>
            </w:r>
            <w:proofErr w:type="spellStart"/>
            <w:r w:rsidRPr="004C65A4">
              <w:rPr>
                <w:rFonts w:ascii="Calibri" w:eastAsia="Times New Roman" w:hAnsi="Calibri" w:cs="Times New Roman"/>
                <w:color w:val="000000"/>
              </w:rPr>
              <w:t>reentrained</w:t>
            </w:r>
            <w:proofErr w:type="spellEnd"/>
            <w:r w:rsidRPr="004C65A4">
              <w:rPr>
                <w:rFonts w:ascii="Calibri" w:eastAsia="Times New Roman" w:hAnsi="Calibri" w:cs="Times New Roman"/>
                <w:color w:val="000000"/>
              </w:rPr>
              <w:t xml:space="preserve"> during channel sediment routing</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SPCON.bsn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0.0001</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0.0016</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0.0001</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Nitrogen</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315"/>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Concentration of nitrogen in rainfall</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RCN.bsn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10</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Nitrogen percolation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NPERCO.bsn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Organic N enrichment ratio</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ERORGN.hru</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5</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2.5</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r>
      <w:tr w:rsidR="004C65A4" w:rsidRPr="004C65A4" w:rsidTr="004C65A4">
        <w:trPr>
          <w:trHeight w:val="300"/>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exponential rate coefficient</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CDN.bsn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3</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0.2</w:t>
            </w:r>
          </w:p>
        </w:tc>
      </w:tr>
      <w:tr w:rsidR="004C65A4" w:rsidRPr="004C65A4" w:rsidTr="004C65A4">
        <w:trPr>
          <w:trHeight w:val="315"/>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proofErr w:type="spellStart"/>
            <w:r w:rsidRPr="004C65A4">
              <w:rPr>
                <w:rFonts w:ascii="Calibri" w:eastAsia="Times New Roman" w:hAnsi="Calibri" w:cs="Times New Roman"/>
                <w:color w:val="000000"/>
              </w:rPr>
              <w:t>Denitrification</w:t>
            </w:r>
            <w:proofErr w:type="spellEnd"/>
            <w:r w:rsidRPr="004C65A4">
              <w:rPr>
                <w:rFonts w:ascii="Calibri" w:eastAsia="Times New Roman" w:hAnsi="Calibri" w:cs="Times New Roman"/>
                <w:color w:val="000000"/>
              </w:rPr>
              <w:t xml:space="preserve"> threshold water content</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SDNCO.bsn</w:t>
            </w:r>
            <w:proofErr w:type="spellEnd"/>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0.1</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r>
      <w:tr w:rsidR="004C65A4" w:rsidRPr="004C65A4" w:rsidTr="004C65A4">
        <w:trPr>
          <w:trHeight w:val="330"/>
        </w:trPr>
        <w:tc>
          <w:tcPr>
            <w:tcW w:w="3550" w:type="dxa"/>
            <w:tcBorders>
              <w:top w:val="nil"/>
              <w:left w:val="nil"/>
              <w:bottom w:val="single" w:sz="12" w:space="0" w:color="auto"/>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b/>
                <w:bCs/>
                <w:i/>
                <w:iCs/>
                <w:color w:val="000000"/>
              </w:rPr>
            </w:pPr>
            <w:r w:rsidRPr="004C65A4">
              <w:rPr>
                <w:rFonts w:ascii="Calibri" w:eastAsia="Times New Roman" w:hAnsi="Calibri" w:cs="Times New Roman"/>
                <w:b/>
                <w:bCs/>
                <w:i/>
                <w:iCs/>
                <w:color w:val="000000"/>
              </w:rPr>
              <w:t>Phosphorus</w:t>
            </w:r>
          </w:p>
        </w:tc>
        <w:tc>
          <w:tcPr>
            <w:tcW w:w="2415"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823"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610"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2522" w:type="dxa"/>
            <w:tcBorders>
              <w:top w:val="single" w:sz="12" w:space="0" w:color="auto"/>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149"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c>
          <w:tcPr>
            <w:tcW w:w="1092" w:type="dxa"/>
            <w:tcBorders>
              <w:top w:val="nil"/>
              <w:left w:val="nil"/>
              <w:bottom w:val="single" w:sz="12"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 </w:t>
            </w:r>
          </w:p>
        </w:tc>
      </w:tr>
      <w:tr w:rsidR="004C65A4" w:rsidRPr="004C65A4" w:rsidTr="004C65A4">
        <w:trPr>
          <w:trHeight w:val="615"/>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Initial organic P concentration in surface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v__SOL_ORGP().chm</w:t>
            </w:r>
          </w:p>
        </w:tc>
        <w:tc>
          <w:tcPr>
            <w:tcW w:w="823" w:type="dxa"/>
            <w:tcBorders>
              <w:top w:val="nil"/>
              <w:left w:val="nil"/>
              <w:bottom w:val="nil"/>
              <w:right w:val="nil"/>
            </w:tcBorders>
            <w:shd w:val="clear" w:color="auto" w:fill="auto"/>
            <w:noWrap/>
            <w:vAlign w:val="center"/>
            <w:hideMark/>
          </w:tcPr>
          <w:p w:rsidR="004C65A4" w:rsidRPr="004C65A4" w:rsidRDefault="00EA5A7E" w:rsidP="004C65A4">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EA5A7E" w:rsidP="004C65A4">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004C65A4" w:rsidRPr="004C65A4">
              <w:rPr>
                <w:rFonts w:ascii="Calibri" w:eastAsia="Times New Roman" w:hAnsi="Calibri" w:cs="Times New Roman"/>
                <w:color w:val="000000"/>
              </w:rPr>
              <w:t>00</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D</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0.01</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0.05</w:t>
            </w:r>
          </w:p>
        </w:tc>
      </w:tr>
      <w:tr w:rsidR="004C65A4" w:rsidRPr="004C65A4" w:rsidTr="004C65A4">
        <w:trPr>
          <w:trHeight w:val="600"/>
        </w:trPr>
        <w:tc>
          <w:tcPr>
            <w:tcW w:w="3550" w:type="dxa"/>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Initial labile (soluble) P concentration in surface soil layer</w:t>
            </w:r>
          </w:p>
        </w:tc>
        <w:tc>
          <w:tcPr>
            <w:tcW w:w="2415" w:type="dxa"/>
            <w:tcBorders>
              <w:top w:val="nil"/>
              <w:left w:val="nil"/>
              <w:bottom w:val="nil"/>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v__SOL_SOLP().chm</w:t>
            </w:r>
          </w:p>
        </w:tc>
        <w:tc>
          <w:tcPr>
            <w:tcW w:w="823"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w:t>
            </w:r>
          </w:p>
        </w:tc>
        <w:tc>
          <w:tcPr>
            <w:tcW w:w="610"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100</w:t>
            </w:r>
          </w:p>
        </w:tc>
        <w:tc>
          <w:tcPr>
            <w:tcW w:w="252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w:t>
            </w:r>
          </w:p>
        </w:tc>
        <w:tc>
          <w:tcPr>
            <w:tcW w:w="1092" w:type="dxa"/>
            <w:tcBorders>
              <w:top w:val="nil"/>
              <w:left w:val="nil"/>
              <w:bottom w:val="nil"/>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0.05</w:t>
            </w:r>
          </w:p>
        </w:tc>
      </w:tr>
      <w:tr w:rsidR="004C65A4" w:rsidRPr="004C65A4" w:rsidTr="004C65A4">
        <w:trPr>
          <w:trHeight w:val="315"/>
        </w:trPr>
        <w:tc>
          <w:tcPr>
            <w:tcW w:w="3550" w:type="dxa"/>
            <w:tcBorders>
              <w:top w:val="nil"/>
              <w:left w:val="nil"/>
              <w:bottom w:val="single" w:sz="8" w:space="0" w:color="auto"/>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Phosphorus soil partitioning coefficient</w:t>
            </w:r>
          </w:p>
        </w:tc>
        <w:tc>
          <w:tcPr>
            <w:tcW w:w="2415" w:type="dxa"/>
            <w:tcBorders>
              <w:top w:val="nil"/>
              <w:left w:val="nil"/>
              <w:bottom w:val="single" w:sz="8" w:space="0" w:color="auto"/>
              <w:right w:val="nil"/>
            </w:tcBorders>
            <w:shd w:val="clear" w:color="auto" w:fill="auto"/>
            <w:noWrap/>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v__</w:t>
            </w:r>
            <w:proofErr w:type="spellStart"/>
            <w:r w:rsidRPr="004C65A4">
              <w:rPr>
                <w:rFonts w:ascii="Calibri" w:eastAsia="Times New Roman" w:hAnsi="Calibri" w:cs="Times New Roman"/>
                <w:color w:val="000000"/>
              </w:rPr>
              <w:t>PHOSKD.bsn</w:t>
            </w:r>
            <w:proofErr w:type="spellEnd"/>
          </w:p>
        </w:tc>
        <w:tc>
          <w:tcPr>
            <w:tcW w:w="823" w:type="dxa"/>
            <w:tcBorders>
              <w:top w:val="nil"/>
              <w:left w:val="nil"/>
              <w:bottom w:val="single" w:sz="8" w:space="0" w:color="auto"/>
              <w:right w:val="nil"/>
            </w:tcBorders>
            <w:shd w:val="clear" w:color="auto" w:fill="auto"/>
            <w:noWrap/>
            <w:vAlign w:val="center"/>
            <w:hideMark/>
          </w:tcPr>
          <w:p w:rsidR="004C65A4" w:rsidRPr="004C65A4" w:rsidRDefault="00EA5A7E" w:rsidP="004C65A4">
            <w:pPr>
              <w:spacing w:line="240" w:lineRule="auto"/>
              <w:jc w:val="center"/>
              <w:rPr>
                <w:rFonts w:ascii="Calibri" w:eastAsia="Times New Roman" w:hAnsi="Calibri" w:cs="Times New Roman"/>
                <w:color w:val="000000"/>
              </w:rPr>
            </w:pPr>
            <w:r>
              <w:rPr>
                <w:rFonts w:ascii="Calibri" w:eastAsia="Times New Roman" w:hAnsi="Calibri" w:cs="Times New Roman"/>
                <w:color w:val="000000"/>
              </w:rPr>
              <w:t>100</w:t>
            </w:r>
          </w:p>
        </w:tc>
        <w:tc>
          <w:tcPr>
            <w:tcW w:w="610" w:type="dxa"/>
            <w:tcBorders>
              <w:top w:val="nil"/>
              <w:left w:val="nil"/>
              <w:bottom w:val="single" w:sz="8" w:space="0" w:color="auto"/>
              <w:right w:val="nil"/>
            </w:tcBorders>
            <w:shd w:val="clear" w:color="auto" w:fill="auto"/>
            <w:noWrap/>
            <w:vAlign w:val="center"/>
            <w:hideMark/>
          </w:tcPr>
          <w:p w:rsidR="004C65A4" w:rsidRPr="004C65A4" w:rsidRDefault="00EA5A7E" w:rsidP="004C65A4">
            <w:pPr>
              <w:spacing w:line="240" w:lineRule="auto"/>
              <w:jc w:val="center"/>
              <w:rPr>
                <w:rFonts w:ascii="Calibri" w:eastAsia="Times New Roman" w:hAnsi="Calibri" w:cs="Times New Roman"/>
                <w:color w:val="000000"/>
              </w:rPr>
            </w:pPr>
            <w:r>
              <w:rPr>
                <w:rFonts w:ascii="Calibri" w:eastAsia="Times New Roman" w:hAnsi="Calibri" w:cs="Times New Roman"/>
                <w:color w:val="000000"/>
              </w:rPr>
              <w:t>2</w:t>
            </w:r>
            <w:r w:rsidR="004C65A4" w:rsidRPr="004C65A4">
              <w:rPr>
                <w:rFonts w:ascii="Calibri" w:eastAsia="Times New Roman" w:hAnsi="Calibri" w:cs="Times New Roman"/>
                <w:color w:val="000000"/>
              </w:rPr>
              <w:t>00</w:t>
            </w:r>
          </w:p>
        </w:tc>
        <w:tc>
          <w:tcPr>
            <w:tcW w:w="2522" w:type="dxa"/>
            <w:tcBorders>
              <w:top w:val="nil"/>
              <w:left w:val="nil"/>
              <w:bottom w:val="single" w:sz="8"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I</w:t>
            </w:r>
          </w:p>
        </w:tc>
        <w:tc>
          <w:tcPr>
            <w:tcW w:w="1149" w:type="dxa"/>
            <w:tcBorders>
              <w:top w:val="nil"/>
              <w:left w:val="nil"/>
              <w:bottom w:val="single" w:sz="8"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150</w:t>
            </w:r>
          </w:p>
        </w:tc>
        <w:tc>
          <w:tcPr>
            <w:tcW w:w="1092" w:type="dxa"/>
            <w:tcBorders>
              <w:top w:val="nil"/>
              <w:left w:val="nil"/>
              <w:bottom w:val="single" w:sz="8" w:space="0" w:color="auto"/>
              <w:right w:val="nil"/>
            </w:tcBorders>
            <w:shd w:val="clear" w:color="auto" w:fill="auto"/>
            <w:noWrap/>
            <w:vAlign w:val="center"/>
            <w:hideMark/>
          </w:tcPr>
          <w:p w:rsidR="004C65A4" w:rsidRPr="004C65A4" w:rsidRDefault="004C65A4" w:rsidP="004C65A4">
            <w:pPr>
              <w:spacing w:line="240" w:lineRule="auto"/>
              <w:jc w:val="center"/>
              <w:rPr>
                <w:rFonts w:ascii="Calibri" w:eastAsia="Times New Roman" w:hAnsi="Calibri" w:cs="Times New Roman"/>
                <w:color w:val="000000"/>
              </w:rPr>
            </w:pPr>
            <w:r w:rsidRPr="004C65A4">
              <w:rPr>
                <w:rFonts w:ascii="Calibri" w:eastAsia="Times New Roman" w:hAnsi="Calibri" w:cs="Times New Roman"/>
                <w:color w:val="000000"/>
              </w:rPr>
              <w:t>200</w:t>
            </w:r>
          </w:p>
        </w:tc>
      </w:tr>
      <w:tr w:rsidR="0099737A" w:rsidRPr="004C65A4" w:rsidTr="004C65A4">
        <w:trPr>
          <w:trHeight w:val="315"/>
        </w:trPr>
        <w:tc>
          <w:tcPr>
            <w:tcW w:w="3550" w:type="dxa"/>
            <w:tcBorders>
              <w:top w:val="nil"/>
              <w:left w:val="nil"/>
              <w:bottom w:val="single" w:sz="8" w:space="0" w:color="auto"/>
              <w:right w:val="nil"/>
            </w:tcBorders>
            <w:shd w:val="clear" w:color="auto" w:fill="auto"/>
            <w:vAlign w:val="center"/>
          </w:tcPr>
          <w:p w:rsidR="0099737A" w:rsidRPr="004C65A4" w:rsidRDefault="0099737A" w:rsidP="004C65A4">
            <w:pPr>
              <w:spacing w:line="240" w:lineRule="auto"/>
              <w:rPr>
                <w:rFonts w:ascii="Calibri" w:eastAsia="Times New Roman" w:hAnsi="Calibri" w:cs="Times New Roman"/>
                <w:color w:val="000000"/>
              </w:rPr>
            </w:pPr>
            <w:r>
              <w:rPr>
                <w:rFonts w:ascii="Calibri" w:eastAsia="Times New Roman" w:hAnsi="Calibri" w:cs="Times New Roman"/>
                <w:color w:val="000000"/>
              </w:rPr>
              <w:t>Phosphorus Enrichment Ratio</w:t>
            </w:r>
          </w:p>
        </w:tc>
        <w:tc>
          <w:tcPr>
            <w:tcW w:w="2415" w:type="dxa"/>
            <w:tcBorders>
              <w:top w:val="nil"/>
              <w:left w:val="nil"/>
              <w:bottom w:val="single" w:sz="8" w:space="0" w:color="auto"/>
              <w:right w:val="nil"/>
            </w:tcBorders>
            <w:shd w:val="clear" w:color="auto" w:fill="auto"/>
            <w:noWrap/>
            <w:vAlign w:val="center"/>
          </w:tcPr>
          <w:p w:rsidR="0099737A" w:rsidRPr="004C65A4" w:rsidRDefault="0099737A" w:rsidP="004C65A4">
            <w:pPr>
              <w:spacing w:line="240" w:lineRule="auto"/>
              <w:rPr>
                <w:rFonts w:ascii="Calibri" w:eastAsia="Times New Roman" w:hAnsi="Calibri" w:cs="Times New Roman"/>
                <w:color w:val="000000"/>
              </w:rPr>
            </w:pPr>
            <w:r>
              <w:rPr>
                <w:rFonts w:ascii="Calibri" w:eastAsia="Times New Roman" w:hAnsi="Calibri" w:cs="Times New Roman"/>
                <w:color w:val="000000"/>
              </w:rPr>
              <w:t>v__</w:t>
            </w:r>
            <w:proofErr w:type="spellStart"/>
            <w:r>
              <w:rPr>
                <w:rFonts w:ascii="Calibri" w:eastAsia="Times New Roman" w:hAnsi="Calibri" w:cs="Times New Roman"/>
                <w:color w:val="000000"/>
              </w:rPr>
              <w:t>ERORGP.hru</w:t>
            </w:r>
            <w:proofErr w:type="spellEnd"/>
          </w:p>
        </w:tc>
        <w:tc>
          <w:tcPr>
            <w:tcW w:w="823" w:type="dxa"/>
            <w:tcBorders>
              <w:top w:val="nil"/>
              <w:left w:val="nil"/>
              <w:bottom w:val="single" w:sz="8" w:space="0" w:color="auto"/>
              <w:right w:val="nil"/>
            </w:tcBorders>
            <w:shd w:val="clear" w:color="auto" w:fill="auto"/>
            <w:noWrap/>
            <w:vAlign w:val="center"/>
          </w:tcPr>
          <w:p w:rsidR="0099737A" w:rsidRPr="004C65A4" w:rsidRDefault="0099737A" w:rsidP="004C65A4">
            <w:pPr>
              <w:spacing w:line="240" w:lineRule="auto"/>
              <w:jc w:val="center"/>
              <w:rPr>
                <w:rFonts w:ascii="Calibri" w:eastAsia="Times New Roman" w:hAnsi="Calibri" w:cs="Times New Roman"/>
                <w:color w:val="000000"/>
              </w:rPr>
            </w:pPr>
            <w:r>
              <w:rPr>
                <w:rFonts w:ascii="Calibri" w:eastAsia="Times New Roman" w:hAnsi="Calibri" w:cs="Times New Roman"/>
                <w:color w:val="000000"/>
              </w:rPr>
              <w:t>0</w:t>
            </w:r>
          </w:p>
        </w:tc>
        <w:tc>
          <w:tcPr>
            <w:tcW w:w="610" w:type="dxa"/>
            <w:tcBorders>
              <w:top w:val="nil"/>
              <w:left w:val="nil"/>
              <w:bottom w:val="single" w:sz="8" w:space="0" w:color="auto"/>
              <w:right w:val="nil"/>
            </w:tcBorders>
            <w:shd w:val="clear" w:color="auto" w:fill="auto"/>
            <w:noWrap/>
            <w:vAlign w:val="center"/>
          </w:tcPr>
          <w:p w:rsidR="0099737A" w:rsidRPr="004C65A4" w:rsidRDefault="0099737A" w:rsidP="004C65A4">
            <w:pPr>
              <w:spacing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2522" w:type="dxa"/>
            <w:tcBorders>
              <w:top w:val="nil"/>
              <w:left w:val="nil"/>
              <w:bottom w:val="single" w:sz="8" w:space="0" w:color="auto"/>
              <w:right w:val="nil"/>
            </w:tcBorders>
            <w:shd w:val="clear" w:color="auto" w:fill="auto"/>
            <w:noWrap/>
            <w:vAlign w:val="center"/>
          </w:tcPr>
          <w:p w:rsidR="0099737A" w:rsidRPr="004C65A4" w:rsidRDefault="0099737A" w:rsidP="004C65A4">
            <w:pPr>
              <w:spacing w:line="240" w:lineRule="auto"/>
              <w:jc w:val="center"/>
              <w:rPr>
                <w:rFonts w:ascii="Calibri" w:eastAsia="Times New Roman" w:hAnsi="Calibri" w:cs="Times New Roman"/>
                <w:color w:val="000000"/>
              </w:rPr>
            </w:pPr>
          </w:p>
        </w:tc>
        <w:tc>
          <w:tcPr>
            <w:tcW w:w="1149" w:type="dxa"/>
            <w:tcBorders>
              <w:top w:val="nil"/>
              <w:left w:val="nil"/>
              <w:bottom w:val="single" w:sz="8" w:space="0" w:color="auto"/>
              <w:right w:val="nil"/>
            </w:tcBorders>
            <w:shd w:val="clear" w:color="auto" w:fill="auto"/>
            <w:noWrap/>
            <w:vAlign w:val="center"/>
          </w:tcPr>
          <w:p w:rsidR="0099737A" w:rsidRPr="004C65A4" w:rsidRDefault="0099737A" w:rsidP="004C65A4">
            <w:pPr>
              <w:spacing w:line="240" w:lineRule="auto"/>
              <w:jc w:val="center"/>
              <w:rPr>
                <w:rFonts w:ascii="Calibri" w:eastAsia="Times New Roman" w:hAnsi="Calibri" w:cs="Times New Roman"/>
                <w:color w:val="000000"/>
              </w:rPr>
            </w:pPr>
          </w:p>
        </w:tc>
        <w:tc>
          <w:tcPr>
            <w:tcW w:w="1092" w:type="dxa"/>
            <w:tcBorders>
              <w:top w:val="nil"/>
              <w:left w:val="nil"/>
              <w:bottom w:val="single" w:sz="8" w:space="0" w:color="auto"/>
              <w:right w:val="nil"/>
            </w:tcBorders>
            <w:shd w:val="clear" w:color="auto" w:fill="auto"/>
            <w:noWrap/>
            <w:vAlign w:val="center"/>
          </w:tcPr>
          <w:p w:rsidR="0099737A" w:rsidRPr="004C65A4" w:rsidRDefault="0099737A" w:rsidP="004C65A4">
            <w:pPr>
              <w:spacing w:line="240" w:lineRule="auto"/>
              <w:jc w:val="center"/>
              <w:rPr>
                <w:rFonts w:ascii="Calibri" w:eastAsia="Times New Roman" w:hAnsi="Calibri" w:cs="Times New Roman"/>
                <w:color w:val="000000"/>
              </w:rPr>
            </w:pPr>
          </w:p>
        </w:tc>
      </w:tr>
      <w:tr w:rsidR="004C65A4" w:rsidRPr="004C65A4" w:rsidTr="004C65A4">
        <w:trPr>
          <w:trHeight w:val="300"/>
        </w:trPr>
        <w:tc>
          <w:tcPr>
            <w:tcW w:w="12161" w:type="dxa"/>
            <w:gridSpan w:val="7"/>
            <w:tcBorders>
              <w:top w:val="single" w:sz="8" w:space="0" w:color="auto"/>
              <w:left w:val="nil"/>
              <w:bottom w:val="nil"/>
              <w:right w:val="nil"/>
            </w:tcBorders>
            <w:shd w:val="clear" w:color="auto" w:fill="auto"/>
            <w:vAlign w:val="center"/>
            <w:hideMark/>
          </w:tcPr>
          <w:p w:rsidR="004C65A4" w:rsidRPr="004C65A4" w:rsidRDefault="002B019B" w:rsidP="002B019B">
            <w:pPr>
              <w:spacing w:line="240" w:lineRule="auto"/>
              <w:rPr>
                <w:rFonts w:ascii="Calibri" w:eastAsia="Times New Roman" w:hAnsi="Calibri" w:cs="Times New Roman"/>
                <w:color w:val="000000"/>
              </w:rPr>
            </w:pPr>
            <w:r>
              <w:rPr>
                <w:rFonts w:ascii="Calibri" w:eastAsia="Times New Roman" w:hAnsi="Calibri" w:cs="Times New Roman"/>
                <w:color w:val="000000"/>
              </w:rPr>
              <w:t>*</w:t>
            </w:r>
            <w:r w:rsidR="004C65A4" w:rsidRPr="004C65A4">
              <w:rPr>
                <w:rFonts w:ascii="Calibri" w:eastAsia="Times New Roman" w:hAnsi="Calibri" w:cs="Times New Roman"/>
                <w:color w:val="000000"/>
              </w:rPr>
              <w:t xml:space="preserve">v:  Parameter is assigned this value.  </w:t>
            </w:r>
            <w:proofErr w:type="gramStart"/>
            <w:r w:rsidR="004C65A4" w:rsidRPr="004C65A4">
              <w:rPr>
                <w:rFonts w:ascii="Calibri" w:eastAsia="Times New Roman" w:hAnsi="Calibri" w:cs="Times New Roman"/>
                <w:color w:val="000000"/>
              </w:rPr>
              <w:t>r</w:t>
            </w:r>
            <w:proofErr w:type="gramEnd"/>
            <w:r w:rsidR="004C65A4" w:rsidRPr="004C65A4">
              <w:rPr>
                <w:rFonts w:ascii="Calibri" w:eastAsia="Times New Roman" w:hAnsi="Calibri" w:cs="Times New Roman"/>
                <w:color w:val="000000"/>
              </w:rPr>
              <w:t xml:space="preserve">:  Parameter is increased or decreased by this </w:t>
            </w:r>
            <w:r>
              <w:rPr>
                <w:rFonts w:ascii="Calibri" w:eastAsia="Times New Roman" w:hAnsi="Calibri" w:cs="Times New Roman"/>
                <w:color w:val="000000"/>
              </w:rPr>
              <w:t>multiple</w:t>
            </w:r>
            <w:r w:rsidR="004C65A4" w:rsidRPr="004C65A4">
              <w:rPr>
                <w:rFonts w:ascii="Calibri" w:eastAsia="Times New Roman" w:hAnsi="Calibri" w:cs="Times New Roman"/>
                <w:color w:val="000000"/>
              </w:rPr>
              <w:t>.</w:t>
            </w:r>
          </w:p>
        </w:tc>
      </w:tr>
      <w:tr w:rsidR="004C65A4" w:rsidRPr="004C65A4" w:rsidTr="004C65A4">
        <w:trPr>
          <w:trHeight w:val="300"/>
        </w:trPr>
        <w:tc>
          <w:tcPr>
            <w:tcW w:w="12161" w:type="dxa"/>
            <w:gridSpan w:val="7"/>
            <w:tcBorders>
              <w:top w:val="nil"/>
              <w:left w:val="nil"/>
              <w:bottom w:val="nil"/>
              <w:right w:val="nil"/>
            </w:tcBorders>
            <w:shd w:val="clear" w:color="auto" w:fill="auto"/>
            <w:vAlign w:val="center"/>
            <w:hideMark/>
          </w:tcPr>
          <w:p w:rsidR="004C65A4" w:rsidRPr="004C65A4" w:rsidRDefault="004C65A4" w:rsidP="004C65A4">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†Evergreen(6), deciduous(7), mixed(8), wetland(10) forest      †† Row crops (2)     ††† Rangeland (15, 16)</w:t>
            </w:r>
          </w:p>
        </w:tc>
      </w:tr>
      <w:tr w:rsidR="004C65A4" w:rsidRPr="004C65A4" w:rsidTr="004C65A4">
        <w:trPr>
          <w:trHeight w:val="300"/>
        </w:trPr>
        <w:tc>
          <w:tcPr>
            <w:tcW w:w="12161" w:type="dxa"/>
            <w:gridSpan w:val="7"/>
            <w:tcBorders>
              <w:top w:val="nil"/>
              <w:left w:val="nil"/>
              <w:bottom w:val="nil"/>
              <w:right w:val="nil"/>
            </w:tcBorders>
            <w:shd w:val="clear" w:color="auto" w:fill="auto"/>
            <w:noWrap/>
            <w:vAlign w:val="center"/>
            <w:hideMark/>
          </w:tcPr>
          <w:p w:rsidR="004C65A4" w:rsidRPr="004C65A4" w:rsidRDefault="002B019B" w:rsidP="002B019B">
            <w:pPr>
              <w:spacing w:line="240" w:lineRule="auto"/>
              <w:rPr>
                <w:rFonts w:ascii="Calibri" w:eastAsia="Times New Roman" w:hAnsi="Calibri" w:cs="Times New Roman"/>
                <w:color w:val="000000"/>
              </w:rPr>
            </w:pPr>
            <w:r w:rsidRPr="004C65A4">
              <w:rPr>
                <w:rFonts w:ascii="Calibri" w:eastAsia="Times New Roman" w:hAnsi="Calibri" w:cs="Times New Roman"/>
                <w:color w:val="000000"/>
              </w:rPr>
              <w:t>‡</w:t>
            </w:r>
            <w:r>
              <w:rPr>
                <w:rFonts w:ascii="Calibri" w:eastAsia="Times New Roman" w:hAnsi="Calibri" w:cs="Times New Roman"/>
                <w:color w:val="000000"/>
              </w:rPr>
              <w:t xml:space="preserve">Reaches upstream of Dilly      </w:t>
            </w:r>
            <w:r w:rsidRPr="004C65A4">
              <w:rPr>
                <w:rFonts w:ascii="Calibri" w:eastAsia="Times New Roman" w:hAnsi="Calibri" w:cs="Times New Roman"/>
                <w:color w:val="000000"/>
              </w:rPr>
              <w:t>‡‡</w:t>
            </w:r>
            <w:r w:rsidR="004C65A4" w:rsidRPr="004C65A4">
              <w:rPr>
                <w:rFonts w:ascii="Calibri" w:eastAsia="Times New Roman" w:hAnsi="Calibri" w:cs="Times New Roman"/>
                <w:color w:val="000000"/>
              </w:rPr>
              <w:t xml:space="preserve">Reaches upstream of </w:t>
            </w:r>
            <w:proofErr w:type="spellStart"/>
            <w:r w:rsidR="004C65A4" w:rsidRPr="004C65A4">
              <w:rPr>
                <w:rFonts w:ascii="Calibri" w:eastAsia="Times New Roman" w:hAnsi="Calibri" w:cs="Times New Roman"/>
                <w:color w:val="000000"/>
              </w:rPr>
              <w:t>Fanno</w:t>
            </w:r>
            <w:proofErr w:type="spellEnd"/>
            <w:r w:rsidR="004C65A4" w:rsidRPr="004C65A4">
              <w:rPr>
                <w:rFonts w:ascii="Calibri" w:eastAsia="Times New Roman" w:hAnsi="Calibri" w:cs="Times New Roman"/>
                <w:color w:val="000000"/>
              </w:rPr>
              <w:t xml:space="preserve">      </w:t>
            </w:r>
            <w:r w:rsidRPr="004C65A4">
              <w:rPr>
                <w:rFonts w:ascii="Calibri" w:eastAsia="Times New Roman" w:hAnsi="Calibri" w:cs="Times New Roman"/>
                <w:color w:val="000000"/>
              </w:rPr>
              <w:t>‡‡‡</w:t>
            </w:r>
            <w:r w:rsidR="004C65A4" w:rsidRPr="004C65A4">
              <w:rPr>
                <w:rFonts w:ascii="Calibri" w:eastAsia="Times New Roman" w:hAnsi="Calibri" w:cs="Times New Roman"/>
                <w:color w:val="000000"/>
              </w:rPr>
              <w:t>All other reaches</w:t>
            </w:r>
          </w:p>
        </w:tc>
      </w:tr>
    </w:tbl>
    <w:p w:rsidR="00813633" w:rsidRDefault="00813633" w:rsidP="004559AB">
      <w:pPr>
        <w:spacing w:line="240" w:lineRule="auto"/>
        <w:sectPr w:rsidR="00813633" w:rsidSect="00813633">
          <w:pgSz w:w="15840" w:h="12240" w:orient="landscape"/>
          <w:pgMar w:top="1440" w:right="1440" w:bottom="1440" w:left="1440" w:header="720" w:footer="720" w:gutter="0"/>
          <w:cols w:space="720"/>
          <w:docGrid w:linePitch="360"/>
        </w:sectPr>
      </w:pPr>
    </w:p>
    <w:p w:rsidR="004559AB" w:rsidRDefault="004559AB" w:rsidP="004559AB">
      <w:pPr>
        <w:spacing w:line="240" w:lineRule="auto"/>
      </w:pPr>
    </w:p>
    <w:p w:rsidR="004559AB" w:rsidRDefault="004559AB" w:rsidP="00BE3FDF">
      <w:pPr>
        <w:pStyle w:val="Heading3"/>
      </w:pPr>
      <w:r>
        <w:t>4.4.2 Sediment</w:t>
      </w:r>
    </w:p>
    <w:p w:rsidR="004559AB" w:rsidRDefault="004559AB" w:rsidP="004559AB">
      <w:pPr>
        <w:spacing w:line="240" w:lineRule="auto"/>
      </w:pPr>
    </w:p>
    <w:p w:rsidR="004559AB" w:rsidRDefault="004559AB" w:rsidP="004559AB">
      <w:pPr>
        <w:spacing w:line="240" w:lineRule="auto"/>
      </w:pPr>
      <w:r>
        <w:tab/>
        <w:t xml:space="preserve">Sediment results were mixed.  NSE values ranged from 0.54 – 0.86 during calibration and 0.48 – 0.80 during validation.  West Linn had the lowest NSE scores in both periods while Dilley had the best.  The model consistently overestimates sediment, with bias ranging from 16.1 – 23.9% during calibration and 7.1 – 102.4% during validation.  While over-all model bias is positive, it is clear from the time series (Table 5 and 6) that sediment is underestimated during high flows and overestimated during medium and low flows.  If </w:t>
      </w:r>
      <w:r w:rsidR="00411D4C">
        <w:t xml:space="preserve">high flow years of </w:t>
      </w:r>
      <w:r>
        <w:t>WY 1996 – 1999 are removed, the bias for sediment at West Linn increases to 62.3%.  RSR ranges from 0.38</w:t>
      </w:r>
      <w:r w:rsidR="003A50B1">
        <w:t xml:space="preserve"> (West Linn)</w:t>
      </w:r>
      <w:r>
        <w:t xml:space="preserve"> – 0.68</w:t>
      </w:r>
      <w:r w:rsidR="003A50B1">
        <w:t xml:space="preserve"> (Dilley)</w:t>
      </w:r>
      <w:r>
        <w:t xml:space="preserve"> during calibration and 0.44</w:t>
      </w:r>
      <w:r w:rsidR="003A50B1">
        <w:t xml:space="preserve"> (West Linn)</w:t>
      </w:r>
      <w:r>
        <w:t xml:space="preserve"> – 0.71</w:t>
      </w:r>
      <w:r w:rsidR="003A50B1">
        <w:t xml:space="preserve"> (Dilley)</w:t>
      </w:r>
      <w:r>
        <w:t xml:space="preserve">.  </w:t>
      </w:r>
    </w:p>
    <w:p w:rsidR="004559AB" w:rsidRDefault="004559AB" w:rsidP="004559AB">
      <w:pPr>
        <w:spacing w:line="240" w:lineRule="auto"/>
      </w:pPr>
    </w:p>
    <w:p w:rsidR="004559AB" w:rsidRDefault="004559AB" w:rsidP="00BE3FDF">
      <w:pPr>
        <w:pStyle w:val="Heading3"/>
      </w:pPr>
      <w:r>
        <w:t>4.4.3 Total Nitrogen</w:t>
      </w:r>
    </w:p>
    <w:p w:rsidR="004559AB" w:rsidRDefault="004559AB" w:rsidP="004559AB">
      <w:pPr>
        <w:spacing w:line="240" w:lineRule="auto"/>
      </w:pPr>
    </w:p>
    <w:p w:rsidR="004559AB" w:rsidRDefault="004559AB" w:rsidP="004559AB">
      <w:pPr>
        <w:spacing w:line="240" w:lineRule="auto"/>
        <w:ind w:firstLine="720"/>
      </w:pPr>
      <w:r>
        <w:t xml:space="preserve">NSE scores range from -0.5 – 0.74 during calibration and -0.36 – 0.72 during validation.  </w:t>
      </w:r>
      <w:proofErr w:type="spellStart"/>
      <w:r>
        <w:t>Fanno</w:t>
      </w:r>
      <w:proofErr w:type="spellEnd"/>
      <w:r>
        <w:t xml:space="preserve"> is the only basin with a negative NSE score during calibration and validation.  Bias ranges from -24.4% – 38.6% during calibration and -25% – 62% during validation.  These values are large, but still within the acceptable range according to </w:t>
      </w:r>
      <w:proofErr w:type="spellStart"/>
      <w:r>
        <w:t>Moriasi</w:t>
      </w:r>
      <w:proofErr w:type="spellEnd"/>
      <w:r>
        <w:t xml:space="preserve"> et al (2007).  RSR values range from 0.51 – 1.22 during calibration and 0.52 – 1.16 during validation.  </w:t>
      </w:r>
      <w:proofErr w:type="spellStart"/>
      <w:r>
        <w:t>Fanno</w:t>
      </w:r>
      <w:proofErr w:type="spellEnd"/>
      <w:r>
        <w:t xml:space="preserve"> is the only gage which has an RSR value above 0.7 during calibration.  Both </w:t>
      </w:r>
      <w:proofErr w:type="spellStart"/>
      <w:r>
        <w:t>Fanno</w:t>
      </w:r>
      <w:proofErr w:type="spellEnd"/>
      <w:r>
        <w:t xml:space="preserve"> and Dilley have RSR values above 0.7 during validation.  Based on these results, the areas upstream of </w:t>
      </w:r>
      <w:proofErr w:type="spellStart"/>
      <w:r>
        <w:t>Fanno</w:t>
      </w:r>
      <w:proofErr w:type="spellEnd"/>
      <w:r>
        <w:t xml:space="preserve"> Creek, the most urbanized watershed, do not properly model TN processes.  </w:t>
      </w:r>
    </w:p>
    <w:p w:rsidR="004559AB" w:rsidRDefault="004559AB" w:rsidP="004559AB">
      <w:pPr>
        <w:spacing w:line="240" w:lineRule="auto"/>
      </w:pPr>
    </w:p>
    <w:p w:rsidR="004559AB" w:rsidRDefault="004559AB" w:rsidP="00BE3FDF">
      <w:pPr>
        <w:pStyle w:val="Heading3"/>
      </w:pPr>
      <w:r>
        <w:t>4.4.4 Total Phosphorus</w:t>
      </w:r>
    </w:p>
    <w:p w:rsidR="004559AB" w:rsidRDefault="004559AB" w:rsidP="004559AB">
      <w:pPr>
        <w:spacing w:line="240" w:lineRule="auto"/>
      </w:pPr>
    </w:p>
    <w:p w:rsidR="004559AB" w:rsidRDefault="004559AB" w:rsidP="004559AB">
      <w:pPr>
        <w:spacing w:line="240" w:lineRule="auto"/>
      </w:pPr>
      <w:r>
        <w:tab/>
        <w:t xml:space="preserve">NSE scores ranged from 0.48 – 0.68 for calibration and 0.05 – 0.46 for validation.   All NSE scores were worse during validation.  </w:t>
      </w:r>
      <w:proofErr w:type="spellStart"/>
      <w:r>
        <w:t>Fanno</w:t>
      </w:r>
      <w:proofErr w:type="spellEnd"/>
      <w:r>
        <w:t xml:space="preserve"> dropped the most, from 0.68 to 0.05, while </w:t>
      </w:r>
      <w:proofErr w:type="spellStart"/>
      <w:r>
        <w:t>McMinville</w:t>
      </w:r>
      <w:proofErr w:type="spellEnd"/>
      <w:r>
        <w:t xml:space="preserve"> dropped the least, from 0.52 to 0.46.  Bias ranged from -13.8 – 35.2% for calibration and -14.2 – 46.9% during validation.  These values were not consistent, however.  As can be seen in Figures 3 and 4, the models had a wide range of both under and over estimation.  RSR values range from 0.56 – 0.72 for calibration and 0.73 – 0.97 for validation.  West Linn was the only gage to exceed 0.7 during calibration while all gages exceeded this value during validation.   </w:t>
      </w:r>
    </w:p>
    <w:p w:rsidR="004559AB" w:rsidRDefault="004559AB" w:rsidP="004559AB">
      <w:pPr>
        <w:spacing w:line="240" w:lineRule="auto"/>
      </w:pPr>
    </w:p>
    <w:p w:rsidR="004559AB" w:rsidRDefault="004559AB" w:rsidP="004559AB">
      <w:pPr>
        <w:spacing w:line="240" w:lineRule="auto"/>
        <w:jc w:val="center"/>
      </w:pPr>
    </w:p>
    <w:p w:rsidR="004559AB" w:rsidRDefault="00E00611" w:rsidP="004559AB">
      <w:pPr>
        <w:spacing w:line="240" w:lineRule="auto"/>
        <w:jc w:val="center"/>
      </w:pPr>
      <w:r>
        <w:rPr>
          <w:noProof/>
        </w:rPr>
        <w:lastRenderedPageBreak/>
        <w:drawing>
          <wp:inline distT="0" distB="0" distL="0" distR="0" wp14:anchorId="1893CA31" wp14:editId="0BB6B13E">
            <wp:extent cx="5848350" cy="576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48350" cy="5762625"/>
                    </a:xfrm>
                    <a:prstGeom prst="rect">
                      <a:avLst/>
                    </a:prstGeom>
                  </pic:spPr>
                </pic:pic>
              </a:graphicData>
            </a:graphic>
          </wp:inline>
        </w:drawing>
      </w:r>
    </w:p>
    <w:p w:rsidR="004559AB" w:rsidRDefault="004559AB" w:rsidP="004559AB">
      <w:pPr>
        <w:spacing w:line="240" w:lineRule="auto"/>
        <w:jc w:val="center"/>
      </w:pPr>
      <w:r>
        <w:rPr>
          <w:b/>
        </w:rPr>
        <w:t>Fig.</w:t>
      </w:r>
      <w:r w:rsidRPr="00141635">
        <w:rPr>
          <w:b/>
        </w:rPr>
        <w:t xml:space="preserve"> </w:t>
      </w:r>
      <w:r w:rsidR="00EE2C5B">
        <w:rPr>
          <w:b/>
        </w:rPr>
        <w:t>5</w:t>
      </w:r>
      <w:r w:rsidRPr="00141635">
        <w:rPr>
          <w:b/>
        </w:rPr>
        <w:t xml:space="preserve">:  </w:t>
      </w:r>
      <w:r>
        <w:t>Monthly calibrated results for both the Tualatin and Yamhill sub-basins.</w:t>
      </w:r>
    </w:p>
    <w:p w:rsidR="004559AB" w:rsidRDefault="004559AB" w:rsidP="004559AB">
      <w:pPr>
        <w:spacing w:line="240" w:lineRule="auto"/>
      </w:pPr>
    </w:p>
    <w:p w:rsidR="004559AB" w:rsidRDefault="004559AB" w:rsidP="004559AB">
      <w:pPr>
        <w:spacing w:line="240" w:lineRule="auto"/>
      </w:pPr>
    </w:p>
    <w:p w:rsidR="004559AB" w:rsidRDefault="00E00611" w:rsidP="004559AB">
      <w:pPr>
        <w:spacing w:line="240" w:lineRule="auto"/>
        <w:jc w:val="center"/>
      </w:pPr>
      <w:r>
        <w:rPr>
          <w:noProof/>
        </w:rPr>
        <w:lastRenderedPageBreak/>
        <w:drawing>
          <wp:inline distT="0" distB="0" distL="0" distR="0" wp14:anchorId="2F501455" wp14:editId="706715FF">
            <wp:extent cx="5781675" cy="57340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81675" cy="5734050"/>
                    </a:xfrm>
                    <a:prstGeom prst="rect">
                      <a:avLst/>
                    </a:prstGeom>
                  </pic:spPr>
                </pic:pic>
              </a:graphicData>
            </a:graphic>
          </wp:inline>
        </w:drawing>
      </w:r>
    </w:p>
    <w:p w:rsidR="004559AB" w:rsidRPr="00692997" w:rsidRDefault="004559AB" w:rsidP="004559AB">
      <w:pPr>
        <w:spacing w:line="240" w:lineRule="auto"/>
        <w:jc w:val="center"/>
      </w:pPr>
      <w:r w:rsidRPr="0017057C">
        <w:rPr>
          <w:b/>
        </w:rPr>
        <w:t xml:space="preserve">Fig. </w:t>
      </w:r>
      <w:r w:rsidR="00EE2C5B">
        <w:rPr>
          <w:b/>
        </w:rPr>
        <w:t>6</w:t>
      </w:r>
      <w:r w:rsidRPr="0017057C">
        <w:rPr>
          <w:b/>
        </w:rPr>
        <w:t xml:space="preserve">:  </w:t>
      </w:r>
      <w:r>
        <w:t>Validation results for Tualatin and Yamhill sub-basins.</w:t>
      </w:r>
    </w:p>
    <w:p w:rsidR="004559AB" w:rsidRDefault="00186C59" w:rsidP="004559AB">
      <w:pPr>
        <w:spacing w:line="240" w:lineRule="auto"/>
        <w:jc w:val="center"/>
      </w:pPr>
      <w:r>
        <w:rPr>
          <w:noProof/>
        </w:rPr>
        <w:lastRenderedPageBreak/>
        <w:drawing>
          <wp:inline distT="0" distB="0" distL="0" distR="0" wp14:anchorId="40684DC2" wp14:editId="7C7BE683">
            <wp:extent cx="5562600" cy="5638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5638800"/>
                    </a:xfrm>
                    <a:prstGeom prst="rect">
                      <a:avLst/>
                    </a:prstGeom>
                  </pic:spPr>
                </pic:pic>
              </a:graphicData>
            </a:graphic>
          </wp:inline>
        </w:drawing>
      </w:r>
    </w:p>
    <w:p w:rsidR="004559AB" w:rsidRDefault="004559AB" w:rsidP="004559AB">
      <w:pPr>
        <w:spacing w:line="240" w:lineRule="auto"/>
        <w:jc w:val="center"/>
      </w:pPr>
      <w:r>
        <w:rPr>
          <w:b/>
        </w:rPr>
        <w:t>Fig.</w:t>
      </w:r>
      <w:r w:rsidRPr="00141635">
        <w:rPr>
          <w:b/>
        </w:rPr>
        <w:t xml:space="preserve"> </w:t>
      </w:r>
      <w:r w:rsidR="00EE2C5B">
        <w:rPr>
          <w:b/>
        </w:rPr>
        <w:t>7</w:t>
      </w:r>
      <w:r w:rsidRPr="00141635">
        <w:rPr>
          <w:b/>
        </w:rPr>
        <w:t xml:space="preserve">:  </w:t>
      </w:r>
      <w:r>
        <w:t>Time series of calibrated results for both the Tualatin and Yamhill sub-basins.</w:t>
      </w:r>
    </w:p>
    <w:p w:rsidR="004559AB" w:rsidRDefault="004559AB" w:rsidP="004559AB">
      <w:pPr>
        <w:spacing w:line="240" w:lineRule="auto"/>
      </w:pPr>
    </w:p>
    <w:p w:rsidR="004559AB" w:rsidRDefault="00186C59" w:rsidP="004559AB">
      <w:pPr>
        <w:spacing w:line="240" w:lineRule="auto"/>
        <w:jc w:val="center"/>
      </w:pPr>
      <w:r>
        <w:rPr>
          <w:noProof/>
        </w:rPr>
        <w:lastRenderedPageBreak/>
        <w:drawing>
          <wp:inline distT="0" distB="0" distL="0" distR="0" wp14:anchorId="2F2550A2" wp14:editId="3AE2466C">
            <wp:extent cx="5534025" cy="5610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5610225"/>
                    </a:xfrm>
                    <a:prstGeom prst="rect">
                      <a:avLst/>
                    </a:prstGeom>
                  </pic:spPr>
                </pic:pic>
              </a:graphicData>
            </a:graphic>
          </wp:inline>
        </w:drawing>
      </w:r>
    </w:p>
    <w:p w:rsidR="004559AB" w:rsidRDefault="004559AB" w:rsidP="004559AB">
      <w:pPr>
        <w:spacing w:line="240" w:lineRule="auto"/>
        <w:jc w:val="center"/>
      </w:pPr>
      <w:r>
        <w:rPr>
          <w:b/>
        </w:rPr>
        <w:t>Fig.</w:t>
      </w:r>
      <w:r w:rsidRPr="00141635">
        <w:rPr>
          <w:b/>
        </w:rPr>
        <w:t xml:space="preserve"> </w:t>
      </w:r>
      <w:r w:rsidR="00EE2C5B">
        <w:rPr>
          <w:b/>
        </w:rPr>
        <w:t>8</w:t>
      </w:r>
      <w:r w:rsidRPr="00141635">
        <w:rPr>
          <w:b/>
        </w:rPr>
        <w:t xml:space="preserve">:  </w:t>
      </w:r>
      <w:r>
        <w:t>Time series of validated results for both the Tualatin and Yamhill sub-basins.</w:t>
      </w:r>
    </w:p>
    <w:p w:rsidR="004559AB" w:rsidRDefault="004559AB" w:rsidP="004559AB">
      <w:pPr>
        <w:spacing w:line="240" w:lineRule="auto"/>
      </w:pPr>
    </w:p>
    <w:p w:rsidR="004559AB" w:rsidRPr="008251BF" w:rsidRDefault="004559AB" w:rsidP="00BE3FDF">
      <w:pPr>
        <w:pStyle w:val="Heading2"/>
      </w:pPr>
      <w:r w:rsidRPr="008251BF">
        <w:t>4.5 Spatial patterns of flow, nutrients, and sediment</w:t>
      </w:r>
    </w:p>
    <w:p w:rsidR="004559AB" w:rsidRDefault="004559AB" w:rsidP="004559AB">
      <w:pPr>
        <w:spacing w:line="240" w:lineRule="auto"/>
      </w:pPr>
    </w:p>
    <w:p w:rsidR="00014AA8" w:rsidRDefault="007F28CB" w:rsidP="004559AB">
      <w:pPr>
        <w:spacing w:line="240" w:lineRule="auto"/>
      </w:pPr>
      <w:r>
        <w:tab/>
      </w:r>
      <w:r w:rsidR="000143F1">
        <w:t xml:space="preserve">The spatial patterns of flow, sediment and nutrients can be seen in Figure 7.  </w:t>
      </w:r>
      <w:r>
        <w:t xml:space="preserve">Spatial patterns for water yield are ultimately determined by topography.  Orographic effects from the </w:t>
      </w:r>
      <w:r w:rsidR="004B1F45">
        <w:t>Coast</w:t>
      </w:r>
      <w:r>
        <w:t xml:space="preserve"> </w:t>
      </w:r>
      <w:r w:rsidR="004B1F45">
        <w:t>R</w:t>
      </w:r>
      <w:r>
        <w:t>ange</w:t>
      </w:r>
      <w:r w:rsidR="004B1F45">
        <w:t xml:space="preserve"> cause higher precipitation rates at higher elevations resulting in a clear east-west gradient </w:t>
      </w:r>
      <w:r w:rsidR="00CE0510">
        <w:t xml:space="preserve">with smaller yields in the east, and larger yields in the </w:t>
      </w:r>
      <w:r w:rsidR="00455A13">
        <w:t>west</w:t>
      </w:r>
      <w:r w:rsidR="004B1F45">
        <w:t xml:space="preserve">.  </w:t>
      </w:r>
    </w:p>
    <w:p w:rsidR="00014AA8" w:rsidRDefault="004B1F45" w:rsidP="00014AA8">
      <w:pPr>
        <w:spacing w:line="240" w:lineRule="auto"/>
        <w:ind w:firstLine="720"/>
      </w:pPr>
      <w:r>
        <w:t>There are two distinct patterns in sediment yields for the basins</w:t>
      </w:r>
      <w:r w:rsidR="00CE0510">
        <w:t xml:space="preserve">.  </w:t>
      </w:r>
      <w:r w:rsidR="00455A13">
        <w:t>Yields in the T</w:t>
      </w:r>
      <w:r w:rsidR="00CB1565">
        <w:t>ualatin are all uniformly small.  This is most likely d</w:t>
      </w:r>
      <w:r w:rsidR="00C3618F">
        <w:t xml:space="preserve">ue to misallocation of sediment sources and sinks in the model.  </w:t>
      </w:r>
      <w:r w:rsidR="00A87371">
        <w:t>Evaluation of sediment yields from the modeled reservoir after calibration revealed that sediment trapping is underestimated.   Since the sediment MUSLE parameters for the Tualatin model were calibrated to the Dilley gage first, the sediment yields from the landscape had to be reduced to compensate for the artificially high levels of sediment</w:t>
      </w:r>
      <w:r w:rsidR="00014AA8">
        <w:t xml:space="preserve"> passing through the dam, resulting in artificially low yields from the landscape</w:t>
      </w:r>
      <w:r w:rsidR="00A87371">
        <w:t>.  Furthermore, t</w:t>
      </w:r>
      <w:r w:rsidR="00C3618F">
        <w:t xml:space="preserve">he Tualatin River has a check dam at RM 3.1, upstream of </w:t>
      </w:r>
      <w:r w:rsidR="00C3618F">
        <w:lastRenderedPageBreak/>
        <w:t xml:space="preserve">the West Linn gage, which is not included in the model.  </w:t>
      </w:r>
      <w:r w:rsidR="00014AA8">
        <w:t xml:space="preserve">While this dam did not affect the MUSLE parameterization at the Dilley gage, it none-the-less is an additional sediment trap that is not properly accounted for in the model.   </w:t>
      </w:r>
    </w:p>
    <w:p w:rsidR="0084662C" w:rsidRDefault="00014AA8" w:rsidP="00014AA8">
      <w:pPr>
        <w:spacing w:line="240" w:lineRule="auto"/>
        <w:ind w:firstLine="720"/>
      </w:pPr>
      <w:r>
        <w:t>In contrast, y</w:t>
      </w:r>
      <w:r w:rsidR="00455A13">
        <w:t xml:space="preserve">ields in the Yamhill </w:t>
      </w:r>
      <w:r w:rsidR="00CB1565">
        <w:t>show a more heterogeneous spatial pattern</w:t>
      </w:r>
      <w:r w:rsidR="00B067C1">
        <w:t xml:space="preserve">. </w:t>
      </w:r>
      <w:r w:rsidR="00CB1565">
        <w:t xml:space="preserve"> </w:t>
      </w:r>
      <w:r w:rsidR="00B067C1">
        <w:t xml:space="preserve"> A</w:t>
      </w:r>
      <w:r w:rsidR="00455A13">
        <w:t xml:space="preserve">reas </w:t>
      </w:r>
      <w:r w:rsidR="00CB1565">
        <w:t>with</w:t>
      </w:r>
      <w:r w:rsidR="00455A13">
        <w:t xml:space="preserve"> heavy agriculture </w:t>
      </w:r>
      <w:r w:rsidR="00CB1565">
        <w:t xml:space="preserve">have higher yields than </w:t>
      </w:r>
      <w:r>
        <w:t xml:space="preserve">forested </w:t>
      </w:r>
      <w:r w:rsidR="00455A13">
        <w:t xml:space="preserve">areas.  </w:t>
      </w:r>
      <w:r>
        <w:t xml:space="preserve">Upland areas still </w:t>
      </w:r>
      <w:r w:rsidR="00C25E77">
        <w:t>have very low sediment yields.  H</w:t>
      </w:r>
      <w:r>
        <w:t xml:space="preserve">owever we have no data available with which to estimate the yields that should be expected from these areas.  </w:t>
      </w:r>
    </w:p>
    <w:p w:rsidR="00B067C1" w:rsidRDefault="00B16B3B" w:rsidP="00014AA8">
      <w:pPr>
        <w:spacing w:line="240" w:lineRule="auto"/>
        <w:ind w:firstLine="720"/>
      </w:pPr>
      <w:r>
        <w:t xml:space="preserve">Higher </w:t>
      </w:r>
      <w:r w:rsidR="004219B0">
        <w:t xml:space="preserve">total nitrogen </w:t>
      </w:r>
      <w:r>
        <w:t xml:space="preserve">yields are seen on agricultural lands in the Tualatin basin while urban and forested lands have significantly less yield.  In the Yamhill, </w:t>
      </w:r>
      <w:r w:rsidR="004219B0">
        <w:t xml:space="preserve">the relationship to land use is less apparent.  </w:t>
      </w:r>
      <w:r w:rsidR="005F404C">
        <w:t xml:space="preserve">Agricultural sub-basins have lower nitrogen yields than some forested higher elevation sub-basins.  This is </w:t>
      </w:r>
      <w:r w:rsidR="005137B3">
        <w:t>may be</w:t>
      </w:r>
      <w:r w:rsidR="005F404C">
        <w:t xml:space="preserve"> due to </w:t>
      </w:r>
      <w:r w:rsidR="005137B3">
        <w:t xml:space="preserve">the organic nitrogen enrichment ratio parameterized lower in the Yamhill than in the Tualatin, resulting in lower levels of organic nitrogen being transported from the surface to streams along with colloidal sediment particles.  </w:t>
      </w:r>
    </w:p>
    <w:p w:rsidR="005137B3" w:rsidRDefault="005137B3" w:rsidP="00014AA8">
      <w:pPr>
        <w:spacing w:line="240" w:lineRule="auto"/>
        <w:ind w:firstLine="720"/>
      </w:pPr>
      <w:r>
        <w:t>Soluble phosphorus particles are transported with sediment particles along with surface runoff, and this pattern can be seen in the results for Yamhill where sub-basins with high sediment yields also have high phosphorus yields.  Whether this pattern holds for Tualatin is di</w:t>
      </w:r>
      <w:r w:rsidR="00082C49">
        <w:t xml:space="preserve">fficult to determine with the indistinguishably small sediment yields.  However, the higher levels of phosphorus originating from the agriculture dominated sub-basins means that the spatial patterns make intuitive sense.  </w:t>
      </w:r>
    </w:p>
    <w:p w:rsidR="00C25E77" w:rsidRDefault="00FB0C95" w:rsidP="00014AA8">
      <w:pPr>
        <w:spacing w:line="240" w:lineRule="auto"/>
        <w:ind w:firstLine="720"/>
      </w:pPr>
      <w:r>
        <w:rPr>
          <w:noProof/>
        </w:rPr>
        <w:lastRenderedPageBreak/>
        <w:drawing>
          <wp:inline distT="0" distB="0" distL="0" distR="0">
            <wp:extent cx="5486400" cy="5486400"/>
            <wp:effectExtent l="0" t="0" r="0" b="0"/>
            <wp:docPr id="3" name="Picture 3" descr="I:\Research\Samba\H2Oeco\MikeP\RESULTS\SCENARIO_RESULTS\Historic\Historic_Test_SW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esearch\Samba\H2Oeco\MikeP\RESULTS\SCENARIO_RESULTS\Historic\Historic_Test_SWA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rsidR="004559AB" w:rsidRDefault="004559AB" w:rsidP="002E61BF">
      <w:pPr>
        <w:spacing w:line="240" w:lineRule="auto"/>
        <w:jc w:val="center"/>
        <w:rPr>
          <w:noProof/>
        </w:rPr>
      </w:pPr>
      <w:bookmarkStart w:id="1" w:name="_GoBack"/>
      <w:bookmarkEnd w:id="1"/>
    </w:p>
    <w:p w:rsidR="002E61BF" w:rsidRDefault="000143F1" w:rsidP="000143F1">
      <w:pPr>
        <w:spacing w:line="240" w:lineRule="auto"/>
        <w:jc w:val="center"/>
      </w:pPr>
      <w:r w:rsidRPr="000143F1">
        <w:rPr>
          <w:b/>
        </w:rPr>
        <w:t xml:space="preserve">Figure </w:t>
      </w:r>
      <w:r w:rsidR="00EE2C5B">
        <w:rPr>
          <w:b/>
        </w:rPr>
        <w:t>9</w:t>
      </w:r>
      <w:r w:rsidRPr="000143F1">
        <w:rPr>
          <w:b/>
        </w:rPr>
        <w:t>:</w:t>
      </w:r>
      <w:r>
        <w:t xml:space="preserve">  Spatial patterns of flow, sediment, total nitrogen, and total phosphorus.</w:t>
      </w:r>
    </w:p>
    <w:p w:rsidR="00EF0015" w:rsidRDefault="00EF0015" w:rsidP="002E61BF">
      <w:pPr>
        <w:spacing w:line="240" w:lineRule="auto"/>
      </w:pPr>
      <w:r>
        <w:tab/>
      </w:r>
    </w:p>
    <w:p w:rsidR="002E61BF" w:rsidRDefault="002E61BF" w:rsidP="002E61BF">
      <w:pPr>
        <w:spacing w:line="240" w:lineRule="auto"/>
      </w:pPr>
    </w:p>
    <w:p w:rsidR="002E61BF" w:rsidRDefault="002E61BF" w:rsidP="004559AB">
      <w:pPr>
        <w:spacing w:line="240" w:lineRule="auto"/>
      </w:pPr>
    </w:p>
    <w:p w:rsidR="004559AB" w:rsidRDefault="004559AB" w:rsidP="00BE3FDF">
      <w:pPr>
        <w:pStyle w:val="Heading1"/>
      </w:pPr>
      <w:r>
        <w:t>5 Discussion</w:t>
      </w:r>
    </w:p>
    <w:p w:rsidR="000C0D7D" w:rsidRDefault="000C0D7D" w:rsidP="004559AB">
      <w:pPr>
        <w:spacing w:line="240" w:lineRule="auto"/>
        <w:rPr>
          <w:b/>
        </w:rPr>
      </w:pPr>
    </w:p>
    <w:p w:rsidR="008251BF" w:rsidRDefault="008251BF" w:rsidP="00BE3FDF">
      <w:pPr>
        <w:pStyle w:val="Heading2"/>
      </w:pPr>
      <w:r w:rsidRPr="008251BF">
        <w:t xml:space="preserve">5.1 </w:t>
      </w:r>
      <w:r w:rsidR="005205E7">
        <w:t>Sources</w:t>
      </w:r>
      <w:r>
        <w:t xml:space="preserve"> </w:t>
      </w:r>
      <w:r w:rsidR="005205E7">
        <w:t xml:space="preserve">of </w:t>
      </w:r>
      <w:r>
        <w:t>Uncertainty</w:t>
      </w:r>
    </w:p>
    <w:p w:rsidR="005205E7" w:rsidRDefault="005205E7" w:rsidP="004559AB">
      <w:pPr>
        <w:spacing w:line="240" w:lineRule="auto"/>
      </w:pPr>
    </w:p>
    <w:p w:rsidR="005205E7" w:rsidRDefault="005205E7" w:rsidP="00BE3FDF">
      <w:pPr>
        <w:pStyle w:val="Heading3"/>
      </w:pPr>
      <w:r>
        <w:t>5.1.1 LOADEST</w:t>
      </w:r>
    </w:p>
    <w:p w:rsidR="00656EED" w:rsidRDefault="00656EED" w:rsidP="004559AB">
      <w:pPr>
        <w:spacing w:line="240" w:lineRule="auto"/>
      </w:pPr>
    </w:p>
    <w:p w:rsidR="00656EED" w:rsidRDefault="008251BF" w:rsidP="00656EED">
      <w:pPr>
        <w:spacing w:line="240" w:lineRule="auto"/>
      </w:pPr>
      <w:r>
        <w:tab/>
      </w:r>
      <w:r w:rsidR="009A4D6D">
        <w:t xml:space="preserve">These models are “roughly” calibrated and have a variety of sources of uncertainty which should be mentioned.   First, while LOADEST </w:t>
      </w:r>
      <w:r w:rsidR="00D826A3">
        <w:t>is commonly used in</w:t>
      </w:r>
      <w:r w:rsidR="002B019B">
        <w:t xml:space="preserve"> SWAT studies</w:t>
      </w:r>
      <w:r w:rsidR="009A4D6D">
        <w:t xml:space="preserve"> (</w:t>
      </w:r>
      <w:proofErr w:type="spellStart"/>
      <w:r w:rsidR="009A4D6D">
        <w:t>Almendinger</w:t>
      </w:r>
      <w:proofErr w:type="spellEnd"/>
      <w:r w:rsidR="009A4D6D">
        <w:t xml:space="preserve"> &amp; Murphy 2007</w:t>
      </w:r>
      <w:r w:rsidR="00ED6ABB">
        <w:t xml:space="preserve">, </w:t>
      </w:r>
      <w:proofErr w:type="spellStart"/>
      <w:r w:rsidR="00ED6ABB">
        <w:t>Kannan</w:t>
      </w:r>
      <w:proofErr w:type="spellEnd"/>
      <w:r w:rsidR="00ED6ABB">
        <w:t xml:space="preserve"> 2012</w:t>
      </w:r>
      <w:r w:rsidR="009A4D6D">
        <w:t>)</w:t>
      </w:r>
      <w:proofErr w:type="gramStart"/>
      <w:r w:rsidR="002B019B">
        <w:t>,</w:t>
      </w:r>
      <w:proofErr w:type="gramEnd"/>
      <w:r w:rsidR="002B019B">
        <w:t xml:space="preserve"> there are uncertainties in </w:t>
      </w:r>
      <w:r w:rsidR="00656EED">
        <w:t>any</w:t>
      </w:r>
      <w:r w:rsidR="008F71A9">
        <w:t xml:space="preserve"> load estimate</w:t>
      </w:r>
      <w:r w:rsidR="0034392A">
        <w:t>s</w:t>
      </w:r>
      <w:r w:rsidR="002B019B">
        <w:t xml:space="preserve">.  Flow values are used to calculate loads from concentration estimates made from grab samples.  Thus, while correlations between concentration and flow are generally small, high correlations between flow and loads exist due to the </w:t>
      </w:r>
      <w:r w:rsidR="002B019B">
        <w:lastRenderedPageBreak/>
        <w:t xml:space="preserve">fact that flow is used to compute both the independent and dependent variables.  Shivers and </w:t>
      </w:r>
      <w:proofErr w:type="spellStart"/>
      <w:r w:rsidR="002B019B">
        <w:t>Moglen</w:t>
      </w:r>
      <w:proofErr w:type="spellEnd"/>
      <w:r w:rsidR="002B019B">
        <w:t xml:space="preserve"> (2008) refer to th</w:t>
      </w:r>
      <w:r w:rsidR="009A4D6D">
        <w:t>is as spurious correlation</w:t>
      </w:r>
      <w:r w:rsidR="002B019B">
        <w:t xml:space="preserve">.  </w:t>
      </w:r>
      <w:r w:rsidR="0034392A">
        <w:t xml:space="preserve">LOADEST does provide </w:t>
      </w:r>
      <w:r w:rsidR="0028694F">
        <w:t xml:space="preserve">95% confidence intervals </w:t>
      </w:r>
      <w:r w:rsidR="00D826A3">
        <w:t xml:space="preserve">for </w:t>
      </w:r>
      <w:r w:rsidR="0034392A">
        <w:t xml:space="preserve">all outputs, but these are for the calibrated dataset, not the estimation dataset.  This may not be a problem in situations where there is no extrapolation outside the range of flow values in the calibration dataset.  This is not the case for our study, </w:t>
      </w:r>
      <w:r w:rsidR="007E1D48">
        <w:t xml:space="preserve">however, </w:t>
      </w:r>
      <w:r w:rsidR="0034392A">
        <w:t>and is an acknowledged limitation</w:t>
      </w:r>
      <w:r w:rsidR="007E1D48">
        <w:t xml:space="preserve"> (Table 6)</w:t>
      </w:r>
      <w:r w:rsidR="0034392A">
        <w:t xml:space="preserve">.  </w:t>
      </w:r>
      <w:r w:rsidR="007E1D48">
        <w:t>D</w:t>
      </w:r>
      <w:r w:rsidR="007D622C">
        <w:t xml:space="preserve">ays which </w:t>
      </w:r>
      <w:r w:rsidR="006809A7">
        <w:t>did not have all constituents comprising TN or TP were excluded from LOADEST models.  Since SWAT algorithms model each constituent separately, developing load estimates of nitrate/nitrite, organic nitrogen, ammonia, soluble, and insolu</w:t>
      </w:r>
      <w:r w:rsidR="007E1D48">
        <w:t>ble phosphorus separately may facilitate</w:t>
      </w:r>
      <w:r w:rsidR="006809A7">
        <w:t xml:space="preserve"> a more precise calibration of SWAT nutrients.  This </w:t>
      </w:r>
      <w:r w:rsidR="007E1D48">
        <w:t>may</w:t>
      </w:r>
      <w:r w:rsidR="006809A7">
        <w:t xml:space="preserve"> also enable comparison with Ammonia </w:t>
      </w:r>
      <w:r w:rsidR="007E1D48">
        <w:t>and Phosphorus TMDLs</w:t>
      </w:r>
      <w:r w:rsidR="006809A7">
        <w:t xml:space="preserve">.  </w:t>
      </w:r>
    </w:p>
    <w:p w:rsidR="007E1D48" w:rsidRDefault="007E1D48" w:rsidP="00656EED">
      <w:pPr>
        <w:spacing w:line="240" w:lineRule="auto"/>
      </w:pPr>
    </w:p>
    <w:tbl>
      <w:tblPr>
        <w:tblW w:w="6800" w:type="dxa"/>
        <w:jc w:val="center"/>
        <w:tblInd w:w="93" w:type="dxa"/>
        <w:tblLook w:val="04A0" w:firstRow="1" w:lastRow="0" w:firstColumn="1" w:lastColumn="0" w:noHBand="0" w:noVBand="1"/>
      </w:tblPr>
      <w:tblGrid>
        <w:gridCol w:w="1600"/>
        <w:gridCol w:w="1856"/>
        <w:gridCol w:w="2118"/>
        <w:gridCol w:w="1226"/>
      </w:tblGrid>
      <w:tr w:rsidR="007E1D48" w:rsidRPr="007E1D48" w:rsidTr="007E1D48">
        <w:trPr>
          <w:trHeight w:val="645"/>
          <w:jc w:val="center"/>
        </w:trPr>
        <w:tc>
          <w:tcPr>
            <w:tcW w:w="6800" w:type="dxa"/>
            <w:gridSpan w:val="4"/>
            <w:tcBorders>
              <w:top w:val="nil"/>
              <w:left w:val="nil"/>
              <w:bottom w:val="single" w:sz="4" w:space="0" w:color="auto"/>
              <w:right w:val="nil"/>
            </w:tcBorders>
            <w:shd w:val="clear" w:color="auto" w:fill="auto"/>
            <w:vAlign w:val="bottom"/>
            <w:hideMark/>
          </w:tcPr>
          <w:p w:rsidR="007E1D48" w:rsidRPr="007E1D48" w:rsidRDefault="007E1D48" w:rsidP="007E1D48">
            <w:pPr>
              <w:spacing w:line="240" w:lineRule="auto"/>
              <w:rPr>
                <w:rFonts w:ascii="Calibri" w:eastAsia="Times New Roman" w:hAnsi="Calibri" w:cs="Times New Roman"/>
                <w:b/>
                <w:bCs/>
                <w:color w:val="000000"/>
              </w:rPr>
            </w:pPr>
            <w:r w:rsidRPr="007E1D48">
              <w:rPr>
                <w:rFonts w:ascii="Calibri" w:eastAsia="Times New Roman" w:hAnsi="Calibri" w:cs="Times New Roman"/>
                <w:b/>
                <w:bCs/>
                <w:color w:val="000000"/>
              </w:rPr>
              <w:t xml:space="preserve">Table 6:  </w:t>
            </w:r>
            <w:r>
              <w:rPr>
                <w:rFonts w:ascii="Calibri" w:eastAsia="Times New Roman" w:hAnsi="Calibri" w:cs="Times New Roman"/>
                <w:color w:val="000000"/>
              </w:rPr>
              <w:t>Percent difference</w:t>
            </w:r>
            <w:r w:rsidRPr="007E1D48">
              <w:rPr>
                <w:rFonts w:ascii="Calibri" w:eastAsia="Times New Roman" w:hAnsi="Calibri" w:cs="Times New Roman"/>
                <w:color w:val="000000"/>
              </w:rPr>
              <w:t xml:space="preserve"> between maximum flow in the calibration period (CP) and estimation period (EP).</w:t>
            </w:r>
          </w:p>
        </w:tc>
      </w:tr>
      <w:tr w:rsidR="007E1D48" w:rsidRPr="007E1D48" w:rsidTr="007E1D48">
        <w:trPr>
          <w:trHeight w:val="615"/>
          <w:jc w:val="center"/>
        </w:trPr>
        <w:tc>
          <w:tcPr>
            <w:tcW w:w="1600" w:type="dxa"/>
            <w:tcBorders>
              <w:top w:val="nil"/>
              <w:left w:val="nil"/>
              <w:bottom w:val="single" w:sz="12" w:space="0" w:color="auto"/>
              <w:right w:val="nil"/>
            </w:tcBorders>
            <w:shd w:val="clear" w:color="auto" w:fill="auto"/>
            <w:noWrap/>
            <w:vAlign w:val="center"/>
            <w:hideMark/>
          </w:tcPr>
          <w:p w:rsidR="007E1D48" w:rsidRPr="007E1D48" w:rsidRDefault="007E1D48" w:rsidP="007E1D48">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Gage</w:t>
            </w:r>
          </w:p>
        </w:tc>
        <w:tc>
          <w:tcPr>
            <w:tcW w:w="1856" w:type="dxa"/>
            <w:tcBorders>
              <w:top w:val="nil"/>
              <w:left w:val="nil"/>
              <w:bottom w:val="single" w:sz="12" w:space="0" w:color="auto"/>
              <w:right w:val="nil"/>
            </w:tcBorders>
            <w:shd w:val="clear" w:color="auto" w:fill="auto"/>
            <w:vAlign w:val="center"/>
            <w:hideMark/>
          </w:tcPr>
          <w:p w:rsidR="007E1D48" w:rsidRPr="007E1D48" w:rsidRDefault="007E1D48" w:rsidP="007E1D48">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EP</w:t>
            </w:r>
          </w:p>
        </w:tc>
        <w:tc>
          <w:tcPr>
            <w:tcW w:w="2118" w:type="dxa"/>
            <w:tcBorders>
              <w:top w:val="nil"/>
              <w:left w:val="nil"/>
              <w:bottom w:val="single" w:sz="12" w:space="0" w:color="auto"/>
              <w:right w:val="nil"/>
            </w:tcBorders>
            <w:shd w:val="clear" w:color="auto" w:fill="auto"/>
            <w:vAlign w:val="center"/>
            <w:hideMark/>
          </w:tcPr>
          <w:p w:rsidR="007E1D48" w:rsidRPr="007E1D48" w:rsidRDefault="007E1D48" w:rsidP="007E1D48">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Maximum Flow (</w:t>
            </w:r>
            <w:proofErr w:type="spellStart"/>
            <w:r w:rsidRPr="007E1D48">
              <w:rPr>
                <w:rFonts w:ascii="Calibri" w:eastAsia="Times New Roman" w:hAnsi="Calibri" w:cs="Times New Roman"/>
                <w:b/>
                <w:bCs/>
                <w:i/>
                <w:iCs/>
                <w:color w:val="000000"/>
              </w:rPr>
              <w:t>cfs</w:t>
            </w:r>
            <w:proofErr w:type="spellEnd"/>
            <w:r w:rsidRPr="007E1D48">
              <w:rPr>
                <w:rFonts w:ascii="Calibri" w:eastAsia="Times New Roman" w:hAnsi="Calibri" w:cs="Times New Roman"/>
                <w:b/>
                <w:bCs/>
                <w:i/>
                <w:iCs/>
                <w:color w:val="000000"/>
              </w:rPr>
              <w:t>) CP</w:t>
            </w:r>
          </w:p>
        </w:tc>
        <w:tc>
          <w:tcPr>
            <w:tcW w:w="1226" w:type="dxa"/>
            <w:tcBorders>
              <w:top w:val="nil"/>
              <w:left w:val="nil"/>
              <w:bottom w:val="single" w:sz="12" w:space="0" w:color="auto"/>
              <w:right w:val="nil"/>
            </w:tcBorders>
            <w:shd w:val="clear" w:color="auto" w:fill="auto"/>
            <w:noWrap/>
            <w:vAlign w:val="center"/>
            <w:hideMark/>
          </w:tcPr>
          <w:p w:rsidR="007E1D48" w:rsidRPr="007E1D48" w:rsidRDefault="007E1D48" w:rsidP="007E1D48">
            <w:pPr>
              <w:spacing w:line="240" w:lineRule="auto"/>
              <w:jc w:val="center"/>
              <w:rPr>
                <w:rFonts w:ascii="Calibri" w:eastAsia="Times New Roman" w:hAnsi="Calibri" w:cs="Times New Roman"/>
                <w:b/>
                <w:bCs/>
                <w:i/>
                <w:iCs/>
                <w:color w:val="000000"/>
              </w:rPr>
            </w:pPr>
            <w:r w:rsidRPr="007E1D48">
              <w:rPr>
                <w:rFonts w:ascii="Calibri" w:eastAsia="Times New Roman" w:hAnsi="Calibri" w:cs="Times New Roman"/>
                <w:b/>
                <w:bCs/>
                <w:i/>
                <w:iCs/>
                <w:color w:val="000000"/>
              </w:rPr>
              <w:t>Difference</w:t>
            </w:r>
            <w:r>
              <w:rPr>
                <w:rFonts w:ascii="Calibri" w:eastAsia="Times New Roman" w:hAnsi="Calibri" w:cs="Times New Roman"/>
                <w:b/>
                <w:bCs/>
                <w:i/>
                <w:iCs/>
                <w:color w:val="000000"/>
              </w:rPr>
              <w:t xml:space="preserve"> (%)</w:t>
            </w:r>
          </w:p>
        </w:tc>
      </w:tr>
      <w:tr w:rsidR="007E1D48" w:rsidRPr="007E1D48" w:rsidTr="007E1D48">
        <w:trPr>
          <w:trHeight w:val="315"/>
          <w:jc w:val="center"/>
        </w:trPr>
        <w:tc>
          <w:tcPr>
            <w:tcW w:w="1600"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Dilley</w:t>
            </w:r>
          </w:p>
        </w:tc>
        <w:tc>
          <w:tcPr>
            <w:tcW w:w="1856"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8620</w:t>
            </w:r>
          </w:p>
        </w:tc>
        <w:tc>
          <w:tcPr>
            <w:tcW w:w="2118"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3350</w:t>
            </w:r>
          </w:p>
        </w:tc>
        <w:tc>
          <w:tcPr>
            <w:tcW w:w="1226"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157.3</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(TSS)</w:t>
            </w:r>
          </w:p>
        </w:tc>
        <w:tc>
          <w:tcPr>
            <w:tcW w:w="1856"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779</w:t>
            </w:r>
          </w:p>
        </w:tc>
        <w:tc>
          <w:tcPr>
            <w:tcW w:w="1226"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81.0</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b/>
                <w:bCs/>
                <w:color w:val="000000"/>
              </w:rPr>
            </w:pPr>
            <w:proofErr w:type="spellStart"/>
            <w:r w:rsidRPr="007E1D48">
              <w:rPr>
                <w:rFonts w:ascii="Calibri" w:eastAsia="Times New Roman" w:hAnsi="Calibri" w:cs="Times New Roman"/>
                <w:b/>
                <w:bCs/>
                <w:color w:val="000000"/>
              </w:rPr>
              <w:t>Fanno</w:t>
            </w:r>
            <w:proofErr w:type="spellEnd"/>
            <w:r w:rsidRPr="007E1D48">
              <w:rPr>
                <w:rFonts w:ascii="Calibri" w:eastAsia="Times New Roman" w:hAnsi="Calibri" w:cs="Times New Roman"/>
                <w:b/>
                <w:bCs/>
                <w:color w:val="000000"/>
              </w:rPr>
              <w:t xml:space="preserve"> (TN, TP)</w:t>
            </w:r>
          </w:p>
        </w:tc>
        <w:tc>
          <w:tcPr>
            <w:tcW w:w="1856"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1410</w:t>
            </w:r>
          </w:p>
        </w:tc>
        <w:tc>
          <w:tcPr>
            <w:tcW w:w="2118"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840</w:t>
            </w:r>
          </w:p>
        </w:tc>
        <w:tc>
          <w:tcPr>
            <w:tcW w:w="1226"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67.9</w:t>
            </w:r>
          </w:p>
        </w:tc>
      </w:tr>
      <w:tr w:rsidR="007E1D48" w:rsidRPr="007E1D48" w:rsidTr="007E1D48">
        <w:trPr>
          <w:trHeight w:val="300"/>
          <w:jc w:val="center"/>
        </w:trPr>
        <w:tc>
          <w:tcPr>
            <w:tcW w:w="1600"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West Linn</w:t>
            </w:r>
          </w:p>
        </w:tc>
        <w:tc>
          <w:tcPr>
            <w:tcW w:w="1856"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25900</w:t>
            </w:r>
          </w:p>
        </w:tc>
        <w:tc>
          <w:tcPr>
            <w:tcW w:w="2118"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15500</w:t>
            </w:r>
          </w:p>
        </w:tc>
        <w:tc>
          <w:tcPr>
            <w:tcW w:w="1226" w:type="dxa"/>
            <w:tcBorders>
              <w:top w:val="nil"/>
              <w:left w:val="nil"/>
              <w:bottom w:val="nil"/>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67.1</w:t>
            </w:r>
          </w:p>
        </w:tc>
      </w:tr>
      <w:tr w:rsidR="007E1D48" w:rsidRPr="007E1D48" w:rsidTr="007E1D48">
        <w:trPr>
          <w:trHeight w:val="300"/>
          <w:jc w:val="center"/>
        </w:trPr>
        <w:tc>
          <w:tcPr>
            <w:tcW w:w="1600" w:type="dxa"/>
            <w:tcBorders>
              <w:top w:val="nil"/>
              <w:left w:val="nil"/>
              <w:bottom w:val="single" w:sz="4" w:space="0" w:color="auto"/>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b/>
                <w:bCs/>
                <w:color w:val="000000"/>
              </w:rPr>
            </w:pPr>
            <w:r w:rsidRPr="007E1D48">
              <w:rPr>
                <w:rFonts w:ascii="Calibri" w:eastAsia="Times New Roman" w:hAnsi="Calibri" w:cs="Times New Roman"/>
                <w:b/>
                <w:bCs/>
                <w:color w:val="000000"/>
              </w:rPr>
              <w:t>Yamhill DEQ</w:t>
            </w:r>
          </w:p>
        </w:tc>
        <w:tc>
          <w:tcPr>
            <w:tcW w:w="1856" w:type="dxa"/>
            <w:tcBorders>
              <w:top w:val="nil"/>
              <w:left w:val="nil"/>
              <w:bottom w:val="single" w:sz="4" w:space="0" w:color="auto"/>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56420</w:t>
            </w:r>
          </w:p>
        </w:tc>
        <w:tc>
          <w:tcPr>
            <w:tcW w:w="2118" w:type="dxa"/>
            <w:tcBorders>
              <w:top w:val="nil"/>
              <w:left w:val="nil"/>
              <w:bottom w:val="single" w:sz="4" w:space="0" w:color="auto"/>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17080</w:t>
            </w:r>
          </w:p>
        </w:tc>
        <w:tc>
          <w:tcPr>
            <w:tcW w:w="1226" w:type="dxa"/>
            <w:tcBorders>
              <w:top w:val="nil"/>
              <w:left w:val="nil"/>
              <w:bottom w:val="single" w:sz="4" w:space="0" w:color="auto"/>
              <w:right w:val="nil"/>
            </w:tcBorders>
            <w:shd w:val="clear" w:color="auto" w:fill="auto"/>
            <w:noWrap/>
            <w:vAlign w:val="bottom"/>
            <w:hideMark/>
          </w:tcPr>
          <w:p w:rsidR="007E1D48" w:rsidRPr="007E1D48" w:rsidRDefault="007E1D48" w:rsidP="007E1D48">
            <w:pPr>
              <w:spacing w:line="240" w:lineRule="auto"/>
              <w:jc w:val="center"/>
              <w:rPr>
                <w:rFonts w:ascii="Calibri" w:eastAsia="Times New Roman" w:hAnsi="Calibri" w:cs="Times New Roman"/>
                <w:color w:val="000000"/>
              </w:rPr>
            </w:pPr>
            <w:r w:rsidRPr="007E1D48">
              <w:rPr>
                <w:rFonts w:ascii="Calibri" w:eastAsia="Times New Roman" w:hAnsi="Calibri" w:cs="Times New Roman"/>
                <w:color w:val="000000"/>
              </w:rPr>
              <w:t>230.3</w:t>
            </w:r>
          </w:p>
        </w:tc>
      </w:tr>
    </w:tbl>
    <w:p w:rsidR="007E1D48" w:rsidRDefault="007E1D48" w:rsidP="00656EED">
      <w:pPr>
        <w:spacing w:line="240" w:lineRule="auto"/>
      </w:pPr>
    </w:p>
    <w:p w:rsidR="007E1D48" w:rsidRDefault="007E1D48" w:rsidP="00656EED">
      <w:pPr>
        <w:spacing w:line="240" w:lineRule="auto"/>
      </w:pPr>
    </w:p>
    <w:p w:rsidR="005205E7" w:rsidRDefault="005205E7" w:rsidP="00BE3FDF">
      <w:pPr>
        <w:pStyle w:val="Heading3"/>
      </w:pPr>
      <w:proofErr w:type="gramStart"/>
      <w:r>
        <w:t>5.1.2  Parameter</w:t>
      </w:r>
      <w:proofErr w:type="gramEnd"/>
      <w:r>
        <w:t xml:space="preserve"> Uncertainty</w:t>
      </w:r>
    </w:p>
    <w:p w:rsidR="005205E7" w:rsidRDefault="005205E7" w:rsidP="00656EED">
      <w:pPr>
        <w:spacing w:line="240" w:lineRule="auto"/>
      </w:pPr>
    </w:p>
    <w:p w:rsidR="000C0D7D" w:rsidRPr="00656EED" w:rsidRDefault="007E1D48" w:rsidP="00656EED">
      <w:pPr>
        <w:spacing w:line="240" w:lineRule="auto"/>
        <w:ind w:firstLine="720"/>
      </w:pPr>
      <w:r>
        <w:t xml:space="preserve">Another area of uncertainty lies in the measurement and estimation of model parameters.  Because it is often times difficult or impossible to </w:t>
      </w:r>
      <w:r w:rsidR="005205E7">
        <w:t>measure these parameters</w:t>
      </w:r>
      <w:r w:rsidR="00B11105">
        <w:t xml:space="preserve"> it is becoming generally accepted as unrealistic to ascribe one value to all parameters</w:t>
      </w:r>
      <w:r w:rsidR="005205E7">
        <w:t xml:space="preserve"> in a watershed model</w:t>
      </w:r>
      <w:r w:rsidR="00B11105">
        <w:t>.  Rather, information on the study site should be collected so that informed estimates of sensitive parameters can be made</w:t>
      </w:r>
      <w:r w:rsidR="005205E7">
        <w:t>.</w:t>
      </w:r>
      <w:r w:rsidR="00B11105">
        <w:t xml:space="preserve">  Once realistic parameter ranges have been chosen, parameter uncertainty can be assessed through a Monte Carlo style approach (</w:t>
      </w:r>
      <w:proofErr w:type="spellStart"/>
      <w:r w:rsidR="00B11105">
        <w:t>Abbaspour</w:t>
      </w:r>
      <w:proofErr w:type="spellEnd"/>
      <w:r w:rsidR="00B11105">
        <w:t xml:space="preserve"> et al 2007; </w:t>
      </w:r>
      <w:proofErr w:type="spellStart"/>
      <w:r w:rsidR="00B11105">
        <w:t>Almendinger</w:t>
      </w:r>
      <w:proofErr w:type="spellEnd"/>
      <w:r w:rsidR="00B11105">
        <w:t xml:space="preserve"> and </w:t>
      </w:r>
      <w:proofErr w:type="spellStart"/>
      <w:r w:rsidR="00B11105">
        <w:t>Murphey</w:t>
      </w:r>
      <w:proofErr w:type="spellEnd"/>
      <w:r w:rsidR="00B11105">
        <w:t xml:space="preserve"> 2007)</w:t>
      </w:r>
      <w:r w:rsidR="005205E7">
        <w:t xml:space="preserve"> using the SWAT-CUP software</w:t>
      </w:r>
      <w:r w:rsidR="00B11105">
        <w:t xml:space="preserve">.  </w:t>
      </w:r>
      <w:r w:rsidR="007E53F0">
        <w:t xml:space="preserve">While this type of uncertainty analysis was beyond the scope of this study, future work should consider including this analysis when presenting calibration results.  </w:t>
      </w:r>
    </w:p>
    <w:p w:rsidR="00D826A3" w:rsidRDefault="00D826A3" w:rsidP="004559AB">
      <w:pPr>
        <w:spacing w:line="240" w:lineRule="auto"/>
      </w:pPr>
    </w:p>
    <w:p w:rsidR="00D826A3" w:rsidRDefault="005205E7" w:rsidP="00BE3FDF">
      <w:pPr>
        <w:pStyle w:val="Heading3"/>
      </w:pPr>
      <w:r>
        <w:t>5.1.3</w:t>
      </w:r>
      <w:r w:rsidR="00D826A3">
        <w:t xml:space="preserve"> Waste-water Treatment Plants</w:t>
      </w:r>
    </w:p>
    <w:p w:rsidR="00D826A3" w:rsidRDefault="00D826A3" w:rsidP="00D826A3">
      <w:pPr>
        <w:spacing w:line="240" w:lineRule="auto"/>
      </w:pPr>
    </w:p>
    <w:p w:rsidR="00D826A3" w:rsidRDefault="00D826A3" w:rsidP="00D826A3">
      <w:pPr>
        <w:spacing w:line="240" w:lineRule="auto"/>
        <w:ind w:firstLine="720"/>
      </w:pPr>
      <w:r>
        <w:t>The presence of WWTPs along the Tualatin River poses a challenge to accurate modeling.  While the flow from the WWTPs was included in the model, deriving daily or monthly estimates of nutrient effluent proved difficult due to lack of historic data</w:t>
      </w:r>
      <w:r w:rsidR="007D622C">
        <w:t xml:space="preserve"> and </w:t>
      </w:r>
      <w:r>
        <w:t xml:space="preserve">implementation of TMDLs in the mid 1990’s </w:t>
      </w:r>
      <w:r w:rsidR="007D622C">
        <w:t xml:space="preserve">which </w:t>
      </w:r>
      <w:r w:rsidR="00D129B9">
        <w:t xml:space="preserve">helped reduce nutrient loads </w:t>
      </w:r>
      <w:r w:rsidRPr="00815FF2">
        <w:t>(Figure 4)</w:t>
      </w:r>
      <w:r w:rsidR="005205E7">
        <w:t>, but</w:t>
      </w:r>
      <w:r w:rsidR="007D622C">
        <w:t xml:space="preserve"> creat</w:t>
      </w:r>
      <w:r w:rsidR="005205E7">
        <w:t>ed</w:t>
      </w:r>
      <w:r w:rsidR="007D622C">
        <w:t xml:space="preserve"> </w:t>
      </w:r>
      <w:r w:rsidR="00D129B9">
        <w:t xml:space="preserve">distinct changes in temporal loading patterns.   Since these loads are not included in the model, nutrients off the landscape are inherently over-estimated.  </w:t>
      </w:r>
    </w:p>
    <w:p w:rsidR="00D826A3" w:rsidRDefault="00D826A3" w:rsidP="00D826A3">
      <w:pPr>
        <w:spacing w:line="240" w:lineRule="auto"/>
      </w:pPr>
    </w:p>
    <w:p w:rsidR="00D826A3" w:rsidRDefault="00D826A3" w:rsidP="00D826A3">
      <w:pPr>
        <w:spacing w:line="240" w:lineRule="auto"/>
        <w:jc w:val="center"/>
      </w:pPr>
      <w:r>
        <w:rPr>
          <w:noProof/>
        </w:rPr>
        <w:lastRenderedPageBreak/>
        <w:drawing>
          <wp:inline distT="0" distB="0" distL="0" distR="0" wp14:anchorId="292E6622" wp14:editId="7410E2F8">
            <wp:extent cx="5943600" cy="2990850"/>
            <wp:effectExtent l="0" t="0" r="0" b="0"/>
            <wp:docPr id="10" name="Picture 10" descr="I:\Research\Samba\H2Oeco\MikeP\DATA\WQ_DATA\TREATMENT_PLANTS\WWTP_Analysis\TN_Dur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TN_Dur_Boxplot.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D826A3" w:rsidRDefault="00D826A3" w:rsidP="00D826A3">
      <w:pPr>
        <w:spacing w:line="240" w:lineRule="auto"/>
        <w:jc w:val="center"/>
      </w:pPr>
      <w:r>
        <w:rPr>
          <w:noProof/>
        </w:rPr>
        <w:drawing>
          <wp:inline distT="0" distB="0" distL="0" distR="0" wp14:anchorId="46E032EA" wp14:editId="220E075D">
            <wp:extent cx="5947410" cy="2941955"/>
            <wp:effectExtent l="0" t="0" r="0" b="0"/>
            <wp:docPr id="15" name="Picture 15" descr="I:\Research\Samba\H2Oeco\MikeP\DATA\WQ_DATA\TREATMENT_PLANTS\WWTP_Analysis\ggplot_TN_Effluen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esearch\Samba\H2Oeco\MikeP\DATA\WQ_DATA\TREATMENT_PLANTS\WWTP_Analysis\ggplot_TN_Effluent.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7410" cy="2941955"/>
                    </a:xfrm>
                    <a:prstGeom prst="rect">
                      <a:avLst/>
                    </a:prstGeom>
                    <a:noFill/>
                    <a:ln>
                      <a:noFill/>
                    </a:ln>
                  </pic:spPr>
                </pic:pic>
              </a:graphicData>
            </a:graphic>
          </wp:inline>
        </w:drawing>
      </w:r>
      <w:r>
        <w:rPr>
          <w:noProof/>
        </w:rPr>
        <mc:AlternateContent>
          <mc:Choice Requires="wps">
            <w:drawing>
              <wp:anchor distT="0" distB="0" distL="114300" distR="114300" simplePos="0" relativeHeight="251659264" behindDoc="0" locked="0" layoutInCell="1" allowOverlap="1" wp14:anchorId="0F3D31C9" wp14:editId="39ABABEF">
                <wp:simplePos x="0" y="0"/>
                <wp:positionH relativeFrom="column">
                  <wp:posOffset>914400</wp:posOffset>
                </wp:positionH>
                <wp:positionV relativeFrom="paragraph">
                  <wp:posOffset>1162050</wp:posOffset>
                </wp:positionV>
                <wp:extent cx="942975" cy="1403985"/>
                <wp:effectExtent l="0" t="0" r="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3985"/>
                        </a:xfrm>
                        <a:prstGeom prst="rect">
                          <a:avLst/>
                        </a:prstGeom>
                        <a:noFill/>
                        <a:ln w="9525">
                          <a:noFill/>
                          <a:miter lim="800000"/>
                          <a:headEnd/>
                          <a:tailEnd/>
                        </a:ln>
                      </wps:spPr>
                      <wps:txbx>
                        <w:txbxContent>
                          <w:p w:rsidR="00EA5A7E" w:rsidRDefault="00EA5A7E" w:rsidP="00D826A3">
                            <w:pPr>
                              <w:jc w:val="center"/>
                              <w:rPr>
                                <w:b/>
                              </w:rPr>
                            </w:pPr>
                            <w:r w:rsidRPr="00815FF2">
                              <w:rPr>
                                <w:b/>
                              </w:rPr>
                              <w:t>NO DATA</w:t>
                            </w:r>
                          </w:p>
                          <w:p w:rsidR="00EA5A7E" w:rsidRPr="00815FF2" w:rsidRDefault="00EA5A7E" w:rsidP="00D826A3">
                            <w:pPr>
                              <w:jc w:val="center"/>
                              <w:rPr>
                                <w:b/>
                              </w:rPr>
                            </w:pPr>
                            <w:r>
                              <w:rPr>
                                <w:b/>
                              </w:rPr>
                              <w:t>AVAILABLE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49" type="#_x0000_t202" style="position:absolute;left:0;text-align:left;margin-left:1in;margin-top:91.5pt;width:74.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" filled="f" stroked="f">
                <v:textbox style="mso-fit-shape-to-text:t">
                  <w:txbxContent>
                    <w:p w:rsidR="00EA5A7E" w:rsidRDefault="00EA5A7E" w:rsidP="00D826A3">
                      <w:pPr>
                        <w:jc w:val="center"/>
                        <w:rPr>
                          <w:b/>
                        </w:rPr>
                      </w:pPr>
                      <w:r w:rsidRPr="00815FF2">
                        <w:rPr>
                          <w:b/>
                        </w:rPr>
                        <w:t>NO DATA</w:t>
                      </w:r>
                    </w:p>
                    <w:p w:rsidR="00EA5A7E" w:rsidRPr="00815FF2" w:rsidRDefault="00EA5A7E" w:rsidP="00D826A3">
                      <w:pPr>
                        <w:jc w:val="center"/>
                        <w:rPr>
                          <w:b/>
                        </w:rPr>
                      </w:pPr>
                      <w:r>
                        <w:rPr>
                          <w:b/>
                        </w:rPr>
                        <w:t>AVAILABLE</w:t>
                      </w:r>
                    </w:p>
                  </w:txbxContent>
                </v:textbox>
              </v:shape>
            </w:pict>
          </mc:Fallback>
        </mc:AlternateContent>
      </w:r>
    </w:p>
    <w:p w:rsidR="00D826A3" w:rsidRDefault="00D826A3" w:rsidP="00D826A3">
      <w:pPr>
        <w:spacing w:line="240" w:lineRule="auto"/>
        <w:ind w:left="630" w:hanging="630"/>
      </w:pPr>
      <w:r w:rsidRPr="00815FF2">
        <w:rPr>
          <w:b/>
        </w:rPr>
        <w:t xml:space="preserve">Fig </w:t>
      </w:r>
      <w:r w:rsidR="00EE2C5B">
        <w:rPr>
          <w:b/>
        </w:rPr>
        <w:t>10</w:t>
      </w:r>
      <w:r w:rsidRPr="00815FF2">
        <w:rPr>
          <w:b/>
        </w:rPr>
        <w:t>:</w:t>
      </w:r>
      <w:r>
        <w:t xml:space="preserve">  Box plots and time series of Total Nitrogen concentrations of effluent from the Durham waste-water treatment plant.</w:t>
      </w:r>
    </w:p>
    <w:p w:rsidR="00D826A3" w:rsidRDefault="00D826A3" w:rsidP="00D826A3">
      <w:pPr>
        <w:spacing w:line="240" w:lineRule="auto"/>
      </w:pPr>
    </w:p>
    <w:p w:rsidR="00D826A3" w:rsidRDefault="005205E7" w:rsidP="00BE3FDF">
      <w:pPr>
        <w:pStyle w:val="Heading3"/>
      </w:pPr>
      <w:r>
        <w:t>5.1.4</w:t>
      </w:r>
      <w:r w:rsidR="00D826A3">
        <w:t xml:space="preserve"> Urban Areas</w:t>
      </w:r>
    </w:p>
    <w:p w:rsidR="00D826A3" w:rsidRDefault="00D826A3" w:rsidP="00D826A3">
      <w:pPr>
        <w:spacing w:line="240" w:lineRule="auto"/>
      </w:pPr>
    </w:p>
    <w:p w:rsidR="00D826A3" w:rsidRDefault="00D826A3" w:rsidP="00D826A3">
      <w:pPr>
        <w:spacing w:line="240" w:lineRule="auto"/>
        <w:ind w:firstLine="720"/>
      </w:pPr>
      <w:r>
        <w:t xml:space="preserve">Urban land uses also present a challenge.   Because impervious areas create flashier runoff responses to storms which sometimes take place at sub-daily timescales, current algorithms using the daily </w:t>
      </w:r>
      <w:proofErr w:type="spellStart"/>
      <w:r>
        <w:t>timestep</w:t>
      </w:r>
      <w:proofErr w:type="spellEnd"/>
      <w:r>
        <w:t xml:space="preserve"> are not always reliable.  Furthermore, SWAT cannot simulate the first flush effect at the daily </w:t>
      </w:r>
      <w:proofErr w:type="spellStart"/>
      <w:r>
        <w:t>timestep</w:t>
      </w:r>
      <w:proofErr w:type="spellEnd"/>
      <w:r w:rsidR="005205E7">
        <w:t>, suggesting that the model may overestimate sediment and nutrient loads</w:t>
      </w:r>
      <w:r>
        <w:t>.  While SWAT was developed as a tool for agricultural areas, new routines for urban runoff and sediment transport are under development that may improve results for small urban watersheds (</w:t>
      </w:r>
      <w:proofErr w:type="spellStart"/>
      <w:r>
        <w:t>Jeong</w:t>
      </w:r>
      <w:proofErr w:type="spellEnd"/>
      <w:r>
        <w:t xml:space="preserve"> et al 2010; </w:t>
      </w:r>
      <w:proofErr w:type="spellStart"/>
      <w:r>
        <w:t>Jeong</w:t>
      </w:r>
      <w:proofErr w:type="spellEnd"/>
      <w:r>
        <w:t xml:space="preserve"> et al 2011).  </w:t>
      </w:r>
      <w:r w:rsidR="005205E7">
        <w:t xml:space="preserve">In instances </w:t>
      </w:r>
      <w:r w:rsidR="00F22199">
        <w:t xml:space="preserve">when modeling urban and suburban areas is critical, HSPF is a better option, </w:t>
      </w:r>
      <w:r w:rsidR="00F22199">
        <w:lastRenderedPageBreak/>
        <w:t xml:space="preserve">although the user interface is not as </w:t>
      </w:r>
      <w:r w:rsidR="00831AC2">
        <w:t>intuitive</w:t>
      </w:r>
      <w:r w:rsidR="00F22199">
        <w:t xml:space="preserve"> as SWAT’s (Borah &amp; </w:t>
      </w:r>
      <w:proofErr w:type="spellStart"/>
      <w:r w:rsidR="00F22199">
        <w:t>Bera</w:t>
      </w:r>
      <w:proofErr w:type="spellEnd"/>
      <w:r w:rsidR="00F22199">
        <w:t xml:space="preserve"> 2003, </w:t>
      </w:r>
      <w:r w:rsidR="00072F84">
        <w:t>Borah et al 2006, Saleh and Du 2004</w:t>
      </w:r>
      <w:r w:rsidR="00F22199">
        <w:t>)</w:t>
      </w:r>
      <w:r w:rsidR="00072F84">
        <w:t>.</w:t>
      </w:r>
    </w:p>
    <w:p w:rsidR="004559AB" w:rsidRPr="00E949AB" w:rsidRDefault="004559AB" w:rsidP="004559AB">
      <w:pPr>
        <w:spacing w:line="240" w:lineRule="auto"/>
      </w:pPr>
    </w:p>
    <w:p w:rsidR="004559AB" w:rsidRDefault="004559AB" w:rsidP="00BE3FDF">
      <w:pPr>
        <w:pStyle w:val="Heading2"/>
      </w:pPr>
      <w:r>
        <w:t>5.4 SWAT Modeling for Ecosystem Services</w:t>
      </w:r>
    </w:p>
    <w:p w:rsidR="004559AB" w:rsidRDefault="004559AB" w:rsidP="004559AB">
      <w:pPr>
        <w:spacing w:line="240" w:lineRule="auto"/>
      </w:pPr>
    </w:p>
    <w:p w:rsidR="00F00A0F" w:rsidRDefault="00F00A0F" w:rsidP="00F00A0F">
      <w:pPr>
        <w:spacing w:line="240" w:lineRule="auto"/>
        <w:ind w:firstLine="360"/>
      </w:pPr>
      <w:r>
        <w:t xml:space="preserve">Despite certain inherent limitations with SWAT, such as event scale, and urban/sub-urban land use modeling, </w:t>
      </w:r>
      <w:r w:rsidR="004559AB">
        <w:t xml:space="preserve">the </w:t>
      </w:r>
      <w:r>
        <w:t xml:space="preserve">SWAT </w:t>
      </w:r>
      <w:r w:rsidR="004559AB">
        <w:t xml:space="preserve">models presented here could be used to measure the </w:t>
      </w:r>
      <w:r w:rsidR="00831AC2">
        <w:t xml:space="preserve">biophysical </w:t>
      </w:r>
      <w:r w:rsidR="004559AB">
        <w:t xml:space="preserve">output </w:t>
      </w:r>
      <w:r w:rsidR="00831AC2">
        <w:t>these basins</w:t>
      </w:r>
      <w:r w:rsidR="004559AB">
        <w:t xml:space="preserve"> can be expected to produce</w:t>
      </w:r>
      <w:r w:rsidR="00831AC2">
        <w:t xml:space="preserve"> under a given set of climatological and land use conditions.  In economic terms, this is </w:t>
      </w:r>
      <w:r w:rsidR="004559AB">
        <w:t>known as the ecological production function (</w:t>
      </w:r>
      <w:proofErr w:type="spellStart"/>
      <w:r w:rsidR="004559AB">
        <w:t>Tallis</w:t>
      </w:r>
      <w:proofErr w:type="spellEnd"/>
      <w:r w:rsidR="004559AB">
        <w:t xml:space="preserve"> &amp; </w:t>
      </w:r>
      <w:proofErr w:type="spellStart"/>
      <w:r w:rsidR="004559AB">
        <w:t>Polasky</w:t>
      </w:r>
      <w:proofErr w:type="spellEnd"/>
      <w:r w:rsidR="004559AB">
        <w:t xml:space="preserve"> 2009).  This type of information is useful for regulatory agencies </w:t>
      </w:r>
      <w:r w:rsidR="000015D9">
        <w:t>that</w:t>
      </w:r>
      <w:r w:rsidR="00831AC2">
        <w:t xml:space="preserve"> are</w:t>
      </w:r>
      <w:r w:rsidR="004559AB">
        <w:t xml:space="preserve"> responsible for setting and enforcing water quality standards.  </w:t>
      </w:r>
      <w:r>
        <w:t xml:space="preserve">Further information on how SWAT can be pared with other models such as CEQUAL-W2 or to compensate for SWAT’s limitations can be found in Borah et al (2006).  </w:t>
      </w:r>
      <w:r w:rsidR="004559AB">
        <w:t xml:space="preserve">However, there are limitations to how far the </w:t>
      </w:r>
      <w:r>
        <w:t>biophysical models</w:t>
      </w:r>
      <w:r w:rsidR="004559AB">
        <w:t xml:space="preserve"> by </w:t>
      </w:r>
      <w:r>
        <w:t>themselves</w:t>
      </w:r>
      <w:r w:rsidR="004559AB">
        <w:t xml:space="preserve"> can be employed in these situations.  For example, a successful model can be used to estimate changes in timing and amount of flow, sediment and nutrient loads at the calibrated gages.  It can also be used to see where potential water quality “hotspots”, also known as critical source areas (CSAs), may be in the basin </w:t>
      </w:r>
      <w:r w:rsidR="000015D9">
        <w:t>(</w:t>
      </w:r>
      <w:proofErr w:type="spellStart"/>
      <w:r w:rsidR="000015D9">
        <w:t>Niraula</w:t>
      </w:r>
      <w:proofErr w:type="spellEnd"/>
      <w:r w:rsidR="000015D9">
        <w:t xml:space="preserve"> et al 2011, </w:t>
      </w:r>
      <w:proofErr w:type="spellStart"/>
      <w:r w:rsidR="000015D9">
        <w:t>Niraula</w:t>
      </w:r>
      <w:proofErr w:type="spellEnd"/>
      <w:r w:rsidR="000015D9">
        <w:t xml:space="preserve"> et al 2013</w:t>
      </w:r>
      <w:r w:rsidR="004559AB">
        <w:t>)</w:t>
      </w:r>
      <w:r w:rsidR="000015D9">
        <w:t>.</w:t>
      </w:r>
      <w:r w:rsidR="004559AB">
        <w:t xml:space="preserve"> </w:t>
      </w:r>
      <w:r w:rsidR="000015D9">
        <w:t>However, none of these analyses include economic tradeoffs.</w:t>
      </w:r>
      <w:r>
        <w:t xml:space="preserve">  This second</w:t>
      </w:r>
      <w:r w:rsidR="004559AB">
        <w:t xml:space="preserve"> level of ecosystem service analysis involves measuring the costs and </w:t>
      </w:r>
      <w:r>
        <w:t xml:space="preserve">economic and biophysical </w:t>
      </w:r>
      <w:r w:rsidR="004559AB">
        <w:t xml:space="preserve">tradeoffs associated with water quality improvements.  This type of analysis is critical for enabling regulatory agencies to make informed land management decisions.   </w:t>
      </w:r>
    </w:p>
    <w:p w:rsidR="004559AB" w:rsidRDefault="004559AB" w:rsidP="00F00A0F">
      <w:pPr>
        <w:spacing w:line="240" w:lineRule="auto"/>
        <w:ind w:firstLine="720"/>
      </w:pPr>
      <w:proofErr w:type="spellStart"/>
      <w:r>
        <w:t>Rabotyagov</w:t>
      </w:r>
      <w:proofErr w:type="spellEnd"/>
      <w:r>
        <w:t xml:space="preserve"> et al (2010) uses estimated costs for grassed waterways, land rental rates, costs for no-till farming practices and terraces, and a genetic algorithm with SWAT to determine optimum land use scenarios for reaching a 30% reduction in Nitrate-N or TP in the Upper Mississippi River Basin, USA.  They found that optimizing for Nitrate-N had an associated reduction in TP of 36% and cost $1.4 billion/</w:t>
      </w:r>
      <w:proofErr w:type="spellStart"/>
      <w:r>
        <w:t>yr</w:t>
      </w:r>
      <w:proofErr w:type="spellEnd"/>
      <w:r>
        <w:t xml:space="preserve">, while optimizing for TP had an associated reduction in Nitrate of 9% and cost $370 million/yr.  </w:t>
      </w:r>
      <w:proofErr w:type="spellStart"/>
      <w:r>
        <w:t>Bekele</w:t>
      </w:r>
      <w:proofErr w:type="spellEnd"/>
      <w:r>
        <w:t xml:space="preserve"> and </w:t>
      </w:r>
      <w:proofErr w:type="spellStart"/>
      <w:r>
        <w:t>Nicklow</w:t>
      </w:r>
      <w:proofErr w:type="spellEnd"/>
      <w:r>
        <w:t xml:space="preserve"> (2005) demonstrated the effectiveness of using an integrative modeling framework that pairs SWAT with the </w:t>
      </w:r>
      <w:proofErr w:type="spellStart"/>
      <w:r>
        <w:t>multiobjective</w:t>
      </w:r>
      <w:proofErr w:type="spellEnd"/>
      <w:r>
        <w:t xml:space="preserve"> evolutionary algorithm SPEA2 to evaluate tradeoffs.  </w:t>
      </w:r>
      <w:proofErr w:type="spellStart"/>
      <w:r>
        <w:t>Bekele</w:t>
      </w:r>
      <w:proofErr w:type="spellEnd"/>
      <w:r>
        <w:t xml:space="preserve"> et al (2013) used this modeling framework with cost data to develop ecological-economic production possibility frontiers for the Big Creek watershed in southern Illinois.  They found that while in aggregate provisioning services (crops) and regulating services (flood protection, water quality, and carbon retention) have an inverse relationship, a small reduction in provisioning services brings a large increase in regulating services.  </w:t>
      </w:r>
    </w:p>
    <w:p w:rsidR="004559AB" w:rsidRDefault="004559AB" w:rsidP="004559AB">
      <w:pPr>
        <w:spacing w:line="240" w:lineRule="auto"/>
      </w:pPr>
      <w:r>
        <w:tab/>
      </w:r>
      <w:r w:rsidR="00F00A0F">
        <w:t>While u</w:t>
      </w:r>
      <w:r>
        <w:t>sing SWAT to assess economic tradeoffs is a relatively new field, and has inherent limitations to the types of ecos</w:t>
      </w:r>
      <w:r w:rsidR="00F00A0F">
        <w:t xml:space="preserve">ystem services it can measure, </w:t>
      </w:r>
      <w:r>
        <w:t>its ability to optimize solutions is promising.  Limitations to widespread use of these methods must be overcome, however.  Current studies linking SWAT to genetic algorithms require familiarity with code development since there is no software immediately available to do this as far as the authors of this paper are aware.  However, as the SWAT-CUP calibration and uncertainty analysis software shows, it is possible to design software that seamlessly integrates with the SWAT model.  Future software development could involve linking SPEA2 to SWAT using a graphical user interface</w:t>
      </w:r>
      <w:r w:rsidR="000015D9">
        <w:t xml:space="preserve"> so that watershed modelers and environmental economists can more easily work together to measure ecosystem service tradeoffs</w:t>
      </w:r>
      <w:r>
        <w:t xml:space="preserve">.  </w:t>
      </w:r>
    </w:p>
    <w:p w:rsidR="004559AB" w:rsidRDefault="004559AB" w:rsidP="004559AB">
      <w:pPr>
        <w:spacing w:line="240" w:lineRule="auto"/>
      </w:pPr>
    </w:p>
    <w:p w:rsidR="004559AB" w:rsidRDefault="004559AB" w:rsidP="00BE3FDF">
      <w:pPr>
        <w:pStyle w:val="Heading1"/>
      </w:pPr>
      <w:r>
        <w:t>6</w:t>
      </w:r>
      <w:r w:rsidRPr="00C53CAC">
        <w:t xml:space="preserve"> Conclusion</w:t>
      </w:r>
      <w:r>
        <w:t>s</w:t>
      </w:r>
    </w:p>
    <w:p w:rsidR="004559AB" w:rsidRPr="007664DA" w:rsidRDefault="004559AB" w:rsidP="004559AB">
      <w:pPr>
        <w:spacing w:line="240" w:lineRule="auto"/>
      </w:pPr>
    </w:p>
    <w:p w:rsidR="00311CE1" w:rsidRDefault="004559AB" w:rsidP="004559AB">
      <w:pPr>
        <w:spacing w:line="240" w:lineRule="auto"/>
      </w:pPr>
      <w:r>
        <w:tab/>
      </w:r>
      <w:r w:rsidR="00002D72">
        <w:t xml:space="preserve">As land use and water quality managers begin using the ecosystem service framework to make decisions, assessments of the available ecosystem service tools must be made.  In this article we calibrate a popular ecosystem service model, SWAT, for two sub-basins in Northwest Oregon and discuss the uncertainties and issues involved.  We found that the model has a robust suite of tools </w:t>
      </w:r>
      <w:r w:rsidR="00002D72">
        <w:lastRenderedPageBreak/>
        <w:t>available to help with input data, calibration and uncertainty analysis.  The LOADEST software helps simulate sediment and nutrient loads in locations where continuous sampling is not available.  The SWAT-CUP software helps with sensitivity analysis, calibration, and uncertainty analysis.  While uncertainty analysis historically has not been quantified in</w:t>
      </w:r>
      <w:r w:rsidR="001F64FE">
        <w:t xml:space="preserve"> watershed modeling research and we were unable to perform it in this project, the SWAT-CUP software makes the process simpler, and we suggest future SWAT models include this in their analysis.</w:t>
      </w:r>
      <w:r w:rsidR="00311CE1">
        <w:t xml:space="preserve">  </w:t>
      </w:r>
    </w:p>
    <w:p w:rsidR="00131CE0" w:rsidRDefault="00311CE1" w:rsidP="00311CE1">
      <w:pPr>
        <w:spacing w:line="240" w:lineRule="auto"/>
        <w:ind w:firstLine="720"/>
      </w:pPr>
      <w:r>
        <w:t xml:space="preserve">Results of model calibrations were mixed.  Flow simulations track well with observed data in both basins, and the spatial patterns of water yield make sense given the local topography.  Sediment simulation results in the Tualatin were </w:t>
      </w:r>
      <w:r w:rsidR="00802394">
        <w:t xml:space="preserve">acceptable at the Dilley and </w:t>
      </w:r>
      <w:proofErr w:type="spellStart"/>
      <w:r w:rsidR="00802394">
        <w:t>Fanno</w:t>
      </w:r>
      <w:proofErr w:type="spellEnd"/>
      <w:r w:rsidR="00802394">
        <w:t xml:space="preserve"> Creek gage, but the West Linn gage is in need of improvement</w:t>
      </w:r>
      <w:r>
        <w:t xml:space="preserve">.  </w:t>
      </w:r>
      <w:r w:rsidR="00802394">
        <w:t xml:space="preserve">Sediment results for the Yamhill DEQ gage were also acceptable.  Spatial patterns of sediment yield are sensible for the lowland areas of Yamhill, but may be underestimated in the upland regions.  Sediment yield in the Tualatin register below SWAT’s reporting level in many cases.  This is likely due to high levels of sediment passing through the modeled </w:t>
      </w:r>
      <w:proofErr w:type="spellStart"/>
      <w:r w:rsidR="00802394">
        <w:t>Hagg</w:t>
      </w:r>
      <w:proofErr w:type="spellEnd"/>
      <w:r w:rsidR="00802394">
        <w:t xml:space="preserve"> Lake reservoir, causing sediment to be underestimated across the l</w:t>
      </w:r>
      <w:r w:rsidR="00131CE0">
        <w:t xml:space="preserve">andscape.  Total Nitrogen calibrations are acceptable for the West Linn and Yamhill DEQ gage, but were unsatisfactory for the Dilley and </w:t>
      </w:r>
      <w:proofErr w:type="spellStart"/>
      <w:r w:rsidR="00131CE0">
        <w:t>Fanno</w:t>
      </w:r>
      <w:proofErr w:type="spellEnd"/>
      <w:r w:rsidR="00131CE0">
        <w:t xml:space="preserve"> gages.  Spatial patterns of TN yield appear sensible in the Tualatin where yields are higher in agricultural lands, while there is no distinct pattern in Yamhill.  This may be due to underestimation of organic nitrogen in the Yamhill basin, and suggests the SWAT model should be calibrated to each species of nutrient to ensure proper budgeting</w:t>
      </w:r>
      <w:r w:rsidR="00BD778E">
        <w:t xml:space="preserve"> throughout the system.  Finally, Total Phosphorus calibration results were poor in all cases.  Spatial patterns of TP yields are sensible in both basins with higher yields in agricultural lands.  </w:t>
      </w:r>
    </w:p>
    <w:p w:rsidR="003D5807" w:rsidRDefault="00BB7BAA" w:rsidP="00B479C9">
      <w:pPr>
        <w:spacing w:line="240" w:lineRule="auto"/>
        <w:ind w:firstLine="720"/>
      </w:pPr>
      <w:r>
        <w:t>While the models calibrated in this study can in some cases be used to evaluate the ecological production function, further economic analysis requires additional tools.  Examples include the inclusion of multi</w:t>
      </w:r>
      <w:r w:rsidR="00BB2E84">
        <w:t>-</w:t>
      </w:r>
      <w:r>
        <w:t xml:space="preserve">objective evolutionary algorithms to optimize reductions in water pollution, and evaluate economic tradeoffs through the development of ecological-economic production possibility frontiers.  While these tools show promise, new user-friendly software linking SWAT to these algorithms need to be developed before widespread use of these methods can be achieved.  </w:t>
      </w:r>
    </w:p>
    <w:p w:rsidR="004559AB" w:rsidRPr="007664DA" w:rsidRDefault="00B479C9" w:rsidP="00B479C9">
      <w:pPr>
        <w:spacing w:line="240" w:lineRule="auto"/>
        <w:ind w:firstLine="720"/>
      </w:pPr>
      <w:r>
        <w:t xml:space="preserve">The results of this study suggest that SWAT is a </w:t>
      </w:r>
      <w:r w:rsidR="003D5807">
        <w:t>useful</w:t>
      </w:r>
      <w:r>
        <w:t xml:space="preserve"> tool for the evaluation of ecosystem services, and that future developments </w:t>
      </w:r>
      <w:r w:rsidR="003D5807">
        <w:t xml:space="preserve">in the field may facilitate its continued widespread use for both biophysical analysis and economic analysis of ecosystem services.  </w:t>
      </w:r>
    </w:p>
    <w:p w:rsidR="004559AB" w:rsidRDefault="004559AB" w:rsidP="004559AB">
      <w:pPr>
        <w:rPr>
          <w:b/>
        </w:rPr>
      </w:pPr>
      <w:r>
        <w:rPr>
          <w:b/>
        </w:rPr>
        <w:br w:type="page"/>
      </w:r>
    </w:p>
    <w:p w:rsidR="004559AB" w:rsidRPr="008001B2" w:rsidRDefault="004559AB" w:rsidP="00BE3FDF">
      <w:pPr>
        <w:pStyle w:val="Heading1"/>
      </w:pPr>
      <w:r w:rsidRPr="008001B2">
        <w:lastRenderedPageBreak/>
        <w:t>References</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Abbaspour</w:t>
      </w:r>
      <w:proofErr w:type="spellEnd"/>
      <w:r>
        <w:t xml:space="preserve"> KC, </w:t>
      </w:r>
      <w:proofErr w:type="spellStart"/>
      <w:r>
        <w:t>Sonnleitner</w:t>
      </w:r>
      <w:proofErr w:type="spellEnd"/>
      <w:r>
        <w:t xml:space="preserve"> MA, </w:t>
      </w:r>
      <w:proofErr w:type="spellStart"/>
      <w:r>
        <w:t>Schulin</w:t>
      </w:r>
      <w:proofErr w:type="spellEnd"/>
      <w:r>
        <w:t xml:space="preserve"> R (1999) Uncertainty in estimation of soil hydraulic parameters by inverse modeling: Example </w:t>
      </w:r>
      <w:proofErr w:type="spellStart"/>
      <w:r>
        <w:t>lysimeter</w:t>
      </w:r>
      <w:proofErr w:type="spellEnd"/>
      <w:r>
        <w:t xml:space="preserve"> experiments. Soil </w:t>
      </w:r>
      <w:proofErr w:type="spellStart"/>
      <w:r>
        <w:t>Sci</w:t>
      </w:r>
      <w:proofErr w:type="spellEnd"/>
      <w:r>
        <w:t xml:space="preserve"> </w:t>
      </w:r>
      <w:proofErr w:type="spellStart"/>
      <w:r>
        <w:t>Soc</w:t>
      </w:r>
      <w:proofErr w:type="spellEnd"/>
      <w:r>
        <w:t xml:space="preserve"> Am J 63:501–509.</w:t>
      </w:r>
      <w:r w:rsidRPr="00A9011B">
        <w:t xml:space="preserve"> </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Abbaspour</w:t>
      </w:r>
      <w:proofErr w:type="spellEnd"/>
      <w:r>
        <w:t xml:space="preserve"> KC, Yang J, </w:t>
      </w:r>
      <w:proofErr w:type="spellStart"/>
      <w:r>
        <w:t>Maximov</w:t>
      </w:r>
      <w:proofErr w:type="spellEnd"/>
      <w:r>
        <w:t xml:space="preserve"> I, </w:t>
      </w:r>
      <w:proofErr w:type="spellStart"/>
      <w:r>
        <w:t>Siber</w:t>
      </w:r>
      <w:proofErr w:type="spellEnd"/>
      <w:r>
        <w:t xml:space="preserve"> R, </w:t>
      </w:r>
      <w:proofErr w:type="spellStart"/>
      <w:r>
        <w:t>Bogner</w:t>
      </w:r>
      <w:proofErr w:type="spellEnd"/>
      <w:r>
        <w:t xml:space="preserve"> K, </w:t>
      </w:r>
      <w:proofErr w:type="spellStart"/>
      <w:r>
        <w:t>Mieleitner</w:t>
      </w:r>
      <w:proofErr w:type="spellEnd"/>
      <w:r>
        <w:t xml:space="preserve"> J, </w:t>
      </w:r>
      <w:proofErr w:type="spellStart"/>
      <w:r>
        <w:t>Zobrist</w:t>
      </w:r>
      <w:proofErr w:type="spellEnd"/>
      <w:r>
        <w:t xml:space="preserve"> J, Srinivasan R (2007) Modelling hydrology and water quality in the pre-alpine/alpine </w:t>
      </w:r>
      <w:proofErr w:type="spellStart"/>
      <w:r>
        <w:t>Thur</w:t>
      </w:r>
      <w:proofErr w:type="spellEnd"/>
      <w:r>
        <w:t xml:space="preserve"> watershed using SWAT. J </w:t>
      </w:r>
      <w:proofErr w:type="spellStart"/>
      <w:r>
        <w:t>Hydrol</w:t>
      </w:r>
      <w:proofErr w:type="spellEnd"/>
      <w:r>
        <w:t xml:space="preserve"> 333:413–430.</w:t>
      </w:r>
    </w:p>
    <w:p w:rsidR="004559AB" w:rsidRDefault="004559AB" w:rsidP="004559AB">
      <w:pPr>
        <w:spacing w:line="240" w:lineRule="auto"/>
      </w:pPr>
    </w:p>
    <w:p w:rsidR="004559AB" w:rsidRDefault="004559AB" w:rsidP="004559AB">
      <w:pPr>
        <w:spacing w:line="240" w:lineRule="auto"/>
        <w:ind w:left="360" w:hanging="360"/>
      </w:pPr>
      <w:proofErr w:type="spellStart"/>
      <w:r>
        <w:t>Abbaspour</w:t>
      </w:r>
      <w:proofErr w:type="spellEnd"/>
      <w:r>
        <w:t xml:space="preserve"> KC (2012) SWAT-CUP 2012: SWAT Calibration and uncertainty programs – A user manual. </w:t>
      </w:r>
      <w:proofErr w:type="gramStart"/>
      <w:r>
        <w:t>EAWAG.</w:t>
      </w:r>
      <w:proofErr w:type="gramEnd"/>
    </w:p>
    <w:p w:rsidR="004559AB" w:rsidRDefault="004559AB" w:rsidP="004559AB">
      <w:pPr>
        <w:spacing w:line="240" w:lineRule="auto"/>
      </w:pPr>
    </w:p>
    <w:p w:rsidR="004559AB" w:rsidRDefault="004559AB" w:rsidP="004559AB">
      <w:pPr>
        <w:spacing w:line="240" w:lineRule="auto"/>
        <w:ind w:left="360" w:hanging="360"/>
      </w:pPr>
      <w:proofErr w:type="spellStart"/>
      <w:proofErr w:type="gramStart"/>
      <w:r>
        <w:t>Abatzoglou</w:t>
      </w:r>
      <w:proofErr w:type="spellEnd"/>
      <w:r>
        <w:t xml:space="preserve"> JT (2013) Development of gridded surface meteorological data for ecological applications and modeling.</w:t>
      </w:r>
      <w:proofErr w:type="gramEnd"/>
      <w:r>
        <w:t xml:space="preserve"> </w:t>
      </w:r>
      <w:proofErr w:type="spellStart"/>
      <w:r>
        <w:t>Int</w:t>
      </w:r>
      <w:proofErr w:type="spellEnd"/>
      <w:r>
        <w:t xml:space="preserve"> J </w:t>
      </w:r>
      <w:proofErr w:type="spellStart"/>
      <w:r>
        <w:t>Climatol</w:t>
      </w:r>
      <w:proofErr w:type="spellEnd"/>
      <w:r>
        <w:t xml:space="preserve"> 33:121</w:t>
      </w:r>
      <w:r>
        <w:softHyphen/>
        <w:t>–131.</w:t>
      </w:r>
    </w:p>
    <w:p w:rsidR="004559AB" w:rsidRDefault="004559AB" w:rsidP="004559AB">
      <w:pPr>
        <w:spacing w:line="240" w:lineRule="auto"/>
      </w:pPr>
    </w:p>
    <w:p w:rsidR="004559AB" w:rsidRDefault="004559AB" w:rsidP="004559AB">
      <w:pPr>
        <w:spacing w:line="240" w:lineRule="auto"/>
        <w:ind w:left="360" w:hanging="360"/>
      </w:pPr>
      <w:proofErr w:type="spellStart"/>
      <w:proofErr w:type="gramStart"/>
      <w:r>
        <w:t>Almendinger</w:t>
      </w:r>
      <w:proofErr w:type="spellEnd"/>
      <w:r>
        <w:t xml:space="preserve"> JE, </w:t>
      </w:r>
      <w:proofErr w:type="spellStart"/>
      <w:r>
        <w:t>Murphey</w:t>
      </w:r>
      <w:proofErr w:type="spellEnd"/>
      <w:r>
        <w:t xml:space="preserve"> MS (2007) Constructing a SWAT model of the Willow River watershed, western Wisconsin.</w:t>
      </w:r>
      <w:proofErr w:type="gramEnd"/>
      <w:r>
        <w:t xml:space="preserve"> St. Croix Watershed Research Station, Science Museum of Minnesota: 1-84.</w:t>
      </w:r>
    </w:p>
    <w:p w:rsidR="004559AB" w:rsidRDefault="004559AB" w:rsidP="004559AB">
      <w:pPr>
        <w:spacing w:line="240" w:lineRule="auto"/>
      </w:pPr>
    </w:p>
    <w:p w:rsidR="004559AB" w:rsidRDefault="004559AB" w:rsidP="004559AB">
      <w:pPr>
        <w:spacing w:line="240" w:lineRule="auto"/>
        <w:ind w:left="360" w:hanging="360"/>
      </w:pPr>
      <w:r>
        <w:t xml:space="preserve">Arnold JG, </w:t>
      </w:r>
      <w:proofErr w:type="spellStart"/>
      <w:r>
        <w:t>Moriasi</w:t>
      </w:r>
      <w:proofErr w:type="spellEnd"/>
      <w:r>
        <w:t xml:space="preserve"> DN, </w:t>
      </w:r>
      <w:proofErr w:type="spellStart"/>
      <w:r>
        <w:t>Gassman</w:t>
      </w:r>
      <w:proofErr w:type="spellEnd"/>
      <w:r>
        <w:t xml:space="preserve"> PW, </w:t>
      </w:r>
      <w:proofErr w:type="spellStart"/>
      <w:r>
        <w:t>Abbaspour</w:t>
      </w:r>
      <w:proofErr w:type="spellEnd"/>
      <w:r>
        <w:t xml:space="preserve"> KC, White MJ, Srinivasan R, </w:t>
      </w:r>
      <w:proofErr w:type="spellStart"/>
      <w:r>
        <w:t>Santhi</w:t>
      </w:r>
      <w:proofErr w:type="spellEnd"/>
      <w:r>
        <w:t xml:space="preserve"> C, </w:t>
      </w:r>
      <w:proofErr w:type="spellStart"/>
      <w:r>
        <w:t>Harmel</w:t>
      </w:r>
      <w:proofErr w:type="spellEnd"/>
      <w:r>
        <w:t xml:space="preserve"> RD, van </w:t>
      </w:r>
      <w:proofErr w:type="spellStart"/>
      <w:r>
        <w:t>Griensven</w:t>
      </w:r>
      <w:proofErr w:type="spellEnd"/>
      <w:r>
        <w:t xml:space="preserve"> A, Van </w:t>
      </w:r>
      <w:proofErr w:type="spellStart"/>
      <w:r>
        <w:t>Liew</w:t>
      </w:r>
      <w:proofErr w:type="spellEnd"/>
      <w:r>
        <w:t xml:space="preserve"> MW, </w:t>
      </w:r>
      <w:proofErr w:type="spellStart"/>
      <w:r>
        <w:t>Kannan</w:t>
      </w:r>
      <w:proofErr w:type="spellEnd"/>
      <w:r>
        <w:t xml:space="preserve"> N, </w:t>
      </w:r>
      <w:proofErr w:type="spellStart"/>
      <w:r>
        <w:t>Jha</w:t>
      </w:r>
      <w:proofErr w:type="spellEnd"/>
      <w:r>
        <w:t xml:space="preserve"> MK (2012)  SWAT: Model use, calibration, and validation. Trans of ASABE 55(4):1491-1508.</w:t>
      </w:r>
    </w:p>
    <w:p w:rsidR="004559AB" w:rsidRDefault="004559AB" w:rsidP="004559AB">
      <w:pPr>
        <w:spacing w:line="240" w:lineRule="auto"/>
      </w:pPr>
    </w:p>
    <w:p w:rsidR="004559AB" w:rsidRDefault="004559AB" w:rsidP="004559AB">
      <w:pPr>
        <w:spacing w:line="240" w:lineRule="auto"/>
        <w:ind w:left="360" w:hanging="360"/>
      </w:pPr>
      <w:proofErr w:type="spellStart"/>
      <w:r>
        <w:t>Bekele</w:t>
      </w:r>
      <w:proofErr w:type="spellEnd"/>
      <w:r>
        <w:t xml:space="preserve">, EG, </w:t>
      </w:r>
      <w:proofErr w:type="spellStart"/>
      <w:r>
        <w:t>Lant</w:t>
      </w:r>
      <w:proofErr w:type="spellEnd"/>
      <w:r>
        <w:t xml:space="preserve"> CL, </w:t>
      </w:r>
      <w:proofErr w:type="spellStart"/>
      <w:r>
        <w:t>Soman</w:t>
      </w:r>
      <w:proofErr w:type="spellEnd"/>
      <w:r>
        <w:t xml:space="preserve"> S, </w:t>
      </w:r>
      <w:proofErr w:type="spellStart"/>
      <w:r>
        <w:t>Misgna</w:t>
      </w:r>
      <w:proofErr w:type="spellEnd"/>
      <w:r>
        <w:t xml:space="preserve"> G (2013) </w:t>
      </w:r>
      <w:proofErr w:type="gramStart"/>
      <w:r>
        <w:t>The</w:t>
      </w:r>
      <w:proofErr w:type="gramEnd"/>
      <w:r>
        <w:t xml:space="preserve"> evolution and empirical estimation of ecological-economic production possibilities frontiers. </w:t>
      </w:r>
      <w:proofErr w:type="spellStart"/>
      <w:r>
        <w:t>Ecol</w:t>
      </w:r>
      <w:proofErr w:type="spellEnd"/>
      <w:r>
        <w:t xml:space="preserve"> Econ 90:1-9.</w:t>
      </w:r>
    </w:p>
    <w:p w:rsidR="004559AB" w:rsidRDefault="004559AB" w:rsidP="004559AB">
      <w:pPr>
        <w:spacing w:line="240" w:lineRule="auto"/>
      </w:pPr>
    </w:p>
    <w:p w:rsidR="004559AB" w:rsidRDefault="004559AB" w:rsidP="004559AB">
      <w:pPr>
        <w:spacing w:line="240" w:lineRule="auto"/>
        <w:ind w:left="360" w:hanging="360"/>
      </w:pPr>
      <w:proofErr w:type="spellStart"/>
      <w:proofErr w:type="gramStart"/>
      <w:r>
        <w:t>Boeder</w:t>
      </w:r>
      <w:proofErr w:type="spellEnd"/>
      <w:r>
        <w:t>, M., H. Chang.</w:t>
      </w:r>
      <w:proofErr w:type="gramEnd"/>
      <w:r>
        <w:t xml:space="preserve">  2008.  Multi-scale analysis of oxygen demand trend in an urbanizing Oregon watershed.  </w:t>
      </w:r>
      <w:r>
        <w:rPr>
          <w:i/>
        </w:rPr>
        <w:t>Journal of Environmental Management</w:t>
      </w:r>
      <w:r>
        <w:t xml:space="preserve"> 400(1-3): 567-581.</w:t>
      </w:r>
    </w:p>
    <w:p w:rsidR="004559AB" w:rsidRDefault="004559AB" w:rsidP="004559AB">
      <w:pPr>
        <w:spacing w:line="240" w:lineRule="auto"/>
      </w:pPr>
    </w:p>
    <w:p w:rsidR="004559AB" w:rsidRDefault="004559AB" w:rsidP="004559AB">
      <w:pPr>
        <w:spacing w:line="240" w:lineRule="auto"/>
        <w:ind w:left="360" w:hanging="360"/>
      </w:pPr>
      <w:proofErr w:type="spellStart"/>
      <w:r>
        <w:t>Brauman</w:t>
      </w:r>
      <w:proofErr w:type="spellEnd"/>
      <w:r>
        <w:t xml:space="preserve"> KA, Daily GC, Duarte TK, Mooney HA (2007) </w:t>
      </w:r>
      <w:proofErr w:type="gramStart"/>
      <w:r>
        <w:t>The</w:t>
      </w:r>
      <w:proofErr w:type="gramEnd"/>
      <w:r>
        <w:t xml:space="preserve"> nature and value of ecosystem services: An overview highlighting hydrologic services. </w:t>
      </w:r>
      <w:proofErr w:type="spellStart"/>
      <w:r>
        <w:t>Annu</w:t>
      </w:r>
      <w:proofErr w:type="spellEnd"/>
      <w:r>
        <w:t xml:space="preserve"> Rev Environ </w:t>
      </w:r>
      <w:proofErr w:type="spellStart"/>
      <w:r>
        <w:t>Resour</w:t>
      </w:r>
      <w:proofErr w:type="spellEnd"/>
      <w:r>
        <w:t xml:space="preserve"> 32:6.1-6.32.</w:t>
      </w:r>
    </w:p>
    <w:p w:rsidR="004559AB" w:rsidRDefault="004559AB" w:rsidP="004559AB">
      <w:pPr>
        <w:spacing w:line="240" w:lineRule="auto"/>
        <w:ind w:left="360" w:hanging="360"/>
      </w:pPr>
    </w:p>
    <w:p w:rsidR="004559AB" w:rsidRDefault="004559AB" w:rsidP="004559AB">
      <w:pPr>
        <w:spacing w:line="240" w:lineRule="auto"/>
        <w:ind w:left="360" w:hanging="360"/>
      </w:pPr>
      <w:r>
        <w:t xml:space="preserve">Brown LC, Barnwell </w:t>
      </w:r>
      <w:proofErr w:type="spellStart"/>
      <w:r>
        <w:t>Jr</w:t>
      </w:r>
      <w:proofErr w:type="spellEnd"/>
      <w:r>
        <w:t xml:space="preserve"> TO (1987) </w:t>
      </w:r>
      <w:proofErr w:type="gramStart"/>
      <w:r>
        <w:t>The</w:t>
      </w:r>
      <w:proofErr w:type="gramEnd"/>
      <w:r>
        <w:t xml:space="preserve"> enhanced water quality models QUAL2E and QUAL2E-UNCAS documentation and user manual. </w:t>
      </w:r>
      <w:proofErr w:type="gramStart"/>
      <w:r>
        <w:t>USEPA, Athens, GA.</w:t>
      </w:r>
      <w:proofErr w:type="gramEnd"/>
    </w:p>
    <w:p w:rsidR="004559AB" w:rsidRDefault="004559AB" w:rsidP="004559AB">
      <w:pPr>
        <w:spacing w:line="240" w:lineRule="auto"/>
        <w:ind w:left="360" w:hanging="360"/>
      </w:pPr>
    </w:p>
    <w:p w:rsidR="004559AB" w:rsidRDefault="004559AB" w:rsidP="004559AB">
      <w:pPr>
        <w:spacing w:line="240" w:lineRule="auto"/>
        <w:ind w:left="360" w:hanging="360"/>
      </w:pPr>
      <w:proofErr w:type="gramStart"/>
      <w:r>
        <w:t>Chang, H. and J. Jones.</w:t>
      </w:r>
      <w:proofErr w:type="gramEnd"/>
      <w:r>
        <w:t xml:space="preserve">  2010.  Climate change and freshwater resources in Oregon.  </w:t>
      </w:r>
      <w:proofErr w:type="gramStart"/>
      <w:r>
        <w:t>In Oregon</w:t>
      </w:r>
      <w:r w:rsidRPr="00EF3BD5">
        <w:rPr>
          <w:i/>
        </w:rPr>
        <w:t xml:space="preserve"> Climate Assessment Report</w:t>
      </w:r>
      <w:r>
        <w:t xml:space="preserve">, eds. K.D. </w:t>
      </w:r>
      <w:proofErr w:type="spellStart"/>
      <w:r>
        <w:t>Dello</w:t>
      </w:r>
      <w:proofErr w:type="spellEnd"/>
      <w:r>
        <w:t xml:space="preserve"> and P.W. Mote.</w:t>
      </w:r>
      <w:proofErr w:type="gramEnd"/>
      <w:r>
        <w:t xml:space="preserve">  </w:t>
      </w:r>
      <w:proofErr w:type="gramStart"/>
      <w:r>
        <w:t>69-150 College of Oceanic and Atmospheric Sciences, Oregon State University, Corvallis, OR.</w:t>
      </w:r>
      <w:proofErr w:type="gramEnd"/>
      <w:r>
        <w:t xml:space="preserve">  </w:t>
      </w:r>
    </w:p>
    <w:p w:rsidR="004559AB" w:rsidRDefault="004559AB" w:rsidP="004559AB">
      <w:pPr>
        <w:spacing w:line="240" w:lineRule="auto"/>
      </w:pPr>
    </w:p>
    <w:p w:rsidR="004559AB" w:rsidRDefault="004559AB" w:rsidP="004559AB">
      <w:pPr>
        <w:spacing w:line="240" w:lineRule="auto"/>
      </w:pPr>
      <w:r>
        <w:t xml:space="preserve">Cochran B, Logue C (2011) </w:t>
      </w:r>
      <w:proofErr w:type="gramStart"/>
      <w:r>
        <w:t>A</w:t>
      </w:r>
      <w:proofErr w:type="gramEnd"/>
      <w:r>
        <w:t xml:space="preserve"> watershed approach to </w:t>
      </w:r>
      <w:proofErr w:type="spellStart"/>
      <w:r>
        <w:t>inprove</w:t>
      </w:r>
      <w:proofErr w:type="spellEnd"/>
      <w:r>
        <w:t xml:space="preserve"> water quality: Case study of Clean Water Services’ Tualatin river program. JAWRA 47(1):29–38.</w:t>
      </w:r>
    </w:p>
    <w:p w:rsidR="004559AB" w:rsidRDefault="004559AB" w:rsidP="004559AB">
      <w:pPr>
        <w:spacing w:line="240" w:lineRule="auto"/>
      </w:pPr>
    </w:p>
    <w:p w:rsidR="004559AB" w:rsidRDefault="004559AB" w:rsidP="004559AB">
      <w:pPr>
        <w:spacing w:line="240" w:lineRule="auto"/>
        <w:ind w:left="360" w:hanging="360"/>
      </w:pPr>
      <w:proofErr w:type="spellStart"/>
      <w:r>
        <w:t>Costanza</w:t>
      </w:r>
      <w:proofErr w:type="spellEnd"/>
      <w:r>
        <w:t xml:space="preserve">, R., R. </w:t>
      </w:r>
      <w:proofErr w:type="spellStart"/>
      <w:r>
        <w:t>d’Arge</w:t>
      </w:r>
      <w:proofErr w:type="spellEnd"/>
      <w:r>
        <w:t xml:space="preserve">, R. de Groot, S. Farber, M. Grasso, B. Hannon, K. Limburg, S. </w:t>
      </w:r>
      <w:proofErr w:type="spellStart"/>
      <w:r>
        <w:t>Naeem</w:t>
      </w:r>
      <w:proofErr w:type="spellEnd"/>
      <w:r>
        <w:t xml:space="preserve">, R.V. O’Neill, J. </w:t>
      </w:r>
      <w:proofErr w:type="spellStart"/>
      <w:r>
        <w:t>Paruelo</w:t>
      </w:r>
      <w:proofErr w:type="spellEnd"/>
      <w:r>
        <w:t xml:space="preserve">, R.G. </w:t>
      </w:r>
      <w:proofErr w:type="spellStart"/>
      <w:r>
        <w:t>Raskin</w:t>
      </w:r>
      <w:proofErr w:type="spellEnd"/>
      <w:r>
        <w:t xml:space="preserve">, P. Sutton, and M. van den Belt.  1997. The value of the world’s ecosystem services and natural capital.  </w:t>
      </w:r>
      <w:r>
        <w:rPr>
          <w:i/>
        </w:rPr>
        <w:t>Nature</w:t>
      </w:r>
      <w:r>
        <w:t xml:space="preserve"> 387: 253-260.</w:t>
      </w:r>
    </w:p>
    <w:p w:rsidR="004559AB" w:rsidRDefault="004559AB" w:rsidP="004559AB">
      <w:pPr>
        <w:spacing w:line="240" w:lineRule="auto"/>
        <w:ind w:left="360" w:hanging="360"/>
      </w:pPr>
    </w:p>
    <w:p w:rsidR="004559AB" w:rsidRDefault="004559AB" w:rsidP="004559AB">
      <w:pPr>
        <w:spacing w:line="240" w:lineRule="auto"/>
        <w:ind w:left="360" w:hanging="360"/>
      </w:pPr>
      <w:r>
        <w:t xml:space="preserve">Fry JA, Xian G, Jin S, D JA, Homer CG, Yang L, Barnes CA, </w:t>
      </w:r>
      <w:proofErr w:type="spellStart"/>
      <w:r>
        <w:t>Herold</w:t>
      </w:r>
      <w:proofErr w:type="spellEnd"/>
      <w:r>
        <w:t xml:space="preserve"> ND, Wickham JD (2011) National land cover database for the conterminous United States. </w:t>
      </w:r>
      <w:r w:rsidRPr="00A226B5">
        <w:rPr>
          <w:i/>
        </w:rPr>
        <w:t>PE&amp;RS 77</w:t>
      </w:r>
      <w:r>
        <w:t>(9):859–864.</w:t>
      </w:r>
    </w:p>
    <w:p w:rsidR="004559AB" w:rsidRDefault="004559AB" w:rsidP="004559AB">
      <w:pPr>
        <w:spacing w:line="240" w:lineRule="auto"/>
        <w:ind w:left="360" w:hanging="360"/>
      </w:pPr>
    </w:p>
    <w:p w:rsidR="004559AB" w:rsidRPr="001D7C5B" w:rsidRDefault="004559AB" w:rsidP="004559AB">
      <w:pPr>
        <w:spacing w:line="240" w:lineRule="auto"/>
        <w:ind w:left="360" w:hanging="360"/>
      </w:pPr>
      <w:proofErr w:type="spellStart"/>
      <w:r>
        <w:lastRenderedPageBreak/>
        <w:t>Franczyk</w:t>
      </w:r>
      <w:proofErr w:type="spellEnd"/>
      <w:r>
        <w:t xml:space="preserve">, J., H. Chang.  2009.  The effects of climate change and urbanization on the runoff of the Rock Creek basin in the Portland metropolitan area, Oregon USA.  </w:t>
      </w:r>
      <w:proofErr w:type="spellStart"/>
      <w:proofErr w:type="gramStart"/>
      <w:r>
        <w:rPr>
          <w:i/>
        </w:rPr>
        <w:t>Hydrol</w:t>
      </w:r>
      <w:proofErr w:type="spellEnd"/>
      <w:r>
        <w:rPr>
          <w:i/>
        </w:rPr>
        <w:t>.</w:t>
      </w:r>
      <w:proofErr w:type="gramEnd"/>
      <w:r>
        <w:rPr>
          <w:i/>
        </w:rPr>
        <w:t xml:space="preserve"> Process</w:t>
      </w:r>
      <w:r>
        <w:t xml:space="preserve"> 23:  805-815.  </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Garen</w:t>
      </w:r>
      <w:proofErr w:type="spellEnd"/>
      <w:r>
        <w:t xml:space="preserve">, D.C., D.S. Moore.  2005.  Curve number hydrology in water quality modeling:  Uses, abuses, and future directions.  </w:t>
      </w:r>
      <w:r w:rsidRPr="002870F6">
        <w:rPr>
          <w:i/>
        </w:rPr>
        <w:t>JAWR</w:t>
      </w:r>
      <w:r>
        <w:rPr>
          <w:i/>
        </w:rPr>
        <w:t xml:space="preserve">A </w:t>
      </w:r>
      <w:r>
        <w:t>41 (2): 337-388.</w:t>
      </w:r>
    </w:p>
    <w:p w:rsidR="004559AB" w:rsidRDefault="004559AB" w:rsidP="004559AB">
      <w:pPr>
        <w:spacing w:line="240" w:lineRule="auto"/>
        <w:ind w:left="360" w:hanging="360"/>
      </w:pPr>
    </w:p>
    <w:p w:rsidR="004559AB" w:rsidRDefault="004559AB" w:rsidP="004559AB">
      <w:pPr>
        <w:spacing w:line="240" w:lineRule="auto"/>
        <w:ind w:left="360" w:hanging="360"/>
      </w:pPr>
      <w:r>
        <w:t xml:space="preserve">Green WH, </w:t>
      </w:r>
      <w:proofErr w:type="spellStart"/>
      <w:r>
        <w:t>Ampt</w:t>
      </w:r>
      <w:proofErr w:type="spellEnd"/>
      <w:r>
        <w:t xml:space="preserve"> GA (1911) Studies on soil physics, 1. </w:t>
      </w:r>
      <w:proofErr w:type="gramStart"/>
      <w:r>
        <w:t>The flow of air and water through soils.</w:t>
      </w:r>
      <w:proofErr w:type="gramEnd"/>
      <w:r>
        <w:t xml:space="preserve"> J </w:t>
      </w:r>
      <w:proofErr w:type="spellStart"/>
      <w:r>
        <w:t>Agri</w:t>
      </w:r>
      <w:proofErr w:type="spellEnd"/>
      <w:r>
        <w:t xml:space="preserve"> </w:t>
      </w:r>
      <w:proofErr w:type="spellStart"/>
      <w:r>
        <w:t>Sci</w:t>
      </w:r>
      <w:proofErr w:type="spellEnd"/>
      <w:r>
        <w:t xml:space="preserve"> 4:11-24.</w:t>
      </w:r>
    </w:p>
    <w:p w:rsidR="004559AB" w:rsidRDefault="004559AB" w:rsidP="004559AB">
      <w:pPr>
        <w:spacing w:line="240" w:lineRule="auto"/>
        <w:ind w:left="360" w:hanging="360"/>
      </w:pPr>
    </w:p>
    <w:p w:rsidR="004559AB" w:rsidRPr="001D7C5B" w:rsidRDefault="004559AB" w:rsidP="004559AB">
      <w:pPr>
        <w:spacing w:line="240" w:lineRule="auto"/>
        <w:ind w:left="360" w:hanging="360"/>
      </w:pPr>
      <w:proofErr w:type="gramStart"/>
      <w:r>
        <w:t xml:space="preserve">Hamlet, A.F., D.P. </w:t>
      </w:r>
      <w:proofErr w:type="spellStart"/>
      <w:r>
        <w:t>Lettenmaier</w:t>
      </w:r>
      <w:proofErr w:type="spellEnd"/>
      <w:r>
        <w:t>.</w:t>
      </w:r>
      <w:proofErr w:type="gramEnd"/>
      <w:r>
        <w:t xml:space="preserve">  1999.  Effects of climate change on hydrology and water resources in the Columbia River Basin.  </w:t>
      </w:r>
      <w:r>
        <w:rPr>
          <w:i/>
        </w:rPr>
        <w:t>JAWRA</w:t>
      </w:r>
      <w:r>
        <w:t xml:space="preserve"> 35 (6): 1597-1623.</w:t>
      </w:r>
    </w:p>
    <w:p w:rsidR="004559AB" w:rsidRDefault="004559AB" w:rsidP="004559AB">
      <w:pPr>
        <w:spacing w:line="240" w:lineRule="auto"/>
      </w:pPr>
    </w:p>
    <w:p w:rsidR="004559AB" w:rsidRDefault="004559AB" w:rsidP="004559AB">
      <w:pPr>
        <w:spacing w:line="240" w:lineRule="auto"/>
        <w:ind w:left="360" w:hanging="360"/>
      </w:pPr>
      <w:r>
        <w:t xml:space="preserve">Hernandez M, </w:t>
      </w:r>
      <w:proofErr w:type="spellStart"/>
      <w:r>
        <w:t>Kepner</w:t>
      </w:r>
      <w:proofErr w:type="spellEnd"/>
      <w:r>
        <w:t xml:space="preserve"> WG, Goodrich DC, </w:t>
      </w:r>
      <w:proofErr w:type="spellStart"/>
      <w:r>
        <w:t>Semmens</w:t>
      </w:r>
      <w:proofErr w:type="spellEnd"/>
      <w:r>
        <w:t xml:space="preserve"> DJ (2010) </w:t>
      </w:r>
      <w:proofErr w:type="gramStart"/>
      <w:r>
        <w:t>The</w:t>
      </w:r>
      <w:proofErr w:type="gramEnd"/>
      <w:r>
        <w:t xml:space="preserve"> use of scenario analysis to assess water ecosystem services in response to future land use change in the </w:t>
      </w:r>
      <w:proofErr w:type="spellStart"/>
      <w:r>
        <w:t>willamette</w:t>
      </w:r>
      <w:proofErr w:type="spellEnd"/>
      <w:r>
        <w:t xml:space="preserve"> river basin, Oregon.  In: </w:t>
      </w:r>
      <w:proofErr w:type="spellStart"/>
      <w:r>
        <w:t>Liotta</w:t>
      </w:r>
      <w:proofErr w:type="spellEnd"/>
      <w:r>
        <w:t xml:space="preserve"> W, </w:t>
      </w:r>
      <w:proofErr w:type="spellStart"/>
      <w:r>
        <w:t>Kepner</w:t>
      </w:r>
      <w:proofErr w:type="spellEnd"/>
      <w:r>
        <w:t xml:space="preserve"> JL, </w:t>
      </w:r>
      <w:proofErr w:type="spellStart"/>
      <w:r>
        <w:t>Mouat</w:t>
      </w:r>
      <w:proofErr w:type="spellEnd"/>
      <w:r>
        <w:t xml:space="preserve"> D (</w:t>
      </w:r>
      <w:proofErr w:type="spellStart"/>
      <w:proofErr w:type="gramStart"/>
      <w:r>
        <w:t>eds</w:t>
      </w:r>
      <w:proofErr w:type="spellEnd"/>
      <w:proofErr w:type="gramEnd"/>
      <w:r>
        <w:t>) Achieving environmental security: Ecosystem services and human welfare. IOS Press, Amsterdam, Netherlands, 69:265-268.</w:t>
      </w:r>
    </w:p>
    <w:p w:rsidR="004559AB" w:rsidRDefault="004559AB" w:rsidP="004559AB">
      <w:pPr>
        <w:spacing w:line="240" w:lineRule="auto"/>
      </w:pPr>
    </w:p>
    <w:p w:rsidR="00ED6ABB" w:rsidRDefault="00ED6ABB" w:rsidP="00ED6ABB">
      <w:pPr>
        <w:spacing w:line="240" w:lineRule="auto"/>
        <w:ind w:left="360" w:hanging="360"/>
      </w:pPr>
      <w:proofErr w:type="spellStart"/>
      <w:proofErr w:type="gramStart"/>
      <w:r>
        <w:t>Kannan</w:t>
      </w:r>
      <w:proofErr w:type="spellEnd"/>
      <w:r>
        <w:t>, N. 2012.</w:t>
      </w:r>
      <w:proofErr w:type="gramEnd"/>
      <w:r>
        <w:t xml:space="preserve"> SWAT modeling of the Arroyo Colorado Watershed.  </w:t>
      </w:r>
      <w:proofErr w:type="gramStart"/>
      <w:r>
        <w:t>Technical Report No. 4262.</w:t>
      </w:r>
      <w:proofErr w:type="gramEnd"/>
      <w:r>
        <w:t xml:space="preserve"> </w:t>
      </w:r>
      <w:proofErr w:type="gramStart"/>
      <w:r>
        <w:t>Texas Water Resources Institute, Temple, TX.</w:t>
      </w:r>
      <w:proofErr w:type="gramEnd"/>
    </w:p>
    <w:p w:rsidR="00ED6ABB" w:rsidRDefault="00ED6ABB" w:rsidP="004559AB">
      <w:pPr>
        <w:spacing w:line="240" w:lineRule="auto"/>
      </w:pPr>
    </w:p>
    <w:p w:rsidR="004559AB" w:rsidRDefault="004559AB" w:rsidP="004559AB">
      <w:pPr>
        <w:spacing w:line="240" w:lineRule="auto"/>
        <w:ind w:left="360" w:hanging="360"/>
      </w:pPr>
      <w:proofErr w:type="spellStart"/>
      <w:r>
        <w:t>Kremen</w:t>
      </w:r>
      <w:proofErr w:type="spellEnd"/>
      <w:r>
        <w:t xml:space="preserve">, C., R.S. </w:t>
      </w:r>
      <w:proofErr w:type="spellStart"/>
      <w:r>
        <w:t>Ostfeld</w:t>
      </w:r>
      <w:proofErr w:type="spellEnd"/>
      <w:r>
        <w:t xml:space="preserve">.  2005.  A call to ecologists: Measuring, analyzing, and managing ecosystem services.  Front </w:t>
      </w:r>
      <w:proofErr w:type="spellStart"/>
      <w:r>
        <w:t>Ecol</w:t>
      </w:r>
      <w:proofErr w:type="spellEnd"/>
      <w:r>
        <w:t xml:space="preserve"> Environ 3(10): 540-548. </w:t>
      </w:r>
    </w:p>
    <w:p w:rsidR="004559AB" w:rsidRDefault="004559AB" w:rsidP="004559AB">
      <w:pPr>
        <w:spacing w:line="240" w:lineRule="auto"/>
        <w:ind w:left="360" w:hanging="360"/>
      </w:pPr>
    </w:p>
    <w:p w:rsidR="004559AB" w:rsidRDefault="004559AB" w:rsidP="004559AB">
      <w:pPr>
        <w:spacing w:line="240" w:lineRule="auto"/>
        <w:ind w:left="360" w:hanging="360"/>
      </w:pPr>
      <w:r>
        <w:t xml:space="preserve">Liang X, </w:t>
      </w:r>
      <w:proofErr w:type="spellStart"/>
      <w:r>
        <w:t>Lettenmaier</w:t>
      </w:r>
      <w:proofErr w:type="spellEnd"/>
      <w:r>
        <w:t xml:space="preserve"> DP, Wood EF, Burges SJ (1994) </w:t>
      </w:r>
      <w:proofErr w:type="gramStart"/>
      <w:r>
        <w:t>A</w:t>
      </w:r>
      <w:proofErr w:type="gramEnd"/>
      <w:r>
        <w:t xml:space="preserve"> simple </w:t>
      </w:r>
      <w:proofErr w:type="spellStart"/>
      <w:r>
        <w:t>hydrologically</w:t>
      </w:r>
      <w:proofErr w:type="spellEnd"/>
      <w:r>
        <w:t xml:space="preserve"> based model of land surface water and energy fluxes for GSMs. </w:t>
      </w:r>
      <w:proofErr w:type="spellStart"/>
      <w:r>
        <w:t>Geophys</w:t>
      </w:r>
      <w:proofErr w:type="spellEnd"/>
      <w:r>
        <w:t xml:space="preserve"> Res 99(D7):14,415-14,428. </w:t>
      </w:r>
    </w:p>
    <w:p w:rsidR="004559AB" w:rsidRDefault="004559AB" w:rsidP="004559AB">
      <w:pPr>
        <w:spacing w:line="240" w:lineRule="auto"/>
        <w:ind w:left="360" w:hanging="360"/>
      </w:pPr>
    </w:p>
    <w:p w:rsidR="004559AB" w:rsidRDefault="004559AB" w:rsidP="004559AB">
      <w:pPr>
        <w:spacing w:line="240" w:lineRule="auto"/>
        <w:ind w:left="360" w:hanging="360"/>
      </w:pPr>
      <w:r>
        <w:t xml:space="preserve">Logsdon, R.A., I. </w:t>
      </w:r>
      <w:proofErr w:type="spellStart"/>
      <w:r>
        <w:t>Chaubey</w:t>
      </w:r>
      <w:proofErr w:type="spellEnd"/>
      <w:r>
        <w:t xml:space="preserve">.  2013.  A quantitative approach to evaluating ecosystem services.  </w:t>
      </w:r>
      <w:r w:rsidRPr="00302390">
        <w:rPr>
          <w:i/>
        </w:rPr>
        <w:t>Ecological Modelling</w:t>
      </w:r>
      <w:r>
        <w:t xml:space="preserve"> 257:  57-65. </w:t>
      </w:r>
    </w:p>
    <w:p w:rsidR="004559AB" w:rsidRDefault="004559AB" w:rsidP="004559AB">
      <w:pPr>
        <w:spacing w:line="240" w:lineRule="auto"/>
        <w:ind w:left="360" w:hanging="360"/>
      </w:pPr>
    </w:p>
    <w:p w:rsidR="004559AB" w:rsidRDefault="004559AB" w:rsidP="004559AB">
      <w:pPr>
        <w:spacing w:line="240" w:lineRule="auto"/>
        <w:ind w:left="360" w:hanging="360"/>
      </w:pPr>
      <w:r>
        <w:t>Millennium Ecosystem Assessment Report (MA) (2005) Ecosystems and human well-being: Wetlands and water synthesis. World Resources Institute, Washington DC.</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Moriasi</w:t>
      </w:r>
      <w:proofErr w:type="spellEnd"/>
      <w:r>
        <w:t xml:space="preserve">, DN, Arnold JG, Van </w:t>
      </w:r>
      <w:proofErr w:type="spellStart"/>
      <w:r>
        <w:t>LIew</w:t>
      </w:r>
      <w:proofErr w:type="spellEnd"/>
      <w:r>
        <w:t xml:space="preserve"> MW, </w:t>
      </w:r>
      <w:proofErr w:type="spellStart"/>
      <w:r>
        <w:t>Bingner</w:t>
      </w:r>
      <w:proofErr w:type="spellEnd"/>
      <w:r>
        <w:t xml:space="preserve"> RL, </w:t>
      </w:r>
      <w:proofErr w:type="spellStart"/>
      <w:r>
        <w:t>Harmel</w:t>
      </w:r>
      <w:proofErr w:type="spellEnd"/>
      <w:r>
        <w:t xml:space="preserve"> RD, </w:t>
      </w:r>
      <w:proofErr w:type="spellStart"/>
      <w:r>
        <w:t>Veith</w:t>
      </w:r>
      <w:proofErr w:type="spellEnd"/>
      <w:r>
        <w:t xml:space="preserve"> TL (2007)  Model evaluation guidelines for systematic quantification of accuracy in watershed simulations. Trans of the ASABE 50(3):885-900.</w:t>
      </w:r>
    </w:p>
    <w:p w:rsidR="004559AB" w:rsidRDefault="004559AB" w:rsidP="004559AB">
      <w:pPr>
        <w:spacing w:line="240" w:lineRule="auto"/>
        <w:ind w:left="360" w:hanging="360"/>
      </w:pPr>
    </w:p>
    <w:p w:rsidR="004559AB" w:rsidRPr="00D6391A" w:rsidRDefault="004559AB" w:rsidP="004559AB">
      <w:pPr>
        <w:spacing w:line="240" w:lineRule="auto"/>
        <w:ind w:left="360" w:hanging="360"/>
        <w:jc w:val="both"/>
      </w:pPr>
      <w:proofErr w:type="spellStart"/>
      <w:r>
        <w:t>Moriasi</w:t>
      </w:r>
      <w:proofErr w:type="spellEnd"/>
      <w:r>
        <w:t xml:space="preserve">, D.N., J.L. Steiner, J.G. Arnold.  2011.  Sediment measurement and transport modeling:  Impact of riparian and filter strip buffers.  </w:t>
      </w:r>
      <w:r>
        <w:rPr>
          <w:i/>
        </w:rPr>
        <w:t xml:space="preserve">J. Environ. Qual. </w:t>
      </w:r>
      <w:r>
        <w:t>40: 807-814.</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Mukundan</w:t>
      </w:r>
      <w:proofErr w:type="spellEnd"/>
      <w:r>
        <w:t xml:space="preserve"> R, Radcliffe DE, </w:t>
      </w:r>
      <w:proofErr w:type="spellStart"/>
      <w:r>
        <w:t>Risse</w:t>
      </w:r>
      <w:proofErr w:type="spellEnd"/>
      <w:r>
        <w:t xml:space="preserve"> LM (2010) </w:t>
      </w:r>
      <w:proofErr w:type="gramStart"/>
      <w:r>
        <w:t>Spatial</w:t>
      </w:r>
      <w:proofErr w:type="gramEnd"/>
      <w:r>
        <w:t xml:space="preserve"> resolution of soil data and channel erosion effects on SWAT model predictions of flow and sediment. Jour Sol </w:t>
      </w:r>
      <w:proofErr w:type="spellStart"/>
      <w:r>
        <w:t>Wat</w:t>
      </w:r>
      <w:proofErr w:type="spellEnd"/>
      <w:r>
        <w:t xml:space="preserve"> Cons 65(2):92–104</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Neitsch</w:t>
      </w:r>
      <w:proofErr w:type="spellEnd"/>
      <w:r>
        <w:t xml:space="preserve">, S.L., J.G. Arnold, J.R. </w:t>
      </w:r>
      <w:proofErr w:type="spellStart"/>
      <w:r>
        <w:t>Kiniry</w:t>
      </w:r>
      <w:proofErr w:type="spellEnd"/>
      <w:r>
        <w:t xml:space="preserve">, J.R. Williams.  2011.  Soil and Water Assessment Tool Theoretical Documentation Version 2009.  Texas Water Resources Institute Technical Report No. 406.  </w:t>
      </w:r>
    </w:p>
    <w:p w:rsidR="004559AB" w:rsidRDefault="004559AB" w:rsidP="004559AB">
      <w:pPr>
        <w:spacing w:line="240" w:lineRule="auto"/>
        <w:ind w:left="360" w:hanging="360"/>
      </w:pPr>
    </w:p>
    <w:p w:rsidR="004559AB" w:rsidRDefault="004559AB" w:rsidP="004559AB">
      <w:pPr>
        <w:spacing w:line="240" w:lineRule="auto"/>
        <w:ind w:left="360" w:hanging="360"/>
      </w:pPr>
      <w:proofErr w:type="gramStart"/>
      <w:r>
        <w:t>NHD Plus 2006.</w:t>
      </w:r>
      <w:proofErr w:type="gramEnd"/>
      <w:r>
        <w:t xml:space="preserve">  </w:t>
      </w:r>
      <w:proofErr w:type="spellStart"/>
      <w:proofErr w:type="gramStart"/>
      <w:r>
        <w:t>NHDPlus</w:t>
      </w:r>
      <w:proofErr w:type="spellEnd"/>
      <w:r>
        <w:t xml:space="preserve"> User Guide</w:t>
      </w:r>
      <w:r w:rsidRPr="006F33B4">
        <w:t xml:space="preserve"> </w:t>
      </w:r>
      <w:hyperlink r:id="rId19" w:history="1">
        <w:r w:rsidRPr="006F33B4">
          <w:rPr>
            <w:rStyle w:val="Hyperlink"/>
          </w:rPr>
          <w:t>http://www.fws.gov/r5gomp/gom/nhd-gom/NHDPLUS_UserGuide.pdf</w:t>
        </w:r>
      </w:hyperlink>
      <w:r>
        <w:t>.</w:t>
      </w:r>
      <w:proofErr w:type="gramEnd"/>
      <w:r>
        <w:t xml:space="preserve">  Last accessed 3/1/2013.</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lastRenderedPageBreak/>
        <w:t>Niraula</w:t>
      </w:r>
      <w:proofErr w:type="spellEnd"/>
      <w:r>
        <w:t xml:space="preserve"> R, </w:t>
      </w:r>
      <w:proofErr w:type="spellStart"/>
      <w:r>
        <w:t>Kalin</w:t>
      </w:r>
      <w:proofErr w:type="spellEnd"/>
      <w:r>
        <w:t xml:space="preserve"> L, Srivastava P, Anderson CJ (2013) Identifying critical source areas of nonpoint source pollution with SWAT and GWLF. </w:t>
      </w:r>
      <w:proofErr w:type="spellStart"/>
      <w:r>
        <w:t>Ecol</w:t>
      </w:r>
      <w:proofErr w:type="spellEnd"/>
      <w:r>
        <w:t xml:space="preserve"> Modelling 268:123-133.</w:t>
      </w:r>
    </w:p>
    <w:p w:rsidR="004559AB" w:rsidRDefault="004559AB" w:rsidP="004559AB">
      <w:pPr>
        <w:spacing w:line="240" w:lineRule="auto"/>
        <w:ind w:left="360" w:hanging="360"/>
      </w:pPr>
    </w:p>
    <w:p w:rsidR="004559AB" w:rsidRDefault="004559AB" w:rsidP="004559AB">
      <w:pPr>
        <w:spacing w:line="240" w:lineRule="auto"/>
        <w:ind w:left="360" w:hanging="360"/>
      </w:pPr>
      <w:r>
        <w:t xml:space="preserve">Norman LM, Villarreal ML, </w:t>
      </w:r>
      <w:proofErr w:type="spellStart"/>
      <w:r>
        <w:t>Niraula</w:t>
      </w:r>
      <w:proofErr w:type="spellEnd"/>
      <w:r>
        <w:t xml:space="preserve"> R, </w:t>
      </w:r>
      <w:proofErr w:type="spellStart"/>
      <w:r>
        <w:t>Meixner</w:t>
      </w:r>
      <w:proofErr w:type="spellEnd"/>
      <w:r>
        <w:t xml:space="preserve"> T, </w:t>
      </w:r>
      <w:proofErr w:type="spellStart"/>
      <w:r>
        <w:t>Frisvold</w:t>
      </w:r>
      <w:proofErr w:type="spellEnd"/>
      <w:r>
        <w:t xml:space="preserve"> G, </w:t>
      </w:r>
      <w:proofErr w:type="spellStart"/>
      <w:r>
        <w:t>Labiosa</w:t>
      </w:r>
      <w:proofErr w:type="spellEnd"/>
      <w:r>
        <w:t xml:space="preserve"> W (2013) Framing scenarios of binational water policy with a tool to visualize, quantify and valuate changes in ecosystem services. Water 5:582-874.</w:t>
      </w:r>
    </w:p>
    <w:p w:rsidR="004559AB" w:rsidRDefault="004559AB" w:rsidP="004559AB">
      <w:pPr>
        <w:spacing w:line="240" w:lineRule="auto"/>
        <w:ind w:left="360" w:hanging="360"/>
      </w:pPr>
    </w:p>
    <w:p w:rsidR="004559AB" w:rsidRDefault="004559AB" w:rsidP="004559AB">
      <w:pPr>
        <w:spacing w:line="240" w:lineRule="auto"/>
        <w:ind w:left="360" w:hanging="360"/>
      </w:pPr>
      <w:proofErr w:type="gramStart"/>
      <w:r>
        <w:t>Oregon Department of Environmental Quality (ODEQ) 2001.</w:t>
      </w:r>
      <w:proofErr w:type="gramEnd"/>
      <w:r>
        <w:t xml:space="preserve">  Tualatin </w:t>
      </w:r>
      <w:proofErr w:type="spellStart"/>
      <w:r>
        <w:t>Subbasin</w:t>
      </w:r>
      <w:proofErr w:type="spellEnd"/>
      <w:r>
        <w:t xml:space="preserve"> Total maximum Daily Load (TMDL):  </w:t>
      </w:r>
      <w:hyperlink r:id="rId20" w:history="1">
        <w:r w:rsidRPr="002F158A">
          <w:rPr>
            <w:rStyle w:val="Hyperlink"/>
          </w:rPr>
          <w:t>http://www.deq.state.or.us/wq/tmdls/docs/willamettebasin/tualatin/tmdlwqmp.pdf</w:t>
        </w:r>
      </w:hyperlink>
      <w:r>
        <w:t>.  Last accessed 3/1/2013.</w:t>
      </w:r>
    </w:p>
    <w:p w:rsidR="004559AB" w:rsidRDefault="004559AB" w:rsidP="004559AB">
      <w:pPr>
        <w:spacing w:line="240" w:lineRule="auto"/>
        <w:ind w:left="360" w:hanging="360"/>
      </w:pPr>
    </w:p>
    <w:p w:rsidR="004559AB" w:rsidRPr="00D6391A" w:rsidRDefault="004559AB" w:rsidP="004559AB">
      <w:pPr>
        <w:spacing w:line="240" w:lineRule="auto"/>
        <w:ind w:left="360" w:hanging="360"/>
      </w:pPr>
      <w:proofErr w:type="spellStart"/>
      <w:proofErr w:type="gramStart"/>
      <w:r>
        <w:t>Praskievicz</w:t>
      </w:r>
      <w:proofErr w:type="spellEnd"/>
      <w:r>
        <w:t>, S. and H. Chang.</w:t>
      </w:r>
      <w:proofErr w:type="gramEnd"/>
      <w:r>
        <w:t xml:space="preserve">  2011.  Impacts of climate change and urban development on water resources in the Tualatin river basin, Oregon.  </w:t>
      </w:r>
      <w:r>
        <w:rPr>
          <w:i/>
        </w:rPr>
        <w:t>Annals of the Association of American Geographers</w:t>
      </w:r>
      <w:r>
        <w:t xml:space="preserve"> 10 (2): 249-271.  </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Rabotyagov</w:t>
      </w:r>
      <w:proofErr w:type="spellEnd"/>
      <w:r>
        <w:t xml:space="preserve">, S, Campbell T, </w:t>
      </w:r>
      <w:proofErr w:type="spellStart"/>
      <w:r>
        <w:t>Jha</w:t>
      </w:r>
      <w:proofErr w:type="spellEnd"/>
      <w:r>
        <w:t xml:space="preserve"> M, </w:t>
      </w:r>
      <w:proofErr w:type="spellStart"/>
      <w:r>
        <w:t>Gassman</w:t>
      </w:r>
      <w:proofErr w:type="spellEnd"/>
      <w:r>
        <w:t xml:space="preserve"> PW, Arnold J, </w:t>
      </w:r>
      <w:proofErr w:type="spellStart"/>
      <w:r>
        <w:t>Kurkalova</w:t>
      </w:r>
      <w:proofErr w:type="spellEnd"/>
      <w:r>
        <w:t xml:space="preserve"> L, </w:t>
      </w:r>
      <w:proofErr w:type="spellStart"/>
      <w:r>
        <w:t>Secchi</w:t>
      </w:r>
      <w:proofErr w:type="spellEnd"/>
      <w:r>
        <w:t xml:space="preserve"> S, Feng H, Kling CL (2010) Least-cost control of agricultural nutrient contributions to the Gulf of Mexico hypoxic zone. </w:t>
      </w:r>
      <w:proofErr w:type="spellStart"/>
      <w:r>
        <w:t>Ecol</w:t>
      </w:r>
      <w:proofErr w:type="spellEnd"/>
      <w:r>
        <w:t xml:space="preserve"> App 20(6):1542-1555.</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Runkel</w:t>
      </w:r>
      <w:proofErr w:type="spellEnd"/>
      <w:r>
        <w:t xml:space="preserve"> RL, Crawford CG, Cohn TA (2004) Load estimator (LOADEST): A FORTRAN program for estimating constituent loads in streams and rivers.  Techniques and Methods Book 4, Chapter A5, USGS, Reston, VA.</w:t>
      </w:r>
    </w:p>
    <w:p w:rsidR="004559AB" w:rsidRDefault="004559AB" w:rsidP="004559AB">
      <w:pPr>
        <w:spacing w:line="240" w:lineRule="auto"/>
        <w:ind w:left="360" w:hanging="360"/>
      </w:pPr>
    </w:p>
    <w:p w:rsidR="004559AB" w:rsidRDefault="004559AB" w:rsidP="004559AB">
      <w:pPr>
        <w:spacing w:line="240" w:lineRule="auto"/>
        <w:ind w:left="360" w:hanging="360"/>
      </w:pPr>
      <w:r>
        <w:t xml:space="preserve">Shivers DE, </w:t>
      </w:r>
      <w:proofErr w:type="spellStart"/>
      <w:r>
        <w:t>Moglen</w:t>
      </w:r>
      <w:proofErr w:type="spellEnd"/>
      <w:r>
        <w:t xml:space="preserve"> GE (2008) </w:t>
      </w:r>
      <w:proofErr w:type="gramStart"/>
      <w:r>
        <w:t>Spurious</w:t>
      </w:r>
      <w:proofErr w:type="gramEnd"/>
      <w:r>
        <w:t xml:space="preserve"> correlation in the USEPA rating curve method for estimating pollutant loads.  J Environ </w:t>
      </w:r>
      <w:proofErr w:type="spellStart"/>
      <w:r>
        <w:t>Eng</w:t>
      </w:r>
      <w:proofErr w:type="spellEnd"/>
      <w:r>
        <w:t xml:space="preserve"> 134:610–618.</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proofErr w:type="gramStart"/>
      <w:r>
        <w:t>Sobieszczyk</w:t>
      </w:r>
      <w:proofErr w:type="spellEnd"/>
      <w:r>
        <w:t>, S (2012) Annotated Bibliography – Tualatin river basin studies.</w:t>
      </w:r>
      <w:proofErr w:type="gramEnd"/>
      <w:r>
        <w:t xml:space="preserve">  </w:t>
      </w:r>
      <w:proofErr w:type="gramStart"/>
      <w:r>
        <w:t>USGS.</w:t>
      </w:r>
      <w:proofErr w:type="gramEnd"/>
      <w:r>
        <w:t xml:space="preserve">  </w:t>
      </w:r>
      <w:hyperlink r:id="rId21" w:history="1">
        <w:r>
          <w:rPr>
            <w:rStyle w:val="Hyperlink"/>
          </w:rPr>
          <w:t>http://or.water.usgs.gov/tualatin/</w:t>
        </w:r>
      </w:hyperlink>
    </w:p>
    <w:p w:rsidR="004559AB" w:rsidRDefault="004559AB" w:rsidP="004559AB">
      <w:pPr>
        <w:spacing w:line="240" w:lineRule="auto"/>
        <w:ind w:left="360" w:hanging="360"/>
      </w:pPr>
    </w:p>
    <w:p w:rsidR="004559AB" w:rsidRDefault="004559AB" w:rsidP="004559AB">
      <w:pPr>
        <w:spacing w:line="240" w:lineRule="auto"/>
        <w:ind w:left="360" w:hanging="360"/>
      </w:pPr>
      <w:r>
        <w:t xml:space="preserve">Soil Conservation Service (1972) Section 4: Hydrology </w:t>
      </w:r>
      <w:proofErr w:type="gramStart"/>
      <w:r>
        <w:t>In</w:t>
      </w:r>
      <w:proofErr w:type="gramEnd"/>
      <w:r>
        <w:t xml:space="preserve"> National Engineering Handbook. </w:t>
      </w:r>
      <w:proofErr w:type="gramStart"/>
      <w:r>
        <w:t>SCS.</w:t>
      </w:r>
      <w:proofErr w:type="gramEnd"/>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Tallis</w:t>
      </w:r>
      <w:proofErr w:type="spellEnd"/>
      <w:r>
        <w:t xml:space="preserve"> P, </w:t>
      </w:r>
      <w:proofErr w:type="spellStart"/>
      <w:r>
        <w:t>Polasky</w:t>
      </w:r>
      <w:proofErr w:type="spellEnd"/>
      <w:r>
        <w:t xml:space="preserve"> S (2009) Mapping and </w:t>
      </w:r>
      <w:proofErr w:type="spellStart"/>
      <w:r>
        <w:t>valueing</w:t>
      </w:r>
      <w:proofErr w:type="spellEnd"/>
      <w:r>
        <w:t xml:space="preserve"> ecosystem services as an approach for conservation and natural-resource management. Ann NY </w:t>
      </w:r>
      <w:proofErr w:type="spellStart"/>
      <w:r>
        <w:t>Acad</w:t>
      </w:r>
      <w:proofErr w:type="spellEnd"/>
      <w:r>
        <w:t xml:space="preserve"> </w:t>
      </w:r>
      <w:proofErr w:type="spellStart"/>
      <w:r>
        <w:t>Sci</w:t>
      </w:r>
      <w:proofErr w:type="spellEnd"/>
      <w:r>
        <w:t xml:space="preserve"> 1162:265-283. </w:t>
      </w:r>
    </w:p>
    <w:p w:rsidR="004559AB" w:rsidRDefault="004559AB" w:rsidP="004559AB">
      <w:pPr>
        <w:spacing w:line="240" w:lineRule="auto"/>
        <w:ind w:left="360" w:hanging="360"/>
      </w:pPr>
    </w:p>
    <w:p w:rsidR="004559AB" w:rsidRDefault="004559AB" w:rsidP="004559AB">
      <w:pPr>
        <w:spacing w:line="240" w:lineRule="auto"/>
        <w:ind w:left="360" w:hanging="360"/>
      </w:pPr>
      <w:r>
        <w:t xml:space="preserve">Quintero M, </w:t>
      </w:r>
      <w:proofErr w:type="spellStart"/>
      <w:r>
        <w:t>Wunder</w:t>
      </w:r>
      <w:proofErr w:type="spellEnd"/>
      <w:r>
        <w:t xml:space="preserve"> S, Estrada RD (2009) </w:t>
      </w:r>
      <w:proofErr w:type="gramStart"/>
      <w:r>
        <w:t>For</w:t>
      </w:r>
      <w:proofErr w:type="gramEnd"/>
      <w:r>
        <w:t xml:space="preserve"> services rendered? </w:t>
      </w:r>
      <w:proofErr w:type="gramStart"/>
      <w:r>
        <w:t>Modeling hydrology and livelihoods in Andean payments for environmental services schemes.</w:t>
      </w:r>
      <w:proofErr w:type="gramEnd"/>
      <w:r>
        <w:t xml:space="preserve"> Forest </w:t>
      </w:r>
      <w:proofErr w:type="spellStart"/>
      <w:r>
        <w:t>Ecol</w:t>
      </w:r>
      <w:proofErr w:type="spellEnd"/>
      <w:r>
        <w:t xml:space="preserve"> Manage: 1-10.</w:t>
      </w:r>
    </w:p>
    <w:p w:rsidR="004559AB" w:rsidRDefault="004559AB" w:rsidP="004559AB">
      <w:pPr>
        <w:spacing w:line="240" w:lineRule="auto"/>
        <w:ind w:left="360" w:hanging="360"/>
      </w:pPr>
    </w:p>
    <w:p w:rsidR="004559AB" w:rsidRDefault="004559AB" w:rsidP="004559AB">
      <w:pPr>
        <w:spacing w:line="240" w:lineRule="auto"/>
        <w:ind w:left="360" w:hanging="360"/>
      </w:pPr>
      <w:proofErr w:type="spellStart"/>
      <w:r>
        <w:t>Vigerstol</w:t>
      </w:r>
      <w:proofErr w:type="spellEnd"/>
      <w:r>
        <w:t xml:space="preserve">, K.L., J.E. </w:t>
      </w:r>
      <w:proofErr w:type="spellStart"/>
      <w:r>
        <w:t>Aukema</w:t>
      </w:r>
      <w:proofErr w:type="spellEnd"/>
      <w:r>
        <w:t xml:space="preserve">. 2011.  A comparison of tools for modeling freshwater ecosystem services.  </w:t>
      </w:r>
      <w:r w:rsidRPr="00302390">
        <w:rPr>
          <w:i/>
        </w:rPr>
        <w:t>Journal of Environmental Management</w:t>
      </w:r>
      <w:r>
        <w:t xml:space="preserve"> 92(2011):  2403-2409.  </w:t>
      </w:r>
    </w:p>
    <w:p w:rsidR="004559AB" w:rsidRDefault="004559AB" w:rsidP="004559AB">
      <w:pPr>
        <w:spacing w:line="240" w:lineRule="auto"/>
        <w:ind w:left="360" w:hanging="360"/>
      </w:pPr>
    </w:p>
    <w:p w:rsidR="004559AB" w:rsidRDefault="004559AB" w:rsidP="004559AB">
      <w:pPr>
        <w:spacing w:line="240" w:lineRule="auto"/>
        <w:ind w:left="360" w:hanging="360"/>
      </w:pPr>
      <w:proofErr w:type="gramStart"/>
      <w:r>
        <w:t>Williams J (1975) Sediment routing for agricultural watersheds.</w:t>
      </w:r>
      <w:proofErr w:type="gramEnd"/>
      <w:r>
        <w:t xml:space="preserve"> </w:t>
      </w:r>
      <w:proofErr w:type="spellStart"/>
      <w:r>
        <w:t>Wat</w:t>
      </w:r>
      <w:proofErr w:type="spellEnd"/>
      <w:r>
        <w:t xml:space="preserve"> Res </w:t>
      </w:r>
      <w:proofErr w:type="spellStart"/>
      <w:r>
        <w:t>Bul</w:t>
      </w:r>
      <w:proofErr w:type="spellEnd"/>
      <w:r>
        <w:t xml:space="preserve"> 11(5):965–974.</w:t>
      </w:r>
    </w:p>
    <w:p w:rsidR="004559AB" w:rsidRDefault="004559AB" w:rsidP="004559AB">
      <w:pPr>
        <w:spacing w:line="240" w:lineRule="auto"/>
        <w:ind w:left="360" w:hanging="360"/>
      </w:pPr>
    </w:p>
    <w:p w:rsidR="004559AB" w:rsidRPr="004D2899" w:rsidRDefault="004559AB" w:rsidP="004559AB">
      <w:pPr>
        <w:spacing w:line="240" w:lineRule="auto"/>
      </w:pPr>
    </w:p>
    <w:p w:rsidR="000C0D7D" w:rsidRDefault="000C0D7D"/>
    <w:sectPr w:rsidR="000C0D7D" w:rsidSect="000C0D7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hangh" w:date="2013-11-05T13:02:00Z" w:initials="c">
    <w:p w:rsidR="00EA5A7E" w:rsidRDefault="00EA5A7E" w:rsidP="004559AB">
      <w:pPr>
        <w:pStyle w:val="CommentText"/>
      </w:pPr>
      <w:r>
        <w:rPr>
          <w:rStyle w:val="CommentReference"/>
        </w:rPr>
        <w:annotationRef/>
      </w:r>
      <w:r>
        <w:t xml:space="preserve">Probably better to include a schematic diagram of SWAT structure.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ani">
    <w:panose1 w:val="020B0502040204020203"/>
    <w:charset w:val="00"/>
    <w:family w:val="swiss"/>
    <w:pitch w:val="variable"/>
    <w:sig w:usb0="002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E86F27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68BB08B8"/>
    <w:multiLevelType w:val="hybridMultilevel"/>
    <w:tmpl w:val="07CA4F86"/>
    <w:lvl w:ilvl="0" w:tplc="DFA07AB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C5A0BAC"/>
    <w:multiLevelType w:val="hybridMultilevel"/>
    <w:tmpl w:val="C1DA5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9AB"/>
    <w:rsid w:val="000015D9"/>
    <w:rsid w:val="00002D72"/>
    <w:rsid w:val="000143F1"/>
    <w:rsid w:val="00014AA8"/>
    <w:rsid w:val="000543A4"/>
    <w:rsid w:val="00072F84"/>
    <w:rsid w:val="00082C49"/>
    <w:rsid w:val="00091FC2"/>
    <w:rsid w:val="000C0D7D"/>
    <w:rsid w:val="00131CE0"/>
    <w:rsid w:val="00135AE8"/>
    <w:rsid w:val="00151631"/>
    <w:rsid w:val="00186C59"/>
    <w:rsid w:val="001B7AE8"/>
    <w:rsid w:val="001F64FE"/>
    <w:rsid w:val="00215F4C"/>
    <w:rsid w:val="00274A2C"/>
    <w:rsid w:val="00285B35"/>
    <w:rsid w:val="0028694F"/>
    <w:rsid w:val="00293826"/>
    <w:rsid w:val="002B019B"/>
    <w:rsid w:val="002E61BF"/>
    <w:rsid w:val="00311CE1"/>
    <w:rsid w:val="00325369"/>
    <w:rsid w:val="0034392A"/>
    <w:rsid w:val="003A50B1"/>
    <w:rsid w:val="003A7EA3"/>
    <w:rsid w:val="003D5807"/>
    <w:rsid w:val="00411D4C"/>
    <w:rsid w:val="004219B0"/>
    <w:rsid w:val="004365CF"/>
    <w:rsid w:val="0044607B"/>
    <w:rsid w:val="004559AB"/>
    <w:rsid w:val="00455A13"/>
    <w:rsid w:val="004B1F45"/>
    <w:rsid w:val="004C65A4"/>
    <w:rsid w:val="00504FDE"/>
    <w:rsid w:val="0051093E"/>
    <w:rsid w:val="005137B3"/>
    <w:rsid w:val="005205E7"/>
    <w:rsid w:val="00570387"/>
    <w:rsid w:val="0059676B"/>
    <w:rsid w:val="005D57F9"/>
    <w:rsid w:val="005F404C"/>
    <w:rsid w:val="00615EAE"/>
    <w:rsid w:val="00656EED"/>
    <w:rsid w:val="00662AA9"/>
    <w:rsid w:val="0066481D"/>
    <w:rsid w:val="00665F8B"/>
    <w:rsid w:val="006809A7"/>
    <w:rsid w:val="006D0C3D"/>
    <w:rsid w:val="007D622C"/>
    <w:rsid w:val="007E1D48"/>
    <w:rsid w:val="007E53F0"/>
    <w:rsid w:val="007F28CB"/>
    <w:rsid w:val="00802394"/>
    <w:rsid w:val="00813633"/>
    <w:rsid w:val="008251BF"/>
    <w:rsid w:val="00831AC2"/>
    <w:rsid w:val="0084662C"/>
    <w:rsid w:val="0087101C"/>
    <w:rsid w:val="008F71A9"/>
    <w:rsid w:val="0096302E"/>
    <w:rsid w:val="00996CB8"/>
    <w:rsid w:val="0099737A"/>
    <w:rsid w:val="009A4D6D"/>
    <w:rsid w:val="009A62DC"/>
    <w:rsid w:val="009D4050"/>
    <w:rsid w:val="009D539F"/>
    <w:rsid w:val="009E4532"/>
    <w:rsid w:val="009E645F"/>
    <w:rsid w:val="009F1392"/>
    <w:rsid w:val="00A00788"/>
    <w:rsid w:val="00A87371"/>
    <w:rsid w:val="00AC6A38"/>
    <w:rsid w:val="00B03679"/>
    <w:rsid w:val="00B067C1"/>
    <w:rsid w:val="00B11105"/>
    <w:rsid w:val="00B16B3B"/>
    <w:rsid w:val="00B21DC2"/>
    <w:rsid w:val="00B479C9"/>
    <w:rsid w:val="00B6779F"/>
    <w:rsid w:val="00B913F7"/>
    <w:rsid w:val="00BB2E84"/>
    <w:rsid w:val="00BB7BAA"/>
    <w:rsid w:val="00BD778E"/>
    <w:rsid w:val="00BE3FDF"/>
    <w:rsid w:val="00C14885"/>
    <w:rsid w:val="00C25E77"/>
    <w:rsid w:val="00C3618F"/>
    <w:rsid w:val="00C87496"/>
    <w:rsid w:val="00CB1565"/>
    <w:rsid w:val="00CC6EB0"/>
    <w:rsid w:val="00CE0510"/>
    <w:rsid w:val="00D129B9"/>
    <w:rsid w:val="00D25BD5"/>
    <w:rsid w:val="00D826A3"/>
    <w:rsid w:val="00E00611"/>
    <w:rsid w:val="00E24484"/>
    <w:rsid w:val="00E34939"/>
    <w:rsid w:val="00E535B6"/>
    <w:rsid w:val="00E627BC"/>
    <w:rsid w:val="00E978DF"/>
    <w:rsid w:val="00EA5A7E"/>
    <w:rsid w:val="00EB3EE0"/>
    <w:rsid w:val="00ED6ABB"/>
    <w:rsid w:val="00EE2C5B"/>
    <w:rsid w:val="00EF0015"/>
    <w:rsid w:val="00EF2CEF"/>
    <w:rsid w:val="00F00A0F"/>
    <w:rsid w:val="00F21359"/>
    <w:rsid w:val="00F22199"/>
    <w:rsid w:val="00F35D93"/>
    <w:rsid w:val="00F44786"/>
    <w:rsid w:val="00F6713B"/>
    <w:rsid w:val="00F84316"/>
    <w:rsid w:val="00F9526A"/>
    <w:rsid w:val="00FB0C95"/>
    <w:rsid w:val="00FB147F"/>
    <w:rsid w:val="00FC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59AB"/>
  </w:style>
  <w:style w:type="paragraph" w:styleId="Heading1">
    <w:name w:val="heading 1"/>
    <w:basedOn w:val="Normal"/>
    <w:next w:val="Normal"/>
    <w:link w:val="Heading1Char"/>
    <w:uiPriority w:val="9"/>
    <w:qFormat/>
    <w:rsid w:val="00662AA9"/>
    <w:pPr>
      <w:spacing w:line="240" w:lineRule="auto"/>
      <w:outlineLvl w:val="0"/>
    </w:pPr>
    <w:rPr>
      <w:b/>
    </w:rPr>
  </w:style>
  <w:style w:type="paragraph" w:styleId="Heading2">
    <w:name w:val="heading 2"/>
    <w:basedOn w:val="Normal"/>
    <w:next w:val="Normal"/>
    <w:link w:val="Heading2Char"/>
    <w:uiPriority w:val="9"/>
    <w:unhideWhenUsed/>
    <w:qFormat/>
    <w:rsid w:val="00662AA9"/>
    <w:pPr>
      <w:spacing w:line="240" w:lineRule="auto"/>
      <w:outlineLvl w:val="1"/>
    </w:pPr>
  </w:style>
  <w:style w:type="paragraph" w:styleId="Heading3">
    <w:name w:val="heading 3"/>
    <w:basedOn w:val="Heading2"/>
    <w:next w:val="Normal"/>
    <w:link w:val="Heading3Char"/>
    <w:uiPriority w:val="9"/>
    <w:unhideWhenUsed/>
    <w:qFormat/>
    <w:rsid w:val="00662AA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59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59AB"/>
    <w:rPr>
      <w:rFonts w:ascii="Tahoma" w:hAnsi="Tahoma" w:cs="Tahoma"/>
      <w:sz w:val="16"/>
      <w:szCs w:val="16"/>
    </w:rPr>
  </w:style>
  <w:style w:type="paragraph" w:styleId="ListParagraph">
    <w:name w:val="List Paragraph"/>
    <w:basedOn w:val="Normal"/>
    <w:uiPriority w:val="34"/>
    <w:qFormat/>
    <w:rsid w:val="004559AB"/>
    <w:pPr>
      <w:ind w:left="720"/>
      <w:contextualSpacing/>
    </w:pPr>
  </w:style>
  <w:style w:type="table" w:styleId="TableGrid">
    <w:name w:val="Table Grid"/>
    <w:basedOn w:val="TableNormal"/>
    <w:rsid w:val="004559AB"/>
    <w:pPr>
      <w:spacing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59AB"/>
    <w:rPr>
      <w:color w:val="0000FF" w:themeColor="hyperlink"/>
      <w:u w:val="single"/>
    </w:rPr>
  </w:style>
  <w:style w:type="paragraph" w:styleId="ListBullet">
    <w:name w:val="List Bullet"/>
    <w:basedOn w:val="Normal"/>
    <w:uiPriority w:val="99"/>
    <w:unhideWhenUsed/>
    <w:rsid w:val="004559AB"/>
    <w:pPr>
      <w:numPr>
        <w:numId w:val="3"/>
      </w:numPr>
      <w:contextualSpacing/>
    </w:pPr>
  </w:style>
  <w:style w:type="character" w:styleId="CommentReference">
    <w:name w:val="annotation reference"/>
    <w:basedOn w:val="DefaultParagraphFont"/>
    <w:uiPriority w:val="99"/>
    <w:semiHidden/>
    <w:unhideWhenUsed/>
    <w:rsid w:val="004559AB"/>
    <w:rPr>
      <w:sz w:val="16"/>
      <w:szCs w:val="16"/>
    </w:rPr>
  </w:style>
  <w:style w:type="paragraph" w:styleId="CommentText">
    <w:name w:val="annotation text"/>
    <w:basedOn w:val="Normal"/>
    <w:link w:val="CommentTextChar"/>
    <w:uiPriority w:val="99"/>
    <w:semiHidden/>
    <w:unhideWhenUsed/>
    <w:rsid w:val="004559AB"/>
    <w:pPr>
      <w:spacing w:line="240" w:lineRule="auto"/>
    </w:pPr>
    <w:rPr>
      <w:sz w:val="20"/>
      <w:szCs w:val="20"/>
    </w:rPr>
  </w:style>
  <w:style w:type="character" w:customStyle="1" w:styleId="CommentTextChar">
    <w:name w:val="Comment Text Char"/>
    <w:basedOn w:val="DefaultParagraphFont"/>
    <w:link w:val="CommentText"/>
    <w:uiPriority w:val="99"/>
    <w:semiHidden/>
    <w:rsid w:val="004559AB"/>
    <w:rPr>
      <w:sz w:val="20"/>
      <w:szCs w:val="20"/>
    </w:rPr>
  </w:style>
  <w:style w:type="paragraph" w:styleId="CommentSubject">
    <w:name w:val="annotation subject"/>
    <w:basedOn w:val="CommentText"/>
    <w:next w:val="CommentText"/>
    <w:link w:val="CommentSubjectChar"/>
    <w:uiPriority w:val="99"/>
    <w:semiHidden/>
    <w:unhideWhenUsed/>
    <w:rsid w:val="004559AB"/>
    <w:rPr>
      <w:b/>
      <w:bCs/>
    </w:rPr>
  </w:style>
  <w:style w:type="character" w:customStyle="1" w:styleId="CommentSubjectChar">
    <w:name w:val="Comment Subject Char"/>
    <w:basedOn w:val="CommentTextChar"/>
    <w:link w:val="CommentSubject"/>
    <w:uiPriority w:val="99"/>
    <w:semiHidden/>
    <w:rsid w:val="004559AB"/>
    <w:rPr>
      <w:b/>
      <w:bCs/>
      <w:sz w:val="20"/>
      <w:szCs w:val="20"/>
    </w:rPr>
  </w:style>
  <w:style w:type="paragraph" w:styleId="NormalWeb">
    <w:name w:val="Normal (Web)"/>
    <w:basedOn w:val="Normal"/>
    <w:uiPriority w:val="99"/>
    <w:semiHidden/>
    <w:unhideWhenUsed/>
    <w:rsid w:val="006D0C3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662AA9"/>
    <w:rPr>
      <w:b/>
    </w:rPr>
  </w:style>
  <w:style w:type="character" w:customStyle="1" w:styleId="Heading2Char">
    <w:name w:val="Heading 2 Char"/>
    <w:basedOn w:val="DefaultParagraphFont"/>
    <w:link w:val="Heading2"/>
    <w:uiPriority w:val="9"/>
    <w:rsid w:val="00662AA9"/>
  </w:style>
  <w:style w:type="character" w:customStyle="1" w:styleId="Heading3Char">
    <w:name w:val="Heading 3 Char"/>
    <w:basedOn w:val="DefaultParagraphFont"/>
    <w:link w:val="Heading3"/>
    <w:uiPriority w:val="9"/>
    <w:rsid w:val="00662AA9"/>
  </w:style>
  <w:style w:type="paragraph" w:customStyle="1" w:styleId="Figure">
    <w:name w:val="Figure"/>
    <w:basedOn w:val="Normal"/>
    <w:link w:val="FigureChar"/>
    <w:qFormat/>
    <w:rsid w:val="00662AA9"/>
    <w:pPr>
      <w:spacing w:line="240" w:lineRule="auto"/>
      <w:ind w:left="900" w:right="990"/>
    </w:pPr>
    <w:rPr>
      <w:b/>
    </w:rPr>
  </w:style>
  <w:style w:type="paragraph" w:customStyle="1" w:styleId="Table">
    <w:name w:val="Table"/>
    <w:basedOn w:val="Normal"/>
    <w:link w:val="TableChar"/>
    <w:qFormat/>
    <w:rsid w:val="00662AA9"/>
    <w:pPr>
      <w:spacing w:line="240" w:lineRule="auto"/>
    </w:pPr>
    <w:rPr>
      <w:rFonts w:eastAsia="Times New Roman" w:cs="Times New Roman"/>
      <w:b/>
    </w:rPr>
  </w:style>
  <w:style w:type="character" w:customStyle="1" w:styleId="FigureChar">
    <w:name w:val="Figure Char"/>
    <w:basedOn w:val="DefaultParagraphFont"/>
    <w:link w:val="Figure"/>
    <w:rsid w:val="00662AA9"/>
    <w:rPr>
      <w:b/>
    </w:rPr>
  </w:style>
  <w:style w:type="character" w:customStyle="1" w:styleId="TableChar">
    <w:name w:val="Table Char"/>
    <w:basedOn w:val="DefaultParagraphFont"/>
    <w:link w:val="Table"/>
    <w:rsid w:val="00662AA9"/>
    <w:rPr>
      <w:rFonts w:eastAsia="Times New Roman" w:cs="Times New Roman"/>
      <w:b/>
    </w:rPr>
  </w:style>
  <w:style w:type="paragraph" w:styleId="TOC1">
    <w:name w:val="toc 1"/>
    <w:basedOn w:val="Normal"/>
    <w:next w:val="Normal"/>
    <w:autoRedefine/>
    <w:uiPriority w:val="39"/>
    <w:semiHidden/>
    <w:unhideWhenUsed/>
    <w:rsid w:val="00662AA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1128003">
      <w:bodyDiv w:val="1"/>
      <w:marLeft w:val="0"/>
      <w:marRight w:val="0"/>
      <w:marTop w:val="0"/>
      <w:marBottom w:val="0"/>
      <w:divBdr>
        <w:top w:val="none" w:sz="0" w:space="0" w:color="auto"/>
        <w:left w:val="none" w:sz="0" w:space="0" w:color="auto"/>
        <w:bottom w:val="none" w:sz="0" w:space="0" w:color="auto"/>
        <w:right w:val="none" w:sz="0" w:space="0" w:color="auto"/>
      </w:divBdr>
    </w:div>
    <w:div w:id="332152832">
      <w:bodyDiv w:val="1"/>
      <w:marLeft w:val="0"/>
      <w:marRight w:val="0"/>
      <w:marTop w:val="0"/>
      <w:marBottom w:val="0"/>
      <w:divBdr>
        <w:top w:val="none" w:sz="0" w:space="0" w:color="auto"/>
        <w:left w:val="none" w:sz="0" w:space="0" w:color="auto"/>
        <w:bottom w:val="none" w:sz="0" w:space="0" w:color="auto"/>
        <w:right w:val="none" w:sz="0" w:space="0" w:color="auto"/>
      </w:divBdr>
    </w:div>
    <w:div w:id="627660436">
      <w:bodyDiv w:val="1"/>
      <w:marLeft w:val="0"/>
      <w:marRight w:val="0"/>
      <w:marTop w:val="0"/>
      <w:marBottom w:val="0"/>
      <w:divBdr>
        <w:top w:val="none" w:sz="0" w:space="0" w:color="auto"/>
        <w:left w:val="none" w:sz="0" w:space="0" w:color="auto"/>
        <w:bottom w:val="none" w:sz="0" w:space="0" w:color="auto"/>
        <w:right w:val="none" w:sz="0" w:space="0" w:color="auto"/>
      </w:divBdr>
    </w:div>
    <w:div w:id="967053244">
      <w:bodyDiv w:val="1"/>
      <w:marLeft w:val="0"/>
      <w:marRight w:val="0"/>
      <w:marTop w:val="0"/>
      <w:marBottom w:val="0"/>
      <w:divBdr>
        <w:top w:val="none" w:sz="0" w:space="0" w:color="auto"/>
        <w:left w:val="none" w:sz="0" w:space="0" w:color="auto"/>
        <w:bottom w:val="none" w:sz="0" w:space="0" w:color="auto"/>
        <w:right w:val="none" w:sz="0" w:space="0" w:color="auto"/>
      </w:divBdr>
    </w:div>
    <w:div w:id="978195088">
      <w:bodyDiv w:val="1"/>
      <w:marLeft w:val="0"/>
      <w:marRight w:val="0"/>
      <w:marTop w:val="0"/>
      <w:marBottom w:val="0"/>
      <w:divBdr>
        <w:top w:val="none" w:sz="0" w:space="0" w:color="auto"/>
        <w:left w:val="none" w:sz="0" w:space="0" w:color="auto"/>
        <w:bottom w:val="none" w:sz="0" w:space="0" w:color="auto"/>
        <w:right w:val="none" w:sz="0" w:space="0" w:color="auto"/>
      </w:divBdr>
    </w:div>
    <w:div w:id="1636832396">
      <w:bodyDiv w:val="1"/>
      <w:marLeft w:val="0"/>
      <w:marRight w:val="0"/>
      <w:marTop w:val="0"/>
      <w:marBottom w:val="0"/>
      <w:divBdr>
        <w:top w:val="none" w:sz="0" w:space="0" w:color="auto"/>
        <w:left w:val="none" w:sz="0" w:space="0" w:color="auto"/>
        <w:bottom w:val="none" w:sz="0" w:space="0" w:color="auto"/>
        <w:right w:val="none" w:sz="0" w:space="0" w:color="auto"/>
      </w:divBdr>
    </w:div>
    <w:div w:id="195254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or.water.usgs.gov/tualatin/"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www.deq.state.or.us/wq/tmdls/docs/willamettebasin/tualatin/tmdlwqmp.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yperlink" Target="http://www.fws.gov/r5gomp/gom/nhd-gom/NHDPLUS_UserGuide.pdf" TargetMode="Externa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psu\resources\Research\Samba\H2Oeco\MikeP\RESULTS\SENSITIVITY_ANALYSIS\SA_CH_K_Figu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2000"/>
            </a:pPr>
            <a:r>
              <a:rPr lang="en-US" sz="2000"/>
              <a:t>EPCO</a:t>
            </a:r>
            <a:r>
              <a:rPr lang="en-US" sz="2000" baseline="0"/>
              <a:t> </a:t>
            </a:r>
            <a:r>
              <a:rPr lang="en-US" sz="2000"/>
              <a:t>Sensitivity Analysis</a:t>
            </a:r>
          </a:p>
        </c:rich>
      </c:tx>
      <c:overlay val="0"/>
    </c:title>
    <c:autoTitleDeleted val="0"/>
    <c:plotArea>
      <c:layout>
        <c:manualLayout>
          <c:layoutTarget val="inner"/>
          <c:xMode val="edge"/>
          <c:yMode val="edge"/>
          <c:x val="0.13457708411448568"/>
          <c:y val="0.1736113845144357"/>
          <c:w val="0.81383561429821272"/>
          <c:h val="0.4839203147839834"/>
        </c:manualLayout>
      </c:layout>
      <c:lineChart>
        <c:grouping val="standard"/>
        <c:varyColors val="0"/>
        <c:ser>
          <c:idx val="1"/>
          <c:order val="0"/>
          <c:tx>
            <c:strRef>
              <c:f>FLOW_OUT_129!$B$1</c:f>
              <c:strCache>
                <c:ptCount val="1"/>
                <c:pt idx="0">
                  <c:v>0.0925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FLOW_OUT_129!$B$1:$B$726</c:f>
              <c:numCache>
                <c:formatCode>0.00</c:formatCode>
                <c:ptCount val="726"/>
                <c:pt idx="0" formatCode="@">
                  <c:v>9.2499999999999999E-2</c:v>
                </c:pt>
                <c:pt idx="1">
                  <c:v>41.65</c:v>
                </c:pt>
                <c:pt idx="2">
                  <c:v>78.430000000000007</c:v>
                </c:pt>
                <c:pt idx="3">
                  <c:v>47.55</c:v>
                </c:pt>
                <c:pt idx="4">
                  <c:v>41.6</c:v>
                </c:pt>
                <c:pt idx="5">
                  <c:v>25.01</c:v>
                </c:pt>
                <c:pt idx="6">
                  <c:v>20.46</c:v>
                </c:pt>
                <c:pt idx="7">
                  <c:v>6.2889999999999997</c:v>
                </c:pt>
                <c:pt idx="8">
                  <c:v>5.6509999999999998</c:v>
                </c:pt>
                <c:pt idx="9">
                  <c:v>6.1139999999999999</c:v>
                </c:pt>
                <c:pt idx="10">
                  <c:v>19.71</c:v>
                </c:pt>
                <c:pt idx="11">
                  <c:v>36.42</c:v>
                </c:pt>
                <c:pt idx="12">
                  <c:v>129.69999999999999</c:v>
                </c:pt>
                <c:pt idx="13">
                  <c:v>116.2</c:v>
                </c:pt>
                <c:pt idx="14">
                  <c:v>134.19999999999999</c:v>
                </c:pt>
                <c:pt idx="15">
                  <c:v>84.86</c:v>
                </c:pt>
                <c:pt idx="16">
                  <c:v>81.89</c:v>
                </c:pt>
                <c:pt idx="17">
                  <c:v>40.799999999999997</c:v>
                </c:pt>
                <c:pt idx="18">
                  <c:v>23.11</c:v>
                </c:pt>
                <c:pt idx="19">
                  <c:v>9.1850000000000005</c:v>
                </c:pt>
                <c:pt idx="20">
                  <c:v>4.5960000000000001</c:v>
                </c:pt>
                <c:pt idx="21">
                  <c:v>7.0069999999999997</c:v>
                </c:pt>
                <c:pt idx="22">
                  <c:v>15.15</c:v>
                </c:pt>
                <c:pt idx="23">
                  <c:v>31.71</c:v>
                </c:pt>
                <c:pt idx="24">
                  <c:v>124.7</c:v>
                </c:pt>
                <c:pt idx="25">
                  <c:v>108.9</c:v>
                </c:pt>
                <c:pt idx="26">
                  <c:v>146</c:v>
                </c:pt>
                <c:pt idx="27">
                  <c:v>126.5</c:v>
                </c:pt>
                <c:pt idx="28">
                  <c:v>80.08</c:v>
                </c:pt>
                <c:pt idx="29">
                  <c:v>47.25</c:v>
                </c:pt>
                <c:pt idx="30">
                  <c:v>25.18</c:v>
                </c:pt>
                <c:pt idx="31">
                  <c:v>11.32</c:v>
                </c:pt>
                <c:pt idx="32">
                  <c:v>6.891</c:v>
                </c:pt>
                <c:pt idx="33">
                  <c:v>4.9279999999999999</c:v>
                </c:pt>
                <c:pt idx="34">
                  <c:v>5.9539999999999997</c:v>
                </c:pt>
                <c:pt idx="35">
                  <c:v>67.28</c:v>
                </c:pt>
                <c:pt idx="36">
                  <c:v>65.989999999999995</c:v>
                </c:pt>
                <c:pt idx="37">
                  <c:v>63.65</c:v>
                </c:pt>
                <c:pt idx="38">
                  <c:v>75.3</c:v>
                </c:pt>
                <c:pt idx="39">
                  <c:v>61.34</c:v>
                </c:pt>
                <c:pt idx="40">
                  <c:v>55.85</c:v>
                </c:pt>
                <c:pt idx="41">
                  <c:v>40.159999999999997</c:v>
                </c:pt>
                <c:pt idx="42">
                  <c:v>31.42</c:v>
                </c:pt>
                <c:pt idx="43">
                  <c:v>10.14</c:v>
                </c:pt>
                <c:pt idx="44">
                  <c:v>5.383</c:v>
                </c:pt>
                <c:pt idx="45">
                  <c:v>4.17</c:v>
                </c:pt>
                <c:pt idx="46">
                  <c:v>9.0289999999999999</c:v>
                </c:pt>
                <c:pt idx="47">
                  <c:v>109.3</c:v>
                </c:pt>
                <c:pt idx="48">
                  <c:v>55.62</c:v>
                </c:pt>
                <c:pt idx="49">
                  <c:v>39.46</c:v>
                </c:pt>
                <c:pt idx="50">
                  <c:v>48.45</c:v>
                </c:pt>
                <c:pt idx="51">
                  <c:v>44.44</c:v>
                </c:pt>
                <c:pt idx="52">
                  <c:v>26.96</c:v>
                </c:pt>
                <c:pt idx="53">
                  <c:v>19.899999999999999</c:v>
                </c:pt>
                <c:pt idx="54">
                  <c:v>20.05</c:v>
                </c:pt>
                <c:pt idx="55">
                  <c:v>6.6760000000000002</c:v>
                </c:pt>
                <c:pt idx="56">
                  <c:v>4.4980000000000002</c:v>
                </c:pt>
                <c:pt idx="57">
                  <c:v>3.6379999999999999</c:v>
                </c:pt>
                <c:pt idx="58">
                  <c:v>4.9589999999999996</c:v>
                </c:pt>
                <c:pt idx="59">
                  <c:v>14.12</c:v>
                </c:pt>
                <c:pt idx="60">
                  <c:v>30.44</c:v>
                </c:pt>
                <c:pt idx="61">
                  <c:v>53.22</c:v>
                </c:pt>
                <c:pt idx="62">
                  <c:v>89.67</c:v>
                </c:pt>
                <c:pt idx="63">
                  <c:v>57.23</c:v>
                </c:pt>
                <c:pt idx="64">
                  <c:v>38.46</c:v>
                </c:pt>
                <c:pt idx="65">
                  <c:v>26.92</c:v>
                </c:pt>
                <c:pt idx="66">
                  <c:v>12.17</c:v>
                </c:pt>
                <c:pt idx="67">
                  <c:v>7.4390000000000001</c:v>
                </c:pt>
                <c:pt idx="68">
                  <c:v>4.4080000000000004</c:v>
                </c:pt>
                <c:pt idx="69">
                  <c:v>4.306</c:v>
                </c:pt>
                <c:pt idx="70">
                  <c:v>3.57</c:v>
                </c:pt>
                <c:pt idx="71">
                  <c:v>42.84</c:v>
                </c:pt>
                <c:pt idx="72">
                  <c:v>37.26</c:v>
                </c:pt>
                <c:pt idx="73">
                  <c:v>82.68</c:v>
                </c:pt>
                <c:pt idx="74">
                  <c:v>92.57</c:v>
                </c:pt>
                <c:pt idx="75">
                  <c:v>104.4</c:v>
                </c:pt>
                <c:pt idx="76">
                  <c:v>47.67</c:v>
                </c:pt>
                <c:pt idx="77">
                  <c:v>29.36</c:v>
                </c:pt>
                <c:pt idx="78">
                  <c:v>12.91</c:v>
                </c:pt>
                <c:pt idx="79">
                  <c:v>8.4860000000000007</c:v>
                </c:pt>
                <c:pt idx="80">
                  <c:v>4.6520000000000001</c:v>
                </c:pt>
                <c:pt idx="81">
                  <c:v>2.585</c:v>
                </c:pt>
                <c:pt idx="82">
                  <c:v>1.4119999999999999</c:v>
                </c:pt>
                <c:pt idx="83">
                  <c:v>2.25</c:v>
                </c:pt>
                <c:pt idx="84">
                  <c:v>70.8</c:v>
                </c:pt>
                <c:pt idx="85">
                  <c:v>80.319999999999993</c:v>
                </c:pt>
                <c:pt idx="86">
                  <c:v>39.68</c:v>
                </c:pt>
                <c:pt idx="87">
                  <c:v>50.95</c:v>
                </c:pt>
                <c:pt idx="88">
                  <c:v>39.159999999999997</c:v>
                </c:pt>
                <c:pt idx="89">
                  <c:v>27.6</c:v>
                </c:pt>
                <c:pt idx="90">
                  <c:v>17.04</c:v>
                </c:pt>
                <c:pt idx="91">
                  <c:v>7.6020000000000003</c:v>
                </c:pt>
                <c:pt idx="92">
                  <c:v>5.327</c:v>
                </c:pt>
                <c:pt idx="93">
                  <c:v>5.0179999999999998</c:v>
                </c:pt>
                <c:pt idx="94">
                  <c:v>2.3690000000000002</c:v>
                </c:pt>
                <c:pt idx="95">
                  <c:v>40.79</c:v>
                </c:pt>
                <c:pt idx="96">
                  <c:v>34.11</c:v>
                </c:pt>
                <c:pt idx="97">
                  <c:v>63.76</c:v>
                </c:pt>
                <c:pt idx="98">
                  <c:v>63.6</c:v>
                </c:pt>
                <c:pt idx="99">
                  <c:v>81.78</c:v>
                </c:pt>
                <c:pt idx="100">
                  <c:v>55.31</c:v>
                </c:pt>
                <c:pt idx="101">
                  <c:v>36.64</c:v>
                </c:pt>
                <c:pt idx="102">
                  <c:v>19.82</c:v>
                </c:pt>
                <c:pt idx="103">
                  <c:v>10.16</c:v>
                </c:pt>
                <c:pt idx="104">
                  <c:v>7.0519999999999996</c:v>
                </c:pt>
                <c:pt idx="105">
                  <c:v>5.8029999999999999</c:v>
                </c:pt>
                <c:pt idx="106">
                  <c:v>5.9720000000000004</c:v>
                </c:pt>
                <c:pt idx="107">
                  <c:v>10.99</c:v>
                </c:pt>
                <c:pt idx="108">
                  <c:v>27.15</c:v>
                </c:pt>
                <c:pt idx="109">
                  <c:v>109.4</c:v>
                </c:pt>
                <c:pt idx="110">
                  <c:v>107.1</c:v>
                </c:pt>
                <c:pt idx="111">
                  <c:v>72.48</c:v>
                </c:pt>
                <c:pt idx="112">
                  <c:v>48.55</c:v>
                </c:pt>
                <c:pt idx="113">
                  <c:v>27.29</c:v>
                </c:pt>
                <c:pt idx="114">
                  <c:v>15.2</c:v>
                </c:pt>
                <c:pt idx="115">
                  <c:v>8.4600000000000009</c:v>
                </c:pt>
                <c:pt idx="116">
                  <c:v>6.798</c:v>
                </c:pt>
                <c:pt idx="117">
                  <c:v>4.7690000000000001</c:v>
                </c:pt>
                <c:pt idx="118">
                  <c:v>10.83</c:v>
                </c:pt>
                <c:pt idx="119">
                  <c:v>26.32</c:v>
                </c:pt>
                <c:pt idx="120">
                  <c:v>34.090000000000003</c:v>
                </c:pt>
              </c:numCache>
            </c:numRef>
          </c:val>
          <c:smooth val="0"/>
        </c:ser>
        <c:ser>
          <c:idx val="2"/>
          <c:order val="1"/>
          <c:tx>
            <c:strRef>
              <c:f>FLOW_OUT_129!$C$1</c:f>
              <c:strCache>
                <c:ptCount val="1"/>
                <c:pt idx="0">
                  <c:v>0.7525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FLOW_OUT_129!$C$1:$C$726</c:f>
              <c:numCache>
                <c:formatCode>0.00</c:formatCode>
                <c:ptCount val="726"/>
                <c:pt idx="0" formatCode="@">
                  <c:v>0.75249999999999995</c:v>
                </c:pt>
                <c:pt idx="1">
                  <c:v>31.28</c:v>
                </c:pt>
                <c:pt idx="2">
                  <c:v>68.95</c:v>
                </c:pt>
                <c:pt idx="3">
                  <c:v>41.76</c:v>
                </c:pt>
                <c:pt idx="4">
                  <c:v>38.94</c:v>
                </c:pt>
                <c:pt idx="5">
                  <c:v>24.17</c:v>
                </c:pt>
                <c:pt idx="6">
                  <c:v>20.36</c:v>
                </c:pt>
                <c:pt idx="7">
                  <c:v>6.3179999999999996</c:v>
                </c:pt>
                <c:pt idx="8">
                  <c:v>5.65</c:v>
                </c:pt>
                <c:pt idx="9">
                  <c:v>5.38</c:v>
                </c:pt>
                <c:pt idx="10">
                  <c:v>12.44</c:v>
                </c:pt>
                <c:pt idx="11">
                  <c:v>26.36</c:v>
                </c:pt>
                <c:pt idx="12">
                  <c:v>108.1</c:v>
                </c:pt>
                <c:pt idx="13">
                  <c:v>103.3</c:v>
                </c:pt>
                <c:pt idx="14">
                  <c:v>125.5</c:v>
                </c:pt>
                <c:pt idx="15">
                  <c:v>80.430000000000007</c:v>
                </c:pt>
                <c:pt idx="16">
                  <c:v>80.459999999999994</c:v>
                </c:pt>
                <c:pt idx="17">
                  <c:v>40.57</c:v>
                </c:pt>
                <c:pt idx="18">
                  <c:v>23.2</c:v>
                </c:pt>
                <c:pt idx="19">
                  <c:v>9.3979999999999997</c:v>
                </c:pt>
                <c:pt idx="20">
                  <c:v>4.6189999999999998</c:v>
                </c:pt>
                <c:pt idx="21">
                  <c:v>5.7789999999999999</c:v>
                </c:pt>
                <c:pt idx="22">
                  <c:v>8.8870000000000005</c:v>
                </c:pt>
                <c:pt idx="23">
                  <c:v>20.91</c:v>
                </c:pt>
                <c:pt idx="24">
                  <c:v>103.1</c:v>
                </c:pt>
                <c:pt idx="25">
                  <c:v>94.51</c:v>
                </c:pt>
                <c:pt idx="26">
                  <c:v>137</c:v>
                </c:pt>
                <c:pt idx="27">
                  <c:v>122</c:v>
                </c:pt>
                <c:pt idx="28">
                  <c:v>78.42</c:v>
                </c:pt>
                <c:pt idx="29">
                  <c:v>46.93</c:v>
                </c:pt>
                <c:pt idx="30">
                  <c:v>25.2</c:v>
                </c:pt>
                <c:pt idx="31">
                  <c:v>11.3</c:v>
                </c:pt>
                <c:pt idx="32">
                  <c:v>6.194</c:v>
                </c:pt>
                <c:pt idx="33">
                  <c:v>4.91</c:v>
                </c:pt>
                <c:pt idx="34">
                  <c:v>5.2839999999999998</c:v>
                </c:pt>
                <c:pt idx="35">
                  <c:v>47.67</c:v>
                </c:pt>
                <c:pt idx="36">
                  <c:v>51.12</c:v>
                </c:pt>
                <c:pt idx="37">
                  <c:v>52.57</c:v>
                </c:pt>
                <c:pt idx="38">
                  <c:v>67.88</c:v>
                </c:pt>
                <c:pt idx="39">
                  <c:v>57.6</c:v>
                </c:pt>
                <c:pt idx="40">
                  <c:v>54.61</c:v>
                </c:pt>
                <c:pt idx="41">
                  <c:v>40.090000000000003</c:v>
                </c:pt>
                <c:pt idx="42">
                  <c:v>31.84</c:v>
                </c:pt>
                <c:pt idx="43">
                  <c:v>10.42</c:v>
                </c:pt>
                <c:pt idx="44">
                  <c:v>5.444</c:v>
                </c:pt>
                <c:pt idx="45">
                  <c:v>4.1509999999999998</c:v>
                </c:pt>
                <c:pt idx="46">
                  <c:v>7.0549999999999997</c:v>
                </c:pt>
                <c:pt idx="47">
                  <c:v>81.64</c:v>
                </c:pt>
                <c:pt idx="48">
                  <c:v>44.82</c:v>
                </c:pt>
                <c:pt idx="49">
                  <c:v>28.84</c:v>
                </c:pt>
                <c:pt idx="50">
                  <c:v>41.23</c:v>
                </c:pt>
                <c:pt idx="51">
                  <c:v>40.590000000000003</c:v>
                </c:pt>
                <c:pt idx="52">
                  <c:v>25.23</c:v>
                </c:pt>
                <c:pt idx="53">
                  <c:v>19.260000000000002</c:v>
                </c:pt>
                <c:pt idx="54">
                  <c:v>19.98</c:v>
                </c:pt>
                <c:pt idx="55">
                  <c:v>6.665</c:v>
                </c:pt>
                <c:pt idx="56">
                  <c:v>4.41</c:v>
                </c:pt>
                <c:pt idx="57">
                  <c:v>3.3519999999999999</c:v>
                </c:pt>
                <c:pt idx="58">
                  <c:v>3.2909999999999999</c:v>
                </c:pt>
                <c:pt idx="59">
                  <c:v>8.4060000000000006</c:v>
                </c:pt>
                <c:pt idx="60">
                  <c:v>21.24</c:v>
                </c:pt>
                <c:pt idx="61">
                  <c:v>40.75</c:v>
                </c:pt>
                <c:pt idx="62">
                  <c:v>76.12</c:v>
                </c:pt>
                <c:pt idx="63">
                  <c:v>46.61</c:v>
                </c:pt>
                <c:pt idx="64">
                  <c:v>32.15</c:v>
                </c:pt>
                <c:pt idx="65">
                  <c:v>24.07</c:v>
                </c:pt>
                <c:pt idx="66">
                  <c:v>11.3</c:v>
                </c:pt>
                <c:pt idx="67">
                  <c:v>7.1390000000000002</c:v>
                </c:pt>
                <c:pt idx="68">
                  <c:v>4.359</c:v>
                </c:pt>
                <c:pt idx="69">
                  <c:v>3.9660000000000002</c:v>
                </c:pt>
                <c:pt idx="70">
                  <c:v>2.6139999999999999</c:v>
                </c:pt>
                <c:pt idx="71">
                  <c:v>28.21</c:v>
                </c:pt>
                <c:pt idx="72">
                  <c:v>28.38</c:v>
                </c:pt>
                <c:pt idx="73">
                  <c:v>66.98</c:v>
                </c:pt>
                <c:pt idx="74">
                  <c:v>79.260000000000005</c:v>
                </c:pt>
                <c:pt idx="75">
                  <c:v>95.96</c:v>
                </c:pt>
                <c:pt idx="76">
                  <c:v>43.67</c:v>
                </c:pt>
                <c:pt idx="77">
                  <c:v>27.76</c:v>
                </c:pt>
                <c:pt idx="78">
                  <c:v>12.41</c:v>
                </c:pt>
                <c:pt idx="79">
                  <c:v>7.9429999999999996</c:v>
                </c:pt>
                <c:pt idx="80">
                  <c:v>4.6150000000000002</c:v>
                </c:pt>
                <c:pt idx="81">
                  <c:v>2.57</c:v>
                </c:pt>
                <c:pt idx="82">
                  <c:v>1.4059999999999999</c:v>
                </c:pt>
                <c:pt idx="83">
                  <c:v>1.9470000000000001</c:v>
                </c:pt>
                <c:pt idx="84">
                  <c:v>49.31</c:v>
                </c:pt>
                <c:pt idx="85">
                  <c:v>66.25</c:v>
                </c:pt>
                <c:pt idx="86">
                  <c:v>29.39</c:v>
                </c:pt>
                <c:pt idx="87">
                  <c:v>43.73</c:v>
                </c:pt>
                <c:pt idx="88">
                  <c:v>35.659999999999997</c:v>
                </c:pt>
                <c:pt idx="89">
                  <c:v>26.28</c:v>
                </c:pt>
                <c:pt idx="90">
                  <c:v>16.79</c:v>
                </c:pt>
                <c:pt idx="91">
                  <c:v>7.6189999999999998</c:v>
                </c:pt>
                <c:pt idx="92">
                  <c:v>5.3230000000000004</c:v>
                </c:pt>
                <c:pt idx="93">
                  <c:v>4.6950000000000003</c:v>
                </c:pt>
                <c:pt idx="94">
                  <c:v>2.3639999999999999</c:v>
                </c:pt>
                <c:pt idx="95">
                  <c:v>26.74</c:v>
                </c:pt>
                <c:pt idx="96">
                  <c:v>25.62</c:v>
                </c:pt>
                <c:pt idx="97">
                  <c:v>50.31</c:v>
                </c:pt>
                <c:pt idx="98">
                  <c:v>50.66</c:v>
                </c:pt>
                <c:pt idx="99">
                  <c:v>72.38</c:v>
                </c:pt>
                <c:pt idx="100">
                  <c:v>50.15</c:v>
                </c:pt>
                <c:pt idx="101">
                  <c:v>34.229999999999997</c:v>
                </c:pt>
                <c:pt idx="102">
                  <c:v>18.89</c:v>
                </c:pt>
                <c:pt idx="103">
                  <c:v>9.9819999999999993</c:v>
                </c:pt>
                <c:pt idx="104">
                  <c:v>6.96</c:v>
                </c:pt>
                <c:pt idx="105">
                  <c:v>5.7389999999999999</c:v>
                </c:pt>
                <c:pt idx="106">
                  <c:v>5.6189999999999998</c:v>
                </c:pt>
                <c:pt idx="107">
                  <c:v>7.5590000000000002</c:v>
                </c:pt>
                <c:pt idx="108">
                  <c:v>18.16</c:v>
                </c:pt>
                <c:pt idx="109">
                  <c:v>89.71</c:v>
                </c:pt>
                <c:pt idx="110">
                  <c:v>94.5</c:v>
                </c:pt>
                <c:pt idx="111">
                  <c:v>62.72</c:v>
                </c:pt>
                <c:pt idx="112">
                  <c:v>43.3</c:v>
                </c:pt>
                <c:pt idx="113">
                  <c:v>24.93</c:v>
                </c:pt>
                <c:pt idx="114">
                  <c:v>14.36</c:v>
                </c:pt>
                <c:pt idx="115">
                  <c:v>8.3119999999999994</c:v>
                </c:pt>
                <c:pt idx="116">
                  <c:v>6.7460000000000004</c:v>
                </c:pt>
                <c:pt idx="117">
                  <c:v>4.7489999999999997</c:v>
                </c:pt>
                <c:pt idx="118">
                  <c:v>8.1240000000000006</c:v>
                </c:pt>
                <c:pt idx="119">
                  <c:v>17.510000000000002</c:v>
                </c:pt>
                <c:pt idx="120">
                  <c:v>25.78</c:v>
                </c:pt>
              </c:numCache>
            </c:numRef>
          </c:val>
          <c:smooth val="0"/>
        </c:ser>
        <c:ser>
          <c:idx val="3"/>
          <c:order val="2"/>
          <c:tx>
            <c:strRef>
              <c:f>FLOW_OUT_129!$D$1</c:f>
              <c:strCache>
                <c:ptCount val="1"/>
                <c:pt idx="0">
                  <c:v>0.4225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FLOW_OUT_129!$D$1:$D$726</c:f>
              <c:numCache>
                <c:formatCode>0.00</c:formatCode>
                <c:ptCount val="726"/>
                <c:pt idx="0" formatCode="@">
                  <c:v>0.42249999999999999</c:v>
                </c:pt>
                <c:pt idx="1">
                  <c:v>33.729999999999997</c:v>
                </c:pt>
                <c:pt idx="2">
                  <c:v>71.98</c:v>
                </c:pt>
                <c:pt idx="3">
                  <c:v>43.97</c:v>
                </c:pt>
                <c:pt idx="4">
                  <c:v>40.130000000000003</c:v>
                </c:pt>
                <c:pt idx="5">
                  <c:v>24.68</c:v>
                </c:pt>
                <c:pt idx="6">
                  <c:v>20.52</c:v>
                </c:pt>
                <c:pt idx="7">
                  <c:v>6.3289999999999997</c:v>
                </c:pt>
                <c:pt idx="8">
                  <c:v>5.6550000000000002</c:v>
                </c:pt>
                <c:pt idx="9">
                  <c:v>5.508</c:v>
                </c:pt>
                <c:pt idx="10">
                  <c:v>13.73</c:v>
                </c:pt>
                <c:pt idx="11">
                  <c:v>28.18</c:v>
                </c:pt>
                <c:pt idx="12">
                  <c:v>114.5</c:v>
                </c:pt>
                <c:pt idx="13">
                  <c:v>107.4</c:v>
                </c:pt>
                <c:pt idx="14">
                  <c:v>128.6</c:v>
                </c:pt>
                <c:pt idx="15">
                  <c:v>82.25</c:v>
                </c:pt>
                <c:pt idx="16">
                  <c:v>81.25</c:v>
                </c:pt>
                <c:pt idx="17">
                  <c:v>40.83</c:v>
                </c:pt>
                <c:pt idx="18">
                  <c:v>23.26</c:v>
                </c:pt>
                <c:pt idx="19">
                  <c:v>9.3640000000000008</c:v>
                </c:pt>
                <c:pt idx="20">
                  <c:v>4.6159999999999997</c:v>
                </c:pt>
                <c:pt idx="21">
                  <c:v>6.056</c:v>
                </c:pt>
                <c:pt idx="22">
                  <c:v>10.18</c:v>
                </c:pt>
                <c:pt idx="23">
                  <c:v>22.66</c:v>
                </c:pt>
                <c:pt idx="24">
                  <c:v>109.5</c:v>
                </c:pt>
                <c:pt idx="25">
                  <c:v>98.65</c:v>
                </c:pt>
                <c:pt idx="26">
                  <c:v>140.1</c:v>
                </c:pt>
                <c:pt idx="27">
                  <c:v>123.8</c:v>
                </c:pt>
                <c:pt idx="28">
                  <c:v>79.150000000000006</c:v>
                </c:pt>
                <c:pt idx="29">
                  <c:v>47.12</c:v>
                </c:pt>
                <c:pt idx="30">
                  <c:v>25.23</c:v>
                </c:pt>
                <c:pt idx="31">
                  <c:v>11.31</c:v>
                </c:pt>
                <c:pt idx="32">
                  <c:v>6.3449999999999998</c:v>
                </c:pt>
                <c:pt idx="33">
                  <c:v>4.915</c:v>
                </c:pt>
                <c:pt idx="34">
                  <c:v>5.3979999999999997</c:v>
                </c:pt>
                <c:pt idx="35">
                  <c:v>52.16</c:v>
                </c:pt>
                <c:pt idx="36">
                  <c:v>54.69</c:v>
                </c:pt>
                <c:pt idx="37">
                  <c:v>56.01</c:v>
                </c:pt>
                <c:pt idx="38">
                  <c:v>70.66</c:v>
                </c:pt>
                <c:pt idx="39">
                  <c:v>59.28</c:v>
                </c:pt>
                <c:pt idx="40">
                  <c:v>55.37</c:v>
                </c:pt>
                <c:pt idx="41">
                  <c:v>40.31</c:v>
                </c:pt>
                <c:pt idx="42">
                  <c:v>31.8</c:v>
                </c:pt>
                <c:pt idx="43">
                  <c:v>10.35</c:v>
                </c:pt>
                <c:pt idx="44">
                  <c:v>5.4279999999999999</c:v>
                </c:pt>
                <c:pt idx="45">
                  <c:v>4.1470000000000002</c:v>
                </c:pt>
                <c:pt idx="46">
                  <c:v>7.3419999999999996</c:v>
                </c:pt>
                <c:pt idx="47">
                  <c:v>89.07</c:v>
                </c:pt>
                <c:pt idx="48">
                  <c:v>47.67</c:v>
                </c:pt>
                <c:pt idx="49">
                  <c:v>31.99</c:v>
                </c:pt>
                <c:pt idx="50">
                  <c:v>43.75</c:v>
                </c:pt>
                <c:pt idx="51">
                  <c:v>42.29</c:v>
                </c:pt>
                <c:pt idx="52">
                  <c:v>26.14</c:v>
                </c:pt>
                <c:pt idx="53">
                  <c:v>19.690000000000001</c:v>
                </c:pt>
                <c:pt idx="54">
                  <c:v>20.12</c:v>
                </c:pt>
                <c:pt idx="55">
                  <c:v>6.6909999999999998</c:v>
                </c:pt>
                <c:pt idx="56">
                  <c:v>4.4260000000000002</c:v>
                </c:pt>
                <c:pt idx="57">
                  <c:v>3.3919999999999999</c:v>
                </c:pt>
                <c:pt idx="58">
                  <c:v>3.524</c:v>
                </c:pt>
                <c:pt idx="59">
                  <c:v>9.0749999999999993</c:v>
                </c:pt>
                <c:pt idx="60">
                  <c:v>23.03</c:v>
                </c:pt>
                <c:pt idx="61">
                  <c:v>43.83</c:v>
                </c:pt>
                <c:pt idx="62">
                  <c:v>80.19</c:v>
                </c:pt>
                <c:pt idx="63">
                  <c:v>49.91</c:v>
                </c:pt>
                <c:pt idx="64">
                  <c:v>34.340000000000003</c:v>
                </c:pt>
                <c:pt idx="65">
                  <c:v>25.14</c:v>
                </c:pt>
                <c:pt idx="66">
                  <c:v>11.66</c:v>
                </c:pt>
                <c:pt idx="67">
                  <c:v>7.2519999999999998</c:v>
                </c:pt>
                <c:pt idx="68">
                  <c:v>4.3760000000000003</c:v>
                </c:pt>
                <c:pt idx="69">
                  <c:v>3.9940000000000002</c:v>
                </c:pt>
                <c:pt idx="70">
                  <c:v>2.7759999999999998</c:v>
                </c:pt>
                <c:pt idx="71">
                  <c:v>30.96</c:v>
                </c:pt>
                <c:pt idx="72">
                  <c:v>30.34</c:v>
                </c:pt>
                <c:pt idx="73">
                  <c:v>71.13</c:v>
                </c:pt>
                <c:pt idx="74">
                  <c:v>83.26</c:v>
                </c:pt>
                <c:pt idx="75">
                  <c:v>98.76</c:v>
                </c:pt>
                <c:pt idx="76">
                  <c:v>45.12</c:v>
                </c:pt>
                <c:pt idx="77">
                  <c:v>28.4</c:v>
                </c:pt>
                <c:pt idx="78">
                  <c:v>12.63</c:v>
                </c:pt>
                <c:pt idx="79">
                  <c:v>8.0939999999999994</c:v>
                </c:pt>
                <c:pt idx="80">
                  <c:v>4.63</c:v>
                </c:pt>
                <c:pt idx="81">
                  <c:v>2.5760000000000001</c:v>
                </c:pt>
                <c:pt idx="82">
                  <c:v>1.4079999999999999</c:v>
                </c:pt>
                <c:pt idx="83">
                  <c:v>1.9790000000000001</c:v>
                </c:pt>
                <c:pt idx="84">
                  <c:v>53.06</c:v>
                </c:pt>
                <c:pt idx="85">
                  <c:v>69.239999999999995</c:v>
                </c:pt>
                <c:pt idx="86">
                  <c:v>31.57</c:v>
                </c:pt>
                <c:pt idx="87">
                  <c:v>45.66</c:v>
                </c:pt>
                <c:pt idx="88">
                  <c:v>36.78</c:v>
                </c:pt>
                <c:pt idx="89">
                  <c:v>26.85</c:v>
                </c:pt>
                <c:pt idx="90">
                  <c:v>17.02</c:v>
                </c:pt>
                <c:pt idx="91">
                  <c:v>7.649</c:v>
                </c:pt>
                <c:pt idx="92">
                  <c:v>5.3330000000000002</c:v>
                </c:pt>
                <c:pt idx="93">
                  <c:v>4.7430000000000003</c:v>
                </c:pt>
                <c:pt idx="94">
                  <c:v>2.367</c:v>
                </c:pt>
                <c:pt idx="95">
                  <c:v>29.14</c:v>
                </c:pt>
                <c:pt idx="96">
                  <c:v>27.21</c:v>
                </c:pt>
                <c:pt idx="97">
                  <c:v>53.28</c:v>
                </c:pt>
                <c:pt idx="98">
                  <c:v>54.02</c:v>
                </c:pt>
                <c:pt idx="99">
                  <c:v>75.290000000000006</c:v>
                </c:pt>
                <c:pt idx="100">
                  <c:v>51.99</c:v>
                </c:pt>
                <c:pt idx="101">
                  <c:v>35.229999999999997</c:v>
                </c:pt>
                <c:pt idx="102">
                  <c:v>19.309999999999999</c:v>
                </c:pt>
                <c:pt idx="103">
                  <c:v>10.07</c:v>
                </c:pt>
                <c:pt idx="104">
                  <c:v>6.9880000000000004</c:v>
                </c:pt>
                <c:pt idx="105">
                  <c:v>5.7489999999999997</c:v>
                </c:pt>
                <c:pt idx="106">
                  <c:v>5.657</c:v>
                </c:pt>
                <c:pt idx="107">
                  <c:v>8.0739999999999998</c:v>
                </c:pt>
                <c:pt idx="108">
                  <c:v>19.47</c:v>
                </c:pt>
                <c:pt idx="109">
                  <c:v>94.59</c:v>
                </c:pt>
                <c:pt idx="110">
                  <c:v>97.75</c:v>
                </c:pt>
                <c:pt idx="111">
                  <c:v>65.569999999999993</c:v>
                </c:pt>
                <c:pt idx="112">
                  <c:v>45.03</c:v>
                </c:pt>
                <c:pt idx="113">
                  <c:v>25.75</c:v>
                </c:pt>
                <c:pt idx="114">
                  <c:v>14.67</c:v>
                </c:pt>
                <c:pt idx="115">
                  <c:v>8.3629999999999995</c:v>
                </c:pt>
                <c:pt idx="116">
                  <c:v>6.7640000000000002</c:v>
                </c:pt>
                <c:pt idx="117">
                  <c:v>4.7549999999999999</c:v>
                </c:pt>
                <c:pt idx="118">
                  <c:v>8.6579999999999995</c:v>
                </c:pt>
                <c:pt idx="119">
                  <c:v>18.920000000000002</c:v>
                </c:pt>
                <c:pt idx="120">
                  <c:v>27.35</c:v>
                </c:pt>
              </c:numCache>
            </c:numRef>
          </c:val>
          <c:smooth val="0"/>
        </c:ser>
        <c:ser>
          <c:idx val="4"/>
          <c:order val="3"/>
          <c:tx>
            <c:strRef>
              <c:f>FLOW_OUT_129!$E$1</c:f>
              <c:strCache>
                <c:ptCount val="1"/>
                <c:pt idx="0">
                  <c:v>0.2575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FLOW_OUT_129!$E$1:$E$726</c:f>
              <c:numCache>
                <c:formatCode>0.00</c:formatCode>
                <c:ptCount val="726"/>
                <c:pt idx="0" formatCode="@">
                  <c:v>0.25750000000000001</c:v>
                </c:pt>
                <c:pt idx="1">
                  <c:v>36.450000000000003</c:v>
                </c:pt>
                <c:pt idx="2">
                  <c:v>74.459999999999994</c:v>
                </c:pt>
                <c:pt idx="3">
                  <c:v>45.47</c:v>
                </c:pt>
                <c:pt idx="4">
                  <c:v>40.799999999999997</c:v>
                </c:pt>
                <c:pt idx="5">
                  <c:v>24.87</c:v>
                </c:pt>
                <c:pt idx="6">
                  <c:v>20.52</c:v>
                </c:pt>
                <c:pt idx="7">
                  <c:v>6.3220000000000001</c:v>
                </c:pt>
                <c:pt idx="8">
                  <c:v>5.6550000000000002</c:v>
                </c:pt>
                <c:pt idx="9">
                  <c:v>5.7060000000000004</c:v>
                </c:pt>
                <c:pt idx="10">
                  <c:v>15.59</c:v>
                </c:pt>
                <c:pt idx="11">
                  <c:v>31.11</c:v>
                </c:pt>
                <c:pt idx="12">
                  <c:v>120.7</c:v>
                </c:pt>
                <c:pt idx="13">
                  <c:v>110.9</c:v>
                </c:pt>
                <c:pt idx="14">
                  <c:v>131</c:v>
                </c:pt>
                <c:pt idx="15">
                  <c:v>83.44</c:v>
                </c:pt>
                <c:pt idx="16">
                  <c:v>81.59</c:v>
                </c:pt>
                <c:pt idx="17">
                  <c:v>40.85</c:v>
                </c:pt>
                <c:pt idx="18">
                  <c:v>23.21</c:v>
                </c:pt>
                <c:pt idx="19">
                  <c:v>9.3040000000000003</c:v>
                </c:pt>
                <c:pt idx="20">
                  <c:v>4.6079999999999997</c:v>
                </c:pt>
                <c:pt idx="21">
                  <c:v>6.375</c:v>
                </c:pt>
                <c:pt idx="22">
                  <c:v>12.5</c:v>
                </c:pt>
                <c:pt idx="23">
                  <c:v>25.24</c:v>
                </c:pt>
                <c:pt idx="24">
                  <c:v>115.3</c:v>
                </c:pt>
                <c:pt idx="25">
                  <c:v>102.2</c:v>
                </c:pt>
                <c:pt idx="26">
                  <c:v>142.5</c:v>
                </c:pt>
                <c:pt idx="27">
                  <c:v>124.9</c:v>
                </c:pt>
                <c:pt idx="28">
                  <c:v>79.56</c:v>
                </c:pt>
                <c:pt idx="29">
                  <c:v>47.19</c:v>
                </c:pt>
                <c:pt idx="30">
                  <c:v>25.21</c:v>
                </c:pt>
                <c:pt idx="31">
                  <c:v>11.33</c:v>
                </c:pt>
                <c:pt idx="32">
                  <c:v>6.5389999999999997</c:v>
                </c:pt>
                <c:pt idx="33">
                  <c:v>4.9169999999999998</c:v>
                </c:pt>
                <c:pt idx="34">
                  <c:v>5.5940000000000003</c:v>
                </c:pt>
                <c:pt idx="35">
                  <c:v>57.76</c:v>
                </c:pt>
                <c:pt idx="36">
                  <c:v>58.37</c:v>
                </c:pt>
                <c:pt idx="37">
                  <c:v>59.22</c:v>
                </c:pt>
                <c:pt idx="38">
                  <c:v>72.790000000000006</c:v>
                </c:pt>
                <c:pt idx="39">
                  <c:v>60.3</c:v>
                </c:pt>
                <c:pt idx="40">
                  <c:v>55.68</c:v>
                </c:pt>
                <c:pt idx="41">
                  <c:v>40.299999999999997</c:v>
                </c:pt>
                <c:pt idx="42">
                  <c:v>31.66</c:v>
                </c:pt>
                <c:pt idx="43">
                  <c:v>10.27</c:v>
                </c:pt>
                <c:pt idx="44">
                  <c:v>5.41</c:v>
                </c:pt>
                <c:pt idx="45">
                  <c:v>4.1470000000000002</c:v>
                </c:pt>
                <c:pt idx="46">
                  <c:v>7.8090000000000002</c:v>
                </c:pt>
                <c:pt idx="47">
                  <c:v>97.74</c:v>
                </c:pt>
                <c:pt idx="48">
                  <c:v>50.76</c:v>
                </c:pt>
                <c:pt idx="49">
                  <c:v>35.14</c:v>
                </c:pt>
                <c:pt idx="50">
                  <c:v>45.88</c:v>
                </c:pt>
                <c:pt idx="51">
                  <c:v>43.37</c:v>
                </c:pt>
                <c:pt idx="52">
                  <c:v>26.61</c:v>
                </c:pt>
                <c:pt idx="53">
                  <c:v>19.850000000000001</c:v>
                </c:pt>
                <c:pt idx="54">
                  <c:v>20.12</c:v>
                </c:pt>
                <c:pt idx="55">
                  <c:v>6.694</c:v>
                </c:pt>
                <c:pt idx="56">
                  <c:v>4.4480000000000004</c:v>
                </c:pt>
                <c:pt idx="57">
                  <c:v>3.4580000000000002</c:v>
                </c:pt>
                <c:pt idx="58">
                  <c:v>3.9529999999999998</c:v>
                </c:pt>
                <c:pt idx="59">
                  <c:v>10.38</c:v>
                </c:pt>
                <c:pt idx="60">
                  <c:v>25.37</c:v>
                </c:pt>
                <c:pt idx="61">
                  <c:v>47.26</c:v>
                </c:pt>
                <c:pt idx="62">
                  <c:v>84.06</c:v>
                </c:pt>
                <c:pt idx="63">
                  <c:v>52.99</c:v>
                </c:pt>
                <c:pt idx="64">
                  <c:v>36.17</c:v>
                </c:pt>
                <c:pt idx="65">
                  <c:v>25.97</c:v>
                </c:pt>
                <c:pt idx="66">
                  <c:v>11.91</c:v>
                </c:pt>
                <c:pt idx="67">
                  <c:v>7.3380000000000001</c:v>
                </c:pt>
                <c:pt idx="68">
                  <c:v>4.3890000000000002</c:v>
                </c:pt>
                <c:pt idx="69">
                  <c:v>4.0579999999999998</c:v>
                </c:pt>
                <c:pt idx="70">
                  <c:v>2.9910000000000001</c:v>
                </c:pt>
                <c:pt idx="71">
                  <c:v>34.29</c:v>
                </c:pt>
                <c:pt idx="72">
                  <c:v>32.46</c:v>
                </c:pt>
                <c:pt idx="73">
                  <c:v>75.48</c:v>
                </c:pt>
                <c:pt idx="74">
                  <c:v>86.96</c:v>
                </c:pt>
                <c:pt idx="75">
                  <c:v>101.3</c:v>
                </c:pt>
                <c:pt idx="76">
                  <c:v>46.37</c:v>
                </c:pt>
                <c:pt idx="77">
                  <c:v>28.92</c:v>
                </c:pt>
                <c:pt idx="78">
                  <c:v>12.8</c:v>
                </c:pt>
                <c:pt idx="79">
                  <c:v>8.2539999999999996</c:v>
                </c:pt>
                <c:pt idx="80">
                  <c:v>4.6429999999999998</c:v>
                </c:pt>
                <c:pt idx="81">
                  <c:v>2.58</c:v>
                </c:pt>
                <c:pt idx="82">
                  <c:v>1.409</c:v>
                </c:pt>
                <c:pt idx="83">
                  <c:v>2.0289999999999999</c:v>
                </c:pt>
                <c:pt idx="84">
                  <c:v>57.72</c:v>
                </c:pt>
                <c:pt idx="85">
                  <c:v>73.319999999999993</c:v>
                </c:pt>
                <c:pt idx="86">
                  <c:v>34.51</c:v>
                </c:pt>
                <c:pt idx="87">
                  <c:v>47.84</c:v>
                </c:pt>
                <c:pt idx="88">
                  <c:v>37.869999999999997</c:v>
                </c:pt>
                <c:pt idx="89">
                  <c:v>27.27</c:v>
                </c:pt>
                <c:pt idx="90">
                  <c:v>17.079999999999998</c:v>
                </c:pt>
                <c:pt idx="91">
                  <c:v>7.6550000000000002</c:v>
                </c:pt>
                <c:pt idx="92">
                  <c:v>5.335</c:v>
                </c:pt>
                <c:pt idx="93">
                  <c:v>4.819</c:v>
                </c:pt>
                <c:pt idx="94">
                  <c:v>2.3690000000000002</c:v>
                </c:pt>
                <c:pt idx="95">
                  <c:v>32.51</c:v>
                </c:pt>
                <c:pt idx="96">
                  <c:v>29.31</c:v>
                </c:pt>
                <c:pt idx="97">
                  <c:v>56.93</c:v>
                </c:pt>
                <c:pt idx="98">
                  <c:v>57.69</c:v>
                </c:pt>
                <c:pt idx="99">
                  <c:v>78.17</c:v>
                </c:pt>
                <c:pt idx="100">
                  <c:v>53.65</c:v>
                </c:pt>
                <c:pt idx="101">
                  <c:v>36.020000000000003</c:v>
                </c:pt>
                <c:pt idx="102">
                  <c:v>19.62</c:v>
                </c:pt>
                <c:pt idx="103">
                  <c:v>10.130000000000001</c:v>
                </c:pt>
                <c:pt idx="104">
                  <c:v>7.0140000000000002</c:v>
                </c:pt>
                <c:pt idx="105">
                  <c:v>5.7649999999999997</c:v>
                </c:pt>
                <c:pt idx="106">
                  <c:v>5.7389999999999999</c:v>
                </c:pt>
                <c:pt idx="107">
                  <c:v>8.7159999999999993</c:v>
                </c:pt>
                <c:pt idx="108">
                  <c:v>21.33</c:v>
                </c:pt>
                <c:pt idx="109">
                  <c:v>100.2</c:v>
                </c:pt>
                <c:pt idx="110">
                  <c:v>101.2</c:v>
                </c:pt>
                <c:pt idx="111">
                  <c:v>68.36</c:v>
                </c:pt>
                <c:pt idx="112">
                  <c:v>46.55</c:v>
                </c:pt>
                <c:pt idx="113">
                  <c:v>26.44</c:v>
                </c:pt>
                <c:pt idx="114">
                  <c:v>14.91</c:v>
                </c:pt>
                <c:pt idx="115">
                  <c:v>8.4079999999999995</c:v>
                </c:pt>
                <c:pt idx="116">
                  <c:v>6.7789999999999999</c:v>
                </c:pt>
                <c:pt idx="117">
                  <c:v>4.7610000000000001</c:v>
                </c:pt>
                <c:pt idx="118">
                  <c:v>9.3629999999999995</c:v>
                </c:pt>
                <c:pt idx="119">
                  <c:v>21.16</c:v>
                </c:pt>
                <c:pt idx="120">
                  <c:v>29.52</c:v>
                </c:pt>
              </c:numCache>
            </c:numRef>
          </c:val>
          <c:smooth val="0"/>
        </c:ser>
        <c:ser>
          <c:idx val="5"/>
          <c:order val="4"/>
          <c:tx>
            <c:strRef>
              <c:f>FLOW_OUT_129!$F$1</c:f>
              <c:strCache>
                <c:ptCount val="1"/>
                <c:pt idx="0">
                  <c:v>0.5875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FLOW_OUT_129!$F$1:$F$726</c:f>
              <c:numCache>
                <c:formatCode>0.00</c:formatCode>
                <c:ptCount val="726"/>
                <c:pt idx="0" formatCode="@">
                  <c:v>0.58750000000000002</c:v>
                </c:pt>
                <c:pt idx="1">
                  <c:v>32.25</c:v>
                </c:pt>
                <c:pt idx="2">
                  <c:v>70.22</c:v>
                </c:pt>
                <c:pt idx="3">
                  <c:v>42.73</c:v>
                </c:pt>
                <c:pt idx="4">
                  <c:v>39.51</c:v>
                </c:pt>
                <c:pt idx="5">
                  <c:v>24.43</c:v>
                </c:pt>
                <c:pt idx="6">
                  <c:v>20.46</c:v>
                </c:pt>
                <c:pt idx="7">
                  <c:v>6.327</c:v>
                </c:pt>
                <c:pt idx="8">
                  <c:v>5.6529999999999996</c:v>
                </c:pt>
                <c:pt idx="9">
                  <c:v>5.4320000000000004</c:v>
                </c:pt>
                <c:pt idx="10">
                  <c:v>12.97</c:v>
                </c:pt>
                <c:pt idx="11">
                  <c:v>27.1</c:v>
                </c:pt>
                <c:pt idx="12">
                  <c:v>110.6</c:v>
                </c:pt>
                <c:pt idx="13">
                  <c:v>105.1</c:v>
                </c:pt>
                <c:pt idx="14">
                  <c:v>126.8</c:v>
                </c:pt>
                <c:pt idx="15">
                  <c:v>81.239999999999995</c:v>
                </c:pt>
                <c:pt idx="16">
                  <c:v>80.849999999999994</c:v>
                </c:pt>
                <c:pt idx="17">
                  <c:v>40.72</c:v>
                </c:pt>
                <c:pt idx="18">
                  <c:v>23.24</c:v>
                </c:pt>
                <c:pt idx="19">
                  <c:v>9.3870000000000005</c:v>
                </c:pt>
                <c:pt idx="20">
                  <c:v>4.6189999999999998</c:v>
                </c:pt>
                <c:pt idx="21">
                  <c:v>5.8920000000000003</c:v>
                </c:pt>
                <c:pt idx="22">
                  <c:v>9.2780000000000005</c:v>
                </c:pt>
                <c:pt idx="23">
                  <c:v>21.67</c:v>
                </c:pt>
                <c:pt idx="24">
                  <c:v>105.8</c:v>
                </c:pt>
                <c:pt idx="25">
                  <c:v>96.23</c:v>
                </c:pt>
                <c:pt idx="26">
                  <c:v>138.4</c:v>
                </c:pt>
                <c:pt idx="27">
                  <c:v>122.8</c:v>
                </c:pt>
                <c:pt idx="28">
                  <c:v>78.78</c:v>
                </c:pt>
                <c:pt idx="29">
                  <c:v>47.05</c:v>
                </c:pt>
                <c:pt idx="30">
                  <c:v>25.23</c:v>
                </c:pt>
                <c:pt idx="31">
                  <c:v>11.31</c:v>
                </c:pt>
                <c:pt idx="32">
                  <c:v>6.2469999999999999</c:v>
                </c:pt>
                <c:pt idx="33">
                  <c:v>4.9139999999999997</c:v>
                </c:pt>
                <c:pt idx="34">
                  <c:v>5.3209999999999997</c:v>
                </c:pt>
                <c:pt idx="35">
                  <c:v>49.29</c:v>
                </c:pt>
                <c:pt idx="36">
                  <c:v>52.52</c:v>
                </c:pt>
                <c:pt idx="37">
                  <c:v>53.91</c:v>
                </c:pt>
                <c:pt idx="38">
                  <c:v>69.040000000000006</c:v>
                </c:pt>
                <c:pt idx="39">
                  <c:v>58.33</c:v>
                </c:pt>
                <c:pt idx="40">
                  <c:v>54.98</c:v>
                </c:pt>
                <c:pt idx="41">
                  <c:v>40.22</c:v>
                </c:pt>
                <c:pt idx="42">
                  <c:v>31.84</c:v>
                </c:pt>
                <c:pt idx="43">
                  <c:v>10.39</c:v>
                </c:pt>
                <c:pt idx="44">
                  <c:v>5.4370000000000003</c:v>
                </c:pt>
                <c:pt idx="45">
                  <c:v>4.149</c:v>
                </c:pt>
                <c:pt idx="46">
                  <c:v>7.1749999999999998</c:v>
                </c:pt>
                <c:pt idx="47">
                  <c:v>84.62</c:v>
                </c:pt>
                <c:pt idx="48">
                  <c:v>45.94</c:v>
                </c:pt>
                <c:pt idx="49">
                  <c:v>30.14</c:v>
                </c:pt>
                <c:pt idx="50">
                  <c:v>42.28</c:v>
                </c:pt>
                <c:pt idx="51">
                  <c:v>41.35</c:v>
                </c:pt>
                <c:pt idx="52">
                  <c:v>25.66</c:v>
                </c:pt>
                <c:pt idx="53">
                  <c:v>19.48</c:v>
                </c:pt>
                <c:pt idx="54">
                  <c:v>20.059999999999999</c:v>
                </c:pt>
                <c:pt idx="55">
                  <c:v>6.6790000000000003</c:v>
                </c:pt>
                <c:pt idx="56">
                  <c:v>4.4160000000000004</c:v>
                </c:pt>
                <c:pt idx="57">
                  <c:v>3.3660000000000001</c:v>
                </c:pt>
                <c:pt idx="58">
                  <c:v>3.3849999999999998</c:v>
                </c:pt>
                <c:pt idx="59">
                  <c:v>8.6950000000000003</c:v>
                </c:pt>
                <c:pt idx="60">
                  <c:v>21.97</c:v>
                </c:pt>
                <c:pt idx="61">
                  <c:v>41.95</c:v>
                </c:pt>
                <c:pt idx="62">
                  <c:v>77.650000000000006</c:v>
                </c:pt>
                <c:pt idx="63">
                  <c:v>47.87</c:v>
                </c:pt>
                <c:pt idx="64">
                  <c:v>32.979999999999997</c:v>
                </c:pt>
                <c:pt idx="65">
                  <c:v>24.48</c:v>
                </c:pt>
                <c:pt idx="66">
                  <c:v>11.45</c:v>
                </c:pt>
                <c:pt idx="67">
                  <c:v>7.1849999999999996</c:v>
                </c:pt>
                <c:pt idx="68">
                  <c:v>4.3659999999999997</c:v>
                </c:pt>
                <c:pt idx="69">
                  <c:v>3.9740000000000002</c:v>
                </c:pt>
                <c:pt idx="70">
                  <c:v>2.673</c:v>
                </c:pt>
                <c:pt idx="71">
                  <c:v>29.38</c:v>
                </c:pt>
                <c:pt idx="72">
                  <c:v>29.16</c:v>
                </c:pt>
                <c:pt idx="73">
                  <c:v>68.5</c:v>
                </c:pt>
                <c:pt idx="74">
                  <c:v>80.78</c:v>
                </c:pt>
                <c:pt idx="75">
                  <c:v>97.01</c:v>
                </c:pt>
                <c:pt idx="76">
                  <c:v>44.22</c:v>
                </c:pt>
                <c:pt idx="77">
                  <c:v>28</c:v>
                </c:pt>
                <c:pt idx="78">
                  <c:v>12.5</c:v>
                </c:pt>
                <c:pt idx="79">
                  <c:v>7.9909999999999997</c:v>
                </c:pt>
                <c:pt idx="80">
                  <c:v>4.6230000000000002</c:v>
                </c:pt>
                <c:pt idx="81">
                  <c:v>2.5720000000000001</c:v>
                </c:pt>
                <c:pt idx="82">
                  <c:v>1.407</c:v>
                </c:pt>
                <c:pt idx="83">
                  <c:v>1.9590000000000001</c:v>
                </c:pt>
                <c:pt idx="84">
                  <c:v>50.86</c:v>
                </c:pt>
                <c:pt idx="85">
                  <c:v>67.19</c:v>
                </c:pt>
                <c:pt idx="86">
                  <c:v>30.14</c:v>
                </c:pt>
                <c:pt idx="87">
                  <c:v>44.41</c:v>
                </c:pt>
                <c:pt idx="88">
                  <c:v>36.049999999999997</c:v>
                </c:pt>
                <c:pt idx="89">
                  <c:v>26.5</c:v>
                </c:pt>
                <c:pt idx="90">
                  <c:v>16.89</c:v>
                </c:pt>
                <c:pt idx="91">
                  <c:v>7.6379999999999999</c:v>
                </c:pt>
                <c:pt idx="92">
                  <c:v>5.3280000000000003</c:v>
                </c:pt>
                <c:pt idx="93">
                  <c:v>4.7130000000000001</c:v>
                </c:pt>
                <c:pt idx="94">
                  <c:v>2.3660000000000001</c:v>
                </c:pt>
                <c:pt idx="95">
                  <c:v>27.74</c:v>
                </c:pt>
                <c:pt idx="96">
                  <c:v>26.23</c:v>
                </c:pt>
                <c:pt idx="97">
                  <c:v>51.38</c:v>
                </c:pt>
                <c:pt idx="98">
                  <c:v>51.92</c:v>
                </c:pt>
                <c:pt idx="99">
                  <c:v>73.44</c:v>
                </c:pt>
                <c:pt idx="100">
                  <c:v>50.81</c:v>
                </c:pt>
                <c:pt idx="101">
                  <c:v>34.58</c:v>
                </c:pt>
                <c:pt idx="102">
                  <c:v>19.03</c:v>
                </c:pt>
                <c:pt idx="103">
                  <c:v>10.01</c:v>
                </c:pt>
                <c:pt idx="104">
                  <c:v>6.968</c:v>
                </c:pt>
                <c:pt idx="105">
                  <c:v>5.742</c:v>
                </c:pt>
                <c:pt idx="106">
                  <c:v>5.6319999999999997</c:v>
                </c:pt>
                <c:pt idx="107">
                  <c:v>7.7809999999999997</c:v>
                </c:pt>
                <c:pt idx="108">
                  <c:v>18.7</c:v>
                </c:pt>
                <c:pt idx="109">
                  <c:v>91.52</c:v>
                </c:pt>
                <c:pt idx="110">
                  <c:v>95.71</c:v>
                </c:pt>
                <c:pt idx="111">
                  <c:v>63.79</c:v>
                </c:pt>
                <c:pt idx="112">
                  <c:v>43.98</c:v>
                </c:pt>
                <c:pt idx="113">
                  <c:v>25.27</c:v>
                </c:pt>
                <c:pt idx="114">
                  <c:v>14.48</c:v>
                </c:pt>
                <c:pt idx="115">
                  <c:v>8.3339999999999996</c:v>
                </c:pt>
                <c:pt idx="116">
                  <c:v>6.7539999999999996</c:v>
                </c:pt>
                <c:pt idx="117">
                  <c:v>4.7519999999999998</c:v>
                </c:pt>
                <c:pt idx="118">
                  <c:v>8.3490000000000002</c:v>
                </c:pt>
                <c:pt idx="119">
                  <c:v>18.079999999999998</c:v>
                </c:pt>
                <c:pt idx="120">
                  <c:v>26.38</c:v>
                </c:pt>
              </c:numCache>
            </c:numRef>
          </c:val>
          <c:smooth val="0"/>
        </c:ser>
        <c:ser>
          <c:idx val="6"/>
          <c:order val="5"/>
          <c:tx>
            <c:strRef>
              <c:f>FLOW_OUT_129!$G$1</c:f>
              <c:strCache>
                <c:ptCount val="1"/>
                <c:pt idx="0">
                  <c:v>0.9175</c:v>
                </c:pt>
              </c:strCache>
            </c:strRef>
          </c:tx>
          <c:marker>
            <c:symbol val="none"/>
          </c:marker>
          <c:cat>
            <c:numRef>
              <c:f>FLOW_OUT_129!$A$2:$A$121</c:f>
              <c:numCache>
                <c:formatCode>mm\-yy</c:formatCode>
                <c:ptCount val="120"/>
                <c:pt idx="0">
                  <c:v>29587</c:v>
                </c:pt>
                <c:pt idx="1">
                  <c:v>29618</c:v>
                </c:pt>
                <c:pt idx="2">
                  <c:v>29646</c:v>
                </c:pt>
                <c:pt idx="3">
                  <c:v>29677</c:v>
                </c:pt>
                <c:pt idx="4">
                  <c:v>29707</c:v>
                </c:pt>
                <c:pt idx="5">
                  <c:v>29738</c:v>
                </c:pt>
                <c:pt idx="6">
                  <c:v>29768</c:v>
                </c:pt>
                <c:pt idx="7">
                  <c:v>29799</c:v>
                </c:pt>
                <c:pt idx="8">
                  <c:v>29830</c:v>
                </c:pt>
                <c:pt idx="9">
                  <c:v>29860</c:v>
                </c:pt>
                <c:pt idx="10">
                  <c:v>29891</c:v>
                </c:pt>
                <c:pt idx="11">
                  <c:v>29921</c:v>
                </c:pt>
                <c:pt idx="12">
                  <c:v>29952</c:v>
                </c:pt>
                <c:pt idx="13">
                  <c:v>29983</c:v>
                </c:pt>
                <c:pt idx="14">
                  <c:v>30011</c:v>
                </c:pt>
                <c:pt idx="15">
                  <c:v>30042</c:v>
                </c:pt>
                <c:pt idx="16">
                  <c:v>30072</c:v>
                </c:pt>
                <c:pt idx="17">
                  <c:v>30103</c:v>
                </c:pt>
                <c:pt idx="18">
                  <c:v>30133</c:v>
                </c:pt>
                <c:pt idx="19">
                  <c:v>30164</c:v>
                </c:pt>
                <c:pt idx="20">
                  <c:v>30195</c:v>
                </c:pt>
                <c:pt idx="21">
                  <c:v>30225</c:v>
                </c:pt>
                <c:pt idx="22">
                  <c:v>30256</c:v>
                </c:pt>
                <c:pt idx="23">
                  <c:v>30286</c:v>
                </c:pt>
                <c:pt idx="24">
                  <c:v>30317</c:v>
                </c:pt>
                <c:pt idx="25">
                  <c:v>30348</c:v>
                </c:pt>
                <c:pt idx="26">
                  <c:v>30376</c:v>
                </c:pt>
                <c:pt idx="27">
                  <c:v>30407</c:v>
                </c:pt>
                <c:pt idx="28">
                  <c:v>30437</c:v>
                </c:pt>
                <c:pt idx="29">
                  <c:v>30468</c:v>
                </c:pt>
                <c:pt idx="30">
                  <c:v>30498</c:v>
                </c:pt>
                <c:pt idx="31">
                  <c:v>30529</c:v>
                </c:pt>
                <c:pt idx="32">
                  <c:v>30560</c:v>
                </c:pt>
                <c:pt idx="33">
                  <c:v>30590</c:v>
                </c:pt>
                <c:pt idx="34">
                  <c:v>30621</c:v>
                </c:pt>
                <c:pt idx="35">
                  <c:v>30651</c:v>
                </c:pt>
                <c:pt idx="36">
                  <c:v>30682</c:v>
                </c:pt>
                <c:pt idx="37">
                  <c:v>30713</c:v>
                </c:pt>
                <c:pt idx="38">
                  <c:v>30742</c:v>
                </c:pt>
                <c:pt idx="39">
                  <c:v>30773</c:v>
                </c:pt>
                <c:pt idx="40">
                  <c:v>30803</c:v>
                </c:pt>
                <c:pt idx="41">
                  <c:v>30834</c:v>
                </c:pt>
                <c:pt idx="42">
                  <c:v>30864</c:v>
                </c:pt>
                <c:pt idx="43">
                  <c:v>30895</c:v>
                </c:pt>
                <c:pt idx="44">
                  <c:v>30926</c:v>
                </c:pt>
                <c:pt idx="45">
                  <c:v>30956</c:v>
                </c:pt>
                <c:pt idx="46">
                  <c:v>30987</c:v>
                </c:pt>
                <c:pt idx="47">
                  <c:v>31017</c:v>
                </c:pt>
                <c:pt idx="48">
                  <c:v>31048</c:v>
                </c:pt>
                <c:pt idx="49">
                  <c:v>31079</c:v>
                </c:pt>
                <c:pt idx="50">
                  <c:v>31107</c:v>
                </c:pt>
                <c:pt idx="51">
                  <c:v>31138</c:v>
                </c:pt>
                <c:pt idx="52">
                  <c:v>31168</c:v>
                </c:pt>
                <c:pt idx="53">
                  <c:v>31199</c:v>
                </c:pt>
                <c:pt idx="54">
                  <c:v>31229</c:v>
                </c:pt>
                <c:pt idx="55">
                  <c:v>31260</c:v>
                </c:pt>
                <c:pt idx="56">
                  <c:v>31291</c:v>
                </c:pt>
                <c:pt idx="57">
                  <c:v>31321</c:v>
                </c:pt>
                <c:pt idx="58">
                  <c:v>31352</c:v>
                </c:pt>
                <c:pt idx="59">
                  <c:v>31382</c:v>
                </c:pt>
                <c:pt idx="60">
                  <c:v>31413</c:v>
                </c:pt>
                <c:pt idx="61">
                  <c:v>31444</c:v>
                </c:pt>
                <c:pt idx="62">
                  <c:v>31472</c:v>
                </c:pt>
                <c:pt idx="63">
                  <c:v>31503</c:v>
                </c:pt>
                <c:pt idx="64">
                  <c:v>31533</c:v>
                </c:pt>
                <c:pt idx="65">
                  <c:v>31564</c:v>
                </c:pt>
                <c:pt idx="66">
                  <c:v>31594</c:v>
                </c:pt>
                <c:pt idx="67">
                  <c:v>31625</c:v>
                </c:pt>
                <c:pt idx="68">
                  <c:v>31656</c:v>
                </c:pt>
                <c:pt idx="69">
                  <c:v>31686</c:v>
                </c:pt>
                <c:pt idx="70">
                  <c:v>31717</c:v>
                </c:pt>
                <c:pt idx="71">
                  <c:v>31747</c:v>
                </c:pt>
                <c:pt idx="72">
                  <c:v>31778</c:v>
                </c:pt>
                <c:pt idx="73">
                  <c:v>31809</c:v>
                </c:pt>
                <c:pt idx="74">
                  <c:v>31837</c:v>
                </c:pt>
                <c:pt idx="75">
                  <c:v>31868</c:v>
                </c:pt>
                <c:pt idx="76">
                  <c:v>31898</c:v>
                </c:pt>
                <c:pt idx="77">
                  <c:v>31929</c:v>
                </c:pt>
                <c:pt idx="78">
                  <c:v>31959</c:v>
                </c:pt>
                <c:pt idx="79">
                  <c:v>31990</c:v>
                </c:pt>
                <c:pt idx="80">
                  <c:v>32021</c:v>
                </c:pt>
                <c:pt idx="81">
                  <c:v>32051</c:v>
                </c:pt>
                <c:pt idx="82">
                  <c:v>32082</c:v>
                </c:pt>
                <c:pt idx="83">
                  <c:v>32112</c:v>
                </c:pt>
                <c:pt idx="84">
                  <c:v>32143</c:v>
                </c:pt>
                <c:pt idx="85">
                  <c:v>32174</c:v>
                </c:pt>
                <c:pt idx="86">
                  <c:v>32203</c:v>
                </c:pt>
                <c:pt idx="87">
                  <c:v>32234</c:v>
                </c:pt>
                <c:pt idx="88">
                  <c:v>32264</c:v>
                </c:pt>
                <c:pt idx="89">
                  <c:v>32295</c:v>
                </c:pt>
                <c:pt idx="90">
                  <c:v>32325</c:v>
                </c:pt>
                <c:pt idx="91">
                  <c:v>32356</c:v>
                </c:pt>
                <c:pt idx="92">
                  <c:v>32387</c:v>
                </c:pt>
                <c:pt idx="93">
                  <c:v>32417</c:v>
                </c:pt>
                <c:pt idx="94">
                  <c:v>32448</c:v>
                </c:pt>
                <c:pt idx="95">
                  <c:v>32478</c:v>
                </c:pt>
                <c:pt idx="96">
                  <c:v>32509</c:v>
                </c:pt>
                <c:pt idx="97">
                  <c:v>32540</c:v>
                </c:pt>
                <c:pt idx="98">
                  <c:v>32568</c:v>
                </c:pt>
                <c:pt idx="99">
                  <c:v>32599</c:v>
                </c:pt>
                <c:pt idx="100">
                  <c:v>32629</c:v>
                </c:pt>
                <c:pt idx="101">
                  <c:v>32660</c:v>
                </c:pt>
                <c:pt idx="102">
                  <c:v>32690</c:v>
                </c:pt>
                <c:pt idx="103">
                  <c:v>32721</c:v>
                </c:pt>
                <c:pt idx="104">
                  <c:v>32752</c:v>
                </c:pt>
                <c:pt idx="105">
                  <c:v>32782</c:v>
                </c:pt>
                <c:pt idx="106">
                  <c:v>32813</c:v>
                </c:pt>
                <c:pt idx="107">
                  <c:v>32843</c:v>
                </c:pt>
                <c:pt idx="108">
                  <c:v>32874</c:v>
                </c:pt>
                <c:pt idx="109">
                  <c:v>32905</c:v>
                </c:pt>
                <c:pt idx="110">
                  <c:v>32933</c:v>
                </c:pt>
                <c:pt idx="111">
                  <c:v>32964</c:v>
                </c:pt>
                <c:pt idx="112">
                  <c:v>32994</c:v>
                </c:pt>
                <c:pt idx="113">
                  <c:v>33025</c:v>
                </c:pt>
                <c:pt idx="114">
                  <c:v>33055</c:v>
                </c:pt>
                <c:pt idx="115">
                  <c:v>33086</c:v>
                </c:pt>
                <c:pt idx="116">
                  <c:v>33117</c:v>
                </c:pt>
                <c:pt idx="117">
                  <c:v>33147</c:v>
                </c:pt>
                <c:pt idx="118">
                  <c:v>33178</c:v>
                </c:pt>
                <c:pt idx="119">
                  <c:v>33208</c:v>
                </c:pt>
              </c:numCache>
            </c:numRef>
          </c:cat>
          <c:val>
            <c:numRef>
              <c:f>FLOW_OUT_129!$G$1:$G$726</c:f>
              <c:numCache>
                <c:formatCode>0.00</c:formatCode>
                <c:ptCount val="726"/>
                <c:pt idx="0" formatCode="@">
                  <c:v>0.91749999999999998</c:v>
                </c:pt>
                <c:pt idx="1">
                  <c:v>30.62</c:v>
                </c:pt>
                <c:pt idx="2">
                  <c:v>67.95</c:v>
                </c:pt>
                <c:pt idx="3">
                  <c:v>41.05</c:v>
                </c:pt>
                <c:pt idx="4">
                  <c:v>38.520000000000003</c:v>
                </c:pt>
                <c:pt idx="5">
                  <c:v>23.93</c:v>
                </c:pt>
                <c:pt idx="6">
                  <c:v>20.25</c:v>
                </c:pt>
                <c:pt idx="7">
                  <c:v>6.3</c:v>
                </c:pt>
                <c:pt idx="8">
                  <c:v>5.6470000000000002</c:v>
                </c:pt>
                <c:pt idx="9">
                  <c:v>5.335</c:v>
                </c:pt>
                <c:pt idx="10">
                  <c:v>12.02</c:v>
                </c:pt>
                <c:pt idx="11">
                  <c:v>25.82</c:v>
                </c:pt>
                <c:pt idx="12">
                  <c:v>106.5</c:v>
                </c:pt>
                <c:pt idx="13">
                  <c:v>102.1</c:v>
                </c:pt>
                <c:pt idx="14">
                  <c:v>124.7</c:v>
                </c:pt>
                <c:pt idx="15">
                  <c:v>79.88</c:v>
                </c:pt>
                <c:pt idx="16">
                  <c:v>80.2</c:v>
                </c:pt>
                <c:pt idx="17">
                  <c:v>40.47</c:v>
                </c:pt>
                <c:pt idx="18">
                  <c:v>23.17</c:v>
                </c:pt>
                <c:pt idx="19">
                  <c:v>9.41</c:v>
                </c:pt>
                <c:pt idx="20">
                  <c:v>4.62</c:v>
                </c:pt>
                <c:pt idx="21">
                  <c:v>5.6980000000000004</c:v>
                </c:pt>
                <c:pt idx="22">
                  <c:v>8.6210000000000004</c:v>
                </c:pt>
                <c:pt idx="23">
                  <c:v>20.34</c:v>
                </c:pt>
                <c:pt idx="24">
                  <c:v>101.3</c:v>
                </c:pt>
                <c:pt idx="25">
                  <c:v>93.33</c:v>
                </c:pt>
                <c:pt idx="26">
                  <c:v>136</c:v>
                </c:pt>
                <c:pt idx="27">
                  <c:v>121.4</c:v>
                </c:pt>
                <c:pt idx="28">
                  <c:v>78.11</c:v>
                </c:pt>
                <c:pt idx="29">
                  <c:v>46.81</c:v>
                </c:pt>
                <c:pt idx="30">
                  <c:v>25.15</c:v>
                </c:pt>
                <c:pt idx="31">
                  <c:v>11.29</c:v>
                </c:pt>
                <c:pt idx="32">
                  <c:v>6.15</c:v>
                </c:pt>
                <c:pt idx="33">
                  <c:v>4.907</c:v>
                </c:pt>
                <c:pt idx="34">
                  <c:v>5.2539999999999996</c:v>
                </c:pt>
                <c:pt idx="35">
                  <c:v>46.54</c:v>
                </c:pt>
                <c:pt idx="36">
                  <c:v>50.3</c:v>
                </c:pt>
                <c:pt idx="37">
                  <c:v>51.65</c:v>
                </c:pt>
                <c:pt idx="38">
                  <c:v>67.010000000000005</c:v>
                </c:pt>
                <c:pt idx="39">
                  <c:v>56.93</c:v>
                </c:pt>
                <c:pt idx="40">
                  <c:v>54.21</c:v>
                </c:pt>
                <c:pt idx="41">
                  <c:v>39.89</c:v>
                </c:pt>
                <c:pt idx="42">
                  <c:v>31.79</c:v>
                </c:pt>
                <c:pt idx="43">
                  <c:v>10.43</c:v>
                </c:pt>
                <c:pt idx="44">
                  <c:v>5.4450000000000003</c:v>
                </c:pt>
                <c:pt idx="45">
                  <c:v>4.1509999999999998</c:v>
                </c:pt>
                <c:pt idx="46">
                  <c:v>6.9640000000000004</c:v>
                </c:pt>
                <c:pt idx="47">
                  <c:v>79.489999999999995</c:v>
                </c:pt>
                <c:pt idx="48">
                  <c:v>44.06</c:v>
                </c:pt>
                <c:pt idx="49">
                  <c:v>27.85</c:v>
                </c:pt>
                <c:pt idx="50">
                  <c:v>40.42</c:v>
                </c:pt>
                <c:pt idx="51">
                  <c:v>39.96</c:v>
                </c:pt>
                <c:pt idx="52">
                  <c:v>24.84</c:v>
                </c:pt>
                <c:pt idx="53">
                  <c:v>18.989999999999998</c:v>
                </c:pt>
                <c:pt idx="54">
                  <c:v>19.86</c:v>
                </c:pt>
                <c:pt idx="55">
                  <c:v>6.6470000000000002</c:v>
                </c:pt>
                <c:pt idx="56">
                  <c:v>4.4039999999999999</c:v>
                </c:pt>
                <c:pt idx="57">
                  <c:v>3.3450000000000002</c:v>
                </c:pt>
                <c:pt idx="58">
                  <c:v>3.2360000000000002</c:v>
                </c:pt>
                <c:pt idx="59">
                  <c:v>8.1880000000000006</c:v>
                </c:pt>
                <c:pt idx="60">
                  <c:v>20.84</c:v>
                </c:pt>
                <c:pt idx="61">
                  <c:v>39.89</c:v>
                </c:pt>
                <c:pt idx="62">
                  <c:v>75.14</c:v>
                </c:pt>
                <c:pt idx="63">
                  <c:v>45.72</c:v>
                </c:pt>
                <c:pt idx="64">
                  <c:v>31.54</c:v>
                </c:pt>
                <c:pt idx="65">
                  <c:v>23.77</c:v>
                </c:pt>
                <c:pt idx="66">
                  <c:v>11.18</c:v>
                </c:pt>
                <c:pt idx="67">
                  <c:v>7.1130000000000004</c:v>
                </c:pt>
                <c:pt idx="68">
                  <c:v>4.3520000000000003</c:v>
                </c:pt>
                <c:pt idx="69">
                  <c:v>3.9630000000000001</c:v>
                </c:pt>
                <c:pt idx="70">
                  <c:v>2.5979999999999999</c:v>
                </c:pt>
                <c:pt idx="71">
                  <c:v>27.49</c:v>
                </c:pt>
                <c:pt idx="72">
                  <c:v>27.97</c:v>
                </c:pt>
                <c:pt idx="73">
                  <c:v>66.31</c:v>
                </c:pt>
                <c:pt idx="74">
                  <c:v>78.599999999999994</c:v>
                </c:pt>
                <c:pt idx="75">
                  <c:v>95.47</c:v>
                </c:pt>
                <c:pt idx="76">
                  <c:v>43.4</c:v>
                </c:pt>
                <c:pt idx="77">
                  <c:v>27.63</c:v>
                </c:pt>
                <c:pt idx="78">
                  <c:v>12.36</c:v>
                </c:pt>
                <c:pt idx="79">
                  <c:v>7.9119999999999999</c:v>
                </c:pt>
                <c:pt idx="80">
                  <c:v>4.6130000000000004</c:v>
                </c:pt>
                <c:pt idx="81">
                  <c:v>2.569</c:v>
                </c:pt>
                <c:pt idx="82">
                  <c:v>1.405</c:v>
                </c:pt>
                <c:pt idx="83">
                  <c:v>1.946</c:v>
                </c:pt>
                <c:pt idx="84">
                  <c:v>48.04</c:v>
                </c:pt>
                <c:pt idx="85">
                  <c:v>65.56</c:v>
                </c:pt>
                <c:pt idx="86">
                  <c:v>28.9</c:v>
                </c:pt>
                <c:pt idx="87">
                  <c:v>43.28</c:v>
                </c:pt>
                <c:pt idx="88">
                  <c:v>35.35</c:v>
                </c:pt>
                <c:pt idx="89">
                  <c:v>26.1</c:v>
                </c:pt>
                <c:pt idx="90">
                  <c:v>16.690000000000001</c:v>
                </c:pt>
                <c:pt idx="91">
                  <c:v>7.5949999999999998</c:v>
                </c:pt>
                <c:pt idx="92">
                  <c:v>5.3170000000000002</c:v>
                </c:pt>
                <c:pt idx="93">
                  <c:v>4.6870000000000003</c:v>
                </c:pt>
                <c:pt idx="94">
                  <c:v>2.3620000000000001</c:v>
                </c:pt>
                <c:pt idx="95">
                  <c:v>26.17</c:v>
                </c:pt>
                <c:pt idx="96">
                  <c:v>25.26</c:v>
                </c:pt>
                <c:pt idx="97">
                  <c:v>49.8</c:v>
                </c:pt>
                <c:pt idx="98">
                  <c:v>50.04</c:v>
                </c:pt>
                <c:pt idx="99">
                  <c:v>71.86</c:v>
                </c:pt>
                <c:pt idx="100">
                  <c:v>49.84</c:v>
                </c:pt>
                <c:pt idx="101">
                  <c:v>34.08</c:v>
                </c:pt>
                <c:pt idx="102">
                  <c:v>18.829999999999998</c:v>
                </c:pt>
                <c:pt idx="103">
                  <c:v>9.9849999999999994</c:v>
                </c:pt>
                <c:pt idx="104">
                  <c:v>6.9580000000000002</c:v>
                </c:pt>
                <c:pt idx="105">
                  <c:v>5.7380000000000004</c:v>
                </c:pt>
                <c:pt idx="106">
                  <c:v>5.6130000000000004</c:v>
                </c:pt>
                <c:pt idx="107">
                  <c:v>7.391</c:v>
                </c:pt>
                <c:pt idx="108">
                  <c:v>17.739999999999998</c:v>
                </c:pt>
                <c:pt idx="109">
                  <c:v>88.49</c:v>
                </c:pt>
                <c:pt idx="110">
                  <c:v>93.81</c:v>
                </c:pt>
                <c:pt idx="111">
                  <c:v>62.12</c:v>
                </c:pt>
                <c:pt idx="112">
                  <c:v>42.93</c:v>
                </c:pt>
                <c:pt idx="113">
                  <c:v>24.75</c:v>
                </c:pt>
                <c:pt idx="114">
                  <c:v>14.28</c:v>
                </c:pt>
                <c:pt idx="115">
                  <c:v>8.3000000000000007</c:v>
                </c:pt>
                <c:pt idx="116">
                  <c:v>6.742</c:v>
                </c:pt>
                <c:pt idx="117">
                  <c:v>4.7480000000000002</c:v>
                </c:pt>
                <c:pt idx="118">
                  <c:v>7.9580000000000002</c:v>
                </c:pt>
                <c:pt idx="119">
                  <c:v>17.09</c:v>
                </c:pt>
                <c:pt idx="120">
                  <c:v>25.46</c:v>
                </c:pt>
              </c:numCache>
            </c:numRef>
          </c:val>
          <c:smooth val="0"/>
        </c:ser>
        <c:dLbls>
          <c:showLegendKey val="0"/>
          <c:showVal val="0"/>
          <c:showCatName val="0"/>
          <c:showSerName val="0"/>
          <c:showPercent val="0"/>
          <c:showBubbleSize val="0"/>
        </c:dLbls>
        <c:marker val="1"/>
        <c:smooth val="0"/>
        <c:axId val="40495616"/>
        <c:axId val="40081600"/>
      </c:lineChart>
      <c:dateAx>
        <c:axId val="40495616"/>
        <c:scaling>
          <c:orientation val="minMax"/>
          <c:max val="33239"/>
        </c:scaling>
        <c:delete val="0"/>
        <c:axPos val="b"/>
        <c:title>
          <c:tx>
            <c:rich>
              <a:bodyPr/>
              <a:lstStyle/>
              <a:p>
                <a:pPr>
                  <a:defRPr sz="1800"/>
                </a:pPr>
                <a:r>
                  <a:rPr lang="en-US" sz="1800"/>
                  <a:t>Date</a:t>
                </a:r>
              </a:p>
            </c:rich>
          </c:tx>
          <c:overlay val="0"/>
        </c:title>
        <c:numFmt formatCode="mm\-yy"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40081600"/>
        <c:crosses val="autoZero"/>
        <c:auto val="1"/>
        <c:lblOffset val="100"/>
        <c:baseTimeUnit val="months"/>
        <c:majorUnit val="1"/>
        <c:majorTimeUnit val="years"/>
      </c:dateAx>
      <c:valAx>
        <c:axId val="40081600"/>
        <c:scaling>
          <c:orientation val="minMax"/>
          <c:max val="150"/>
          <c:min val="0"/>
        </c:scaling>
        <c:delete val="0"/>
        <c:axPos val="l"/>
        <c:title>
          <c:tx>
            <c:rich>
              <a:bodyPr rot="-5400000" vert="horz"/>
              <a:lstStyle/>
              <a:p>
                <a:pPr>
                  <a:defRPr sz="1800"/>
                </a:pPr>
                <a:r>
                  <a:rPr lang="en-US" sz="1800"/>
                  <a:t>Flow (cms)</a:t>
                </a:r>
              </a:p>
            </c:rich>
          </c:tx>
          <c:overlay val="0"/>
        </c:title>
        <c:numFmt formatCode="@" sourceLinked="1"/>
        <c:majorTickMark val="out"/>
        <c:minorTickMark val="none"/>
        <c:tickLblPos val="nextTo"/>
        <c:spPr>
          <a:ln w="19050">
            <a:solidFill>
              <a:schemeClr val="tx1"/>
            </a:solidFill>
          </a:ln>
        </c:spPr>
        <c:txPr>
          <a:bodyPr/>
          <a:lstStyle/>
          <a:p>
            <a:pPr>
              <a:defRPr sz="1200" b="1">
                <a:latin typeface="Arial" panose="020B0604020202020204" pitchFamily="34" charset="0"/>
                <a:cs typeface="Arial" panose="020B0604020202020204" pitchFamily="34" charset="0"/>
              </a:defRPr>
            </a:pPr>
            <a:endParaRPr lang="en-US"/>
          </a:p>
        </c:txPr>
        <c:crossAx val="40495616"/>
        <c:crosses val="autoZero"/>
        <c:crossBetween val="between"/>
        <c:majorUnit val="50"/>
      </c:valAx>
    </c:plotArea>
    <c:legend>
      <c:legendPos val="b"/>
      <c:overlay val="0"/>
      <c:txPr>
        <a:bodyPr/>
        <a:lstStyle/>
        <a:p>
          <a:pPr>
            <a:defRPr sz="1200"/>
          </a:pPr>
          <a:endParaRPr lang="en-U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2F5A5-8C91-4ED2-8A44-B7875D9E7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7076</Words>
  <Characters>40338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Portland State University</Company>
  <LinksUpToDate>false</LinksUpToDate>
  <CharactersWithSpaces>47320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Psaris</dc:creator>
  <cp:lastModifiedBy>Alexander Psaris</cp:lastModifiedBy>
  <cp:revision>2</cp:revision>
  <dcterms:created xsi:type="dcterms:W3CDTF">2013-11-26T20:48:00Z</dcterms:created>
  <dcterms:modified xsi:type="dcterms:W3CDTF">2013-11-26T20:48:00Z</dcterms:modified>
</cp:coreProperties>
</file>