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F8" w:rsidRDefault="001634C2">
      <w:r>
        <w:t>Roteiro para fazer testes</w:t>
      </w:r>
    </w:p>
    <w:p w:rsidR="001634C2" w:rsidRDefault="001634C2"/>
    <w:p w:rsidR="001634C2" w:rsidRDefault="001634C2">
      <w:r>
        <w:t xml:space="preserve">Acessado a página do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</w:p>
    <w:p w:rsidR="001634C2" w:rsidRDefault="00F33FF2">
      <w:hyperlink r:id="rId5" w:history="1">
        <w:r w:rsidR="001634C2">
          <w:rPr>
            <w:rStyle w:val="Hyperlink"/>
          </w:rPr>
          <w:t xml:space="preserve">Testar a acessibilidade do seu </w:t>
        </w:r>
        <w:proofErr w:type="spellStart"/>
        <w:proofErr w:type="gramStart"/>
        <w:r w:rsidR="001634C2">
          <w:rPr>
            <w:rStyle w:val="Hyperlink"/>
          </w:rPr>
          <w:t>app</w:t>
        </w:r>
        <w:proofErr w:type="spellEnd"/>
        <w:r w:rsidR="001634C2">
          <w:rPr>
            <w:rStyle w:val="Hyperlink"/>
          </w:rPr>
          <w:t xml:space="preserve">  |</w:t>
        </w:r>
        <w:proofErr w:type="gramEnd"/>
        <w:r w:rsidR="001634C2">
          <w:rPr>
            <w:rStyle w:val="Hyperlink"/>
          </w:rPr>
          <w:t xml:space="preserve">  Desenvolvedores </w:t>
        </w:r>
        <w:proofErr w:type="spellStart"/>
        <w:r w:rsidR="001634C2">
          <w:rPr>
            <w:rStyle w:val="Hyperlink"/>
          </w:rPr>
          <w:t>Android</w:t>
        </w:r>
        <w:proofErr w:type="spellEnd"/>
        <w:r w:rsidR="001634C2">
          <w:rPr>
            <w:rStyle w:val="Hyperlink"/>
          </w:rPr>
          <w:t xml:space="preserve">  |  </w:t>
        </w:r>
        <w:proofErr w:type="spellStart"/>
        <w:r w:rsidR="001634C2">
          <w:rPr>
            <w:rStyle w:val="Hyperlink"/>
          </w:rPr>
          <w:t>Android</w:t>
        </w:r>
        <w:proofErr w:type="spellEnd"/>
        <w:r w:rsidR="001634C2">
          <w:rPr>
            <w:rStyle w:val="Hyperlink"/>
          </w:rPr>
          <w:t xml:space="preserve"> </w:t>
        </w:r>
        <w:proofErr w:type="spellStart"/>
        <w:r w:rsidR="001634C2">
          <w:rPr>
            <w:rStyle w:val="Hyperlink"/>
          </w:rPr>
          <w:t>Developers</w:t>
        </w:r>
        <w:proofErr w:type="spellEnd"/>
      </w:hyperlink>
      <w:r w:rsidR="001634C2">
        <w:tab/>
      </w:r>
    </w:p>
    <w:p w:rsidR="001634C2" w:rsidRDefault="001634C2">
      <w:r>
        <w:t>Os testes de acessibilidade viabilizam encontrar problemas de usabilidade de acessibilidade que durante o desenvolvimento do aplicativo algumas vezes não é possível identificar.</w:t>
      </w:r>
    </w:p>
    <w:p w:rsidR="001634C2" w:rsidRDefault="001634C2">
      <w:r>
        <w:t>Mesmo ferramentas como o Lint tem a característica de realizarem analises estáticas cobrindo relativamente aspectos que o usuário durante o uso do aplicativo não será beneficiado.</w:t>
      </w:r>
    </w:p>
    <w:p w:rsidR="001634C2" w:rsidRDefault="001634C2">
      <w:r>
        <w:t>Portanto é necessário recorrer a outros recursos para tornar o aplicativo mais poderoso e versátil. Dessa forma todos os usuários serão beneficiados, incluindo idosos e portadores de deficiências.</w:t>
      </w:r>
    </w:p>
    <w:p w:rsidR="001634C2" w:rsidRDefault="001634C2" w:rsidP="001634C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Há várias estratégias de testes entre as mais conhecidas temos: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 manual: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Quando o </w:t>
      </w:r>
      <w:proofErr w:type="spellStart"/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é 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utilizado com o uso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os serviços de acessibilidade do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Android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Exemplo: </w:t>
      </w:r>
      <w:proofErr w:type="spellStart"/>
      <w:r w:rsidR="00560974">
        <w:rPr>
          <w:rFonts w:ascii="Roboto" w:hAnsi="Roboto"/>
          <w:color w:val="202124"/>
          <w:shd w:val="clear" w:color="auto" w:fill="FFFFFF"/>
        </w:rPr>
        <w:t>TalkBack</w:t>
      </w:r>
      <w:proofErr w:type="spellEnd"/>
      <w:r w:rsidR="00560974">
        <w:rPr>
          <w:rFonts w:ascii="Roboto" w:hAnsi="Roboto"/>
          <w:color w:val="202124"/>
          <w:shd w:val="clear" w:color="auto" w:fill="FFFFFF"/>
        </w:rPr>
        <w:t xml:space="preserve">, </w:t>
      </w:r>
      <w:proofErr w:type="gramStart"/>
      <w:r w:rsidR="00560974">
        <w:rPr>
          <w:rFonts w:ascii="Roboto" w:hAnsi="Roboto"/>
          <w:color w:val="202124"/>
          <w:shd w:val="clear" w:color="auto" w:fill="FFFFFF"/>
        </w:rPr>
        <w:t>Acesso</w:t>
      </w:r>
      <w:proofErr w:type="gramEnd"/>
      <w:r w:rsidR="00560974">
        <w:rPr>
          <w:rFonts w:ascii="Roboto" w:hAnsi="Roboto"/>
          <w:color w:val="202124"/>
          <w:shd w:val="clear" w:color="auto" w:fill="FFFFFF"/>
        </w:rPr>
        <w:t xml:space="preserve"> com interruptor,</w:t>
      </w:r>
      <w:r w:rsidR="00560974" w:rsidRPr="00560974">
        <w:rPr>
          <w:rStyle w:val="Hyperlink"/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="00560974">
        <w:rPr>
          <w:rStyle w:val="Forte"/>
          <w:rFonts w:ascii="Roboto" w:hAnsi="Roboto"/>
          <w:color w:val="202124"/>
          <w:shd w:val="clear" w:color="auto" w:fill="FFFFFF"/>
        </w:rPr>
        <w:t>BrailleBack</w:t>
      </w:r>
      <w:proofErr w:type="spellEnd"/>
      <w:r w:rsidR="00560974">
        <w:rPr>
          <w:rStyle w:val="Forte"/>
          <w:rFonts w:ascii="Roboto" w:hAnsi="Roboto"/>
          <w:color w:val="202124"/>
          <w:shd w:val="clear" w:color="auto" w:fill="FFFFFF"/>
        </w:rPr>
        <w:t>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Testes com ferramentas de análise: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ferramentas para descobrir 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meios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de melhorar a acessibilidade do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Exemplo: Scanner.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 automatizado: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o teste de acessibilidade no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Espresso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 no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Robolectric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Testes de usuários: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feedback de pessoas reais que interagem com seu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1634C2" w:rsidRDefault="001634C2"/>
    <w:p w:rsidR="00560974" w:rsidRDefault="005102C4">
      <w:r>
        <w:t xml:space="preserve">Resultado do teste com </w:t>
      </w:r>
      <w:proofErr w:type="spellStart"/>
      <w:r>
        <w:t>Talk</w:t>
      </w:r>
      <w:r w:rsidR="00DB3000">
        <w:t>back</w:t>
      </w:r>
      <w:proofErr w:type="spellEnd"/>
    </w:p>
    <w:p w:rsidR="00DB3000" w:rsidRDefault="00DB3000">
      <w:r>
        <w:t>Resultado do teste com o interruptor</w:t>
      </w:r>
    </w:p>
    <w:p w:rsidR="00DB3000" w:rsidRDefault="00DB3000"/>
    <w:p w:rsidR="00DB3000" w:rsidRDefault="00DB3000">
      <w:r>
        <w:t>Resultado do teste com o Scanner</w:t>
      </w:r>
    </w:p>
    <w:p w:rsidR="005102C4" w:rsidRDefault="005102C4" w:rsidP="005102C4">
      <w:r>
        <w:rPr>
          <w:rFonts w:ascii="Roboto" w:hAnsi="Roboto"/>
          <w:color w:val="202124"/>
          <w:shd w:val="clear" w:color="auto" w:fill="FFFFFF"/>
        </w:rPr>
        <w:t xml:space="preserve">O </w:t>
      </w:r>
      <w:proofErr w:type="spellStart"/>
      <w:r>
        <w:rPr>
          <w:rFonts w:ascii="Roboto" w:hAnsi="Roboto"/>
          <w:color w:val="202124"/>
          <w:shd w:val="clear" w:color="auto" w:fill="FFFFFF"/>
        </w:rPr>
        <w:t>app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Scanner analisa a tela e baseado em padrões de acessibilidade fornece sugestões específicas depois de analisar marcadores de conteúdo, itens clicáveis, contraste e muito mais.</w:t>
      </w:r>
    </w:p>
    <w:p w:rsidR="00DB3000" w:rsidRDefault="005102C4">
      <w:r>
        <w:t>No 1º teste feito efetuado com o Scanner ligado foram coletadas 77 imagens e</w:t>
      </w:r>
      <w:r w:rsidR="00F86465">
        <w:t xml:space="preserve"> 77 arquivos textos.</w:t>
      </w:r>
    </w:p>
    <w:p w:rsidR="005102C4" w:rsidRDefault="005102C4"/>
    <w:p w:rsidR="000B2F3C" w:rsidRDefault="00F33FF2">
      <w:hyperlink r:id="rId6" w:history="1">
        <w:r w:rsidR="000B2F3C" w:rsidRPr="0035245C">
          <w:rPr>
            <w:rStyle w:val="Hyperlink"/>
          </w:rPr>
          <w:t>https://www.youtube.com/watch?v=riAGnGv5aAs</w:t>
        </w:r>
      </w:hyperlink>
    </w:p>
    <w:p w:rsidR="000B2F3C" w:rsidRDefault="000B2F3C">
      <w:r>
        <w:t>Vídeo orientando sobre as diversas ferramentas e configuração para realizar testes de validação de acessibilidade.</w:t>
      </w:r>
    </w:p>
    <w:p w:rsidR="00BC2FA0" w:rsidRDefault="00F33FF2">
      <w:hyperlink r:id="rId7" w:history="1">
        <w:r w:rsidR="00BC2FA0" w:rsidRPr="0035245C">
          <w:rPr>
            <w:rStyle w:val="Hyperlink"/>
          </w:rPr>
          <w:t>https://www.lambda3.com.br/2022/08/guia-de-cores-para-acessibilidade/</w:t>
        </w:r>
      </w:hyperlink>
      <w:r w:rsidR="00BC2FA0">
        <w:tab/>
      </w:r>
    </w:p>
    <w:p w:rsidR="00BC2FA0" w:rsidRDefault="00BC2FA0">
      <w:r>
        <w:t xml:space="preserve">Site falando sobre o uso adequado de cores para estimular a acessibilidade. </w:t>
      </w:r>
    </w:p>
    <w:p w:rsidR="00BC2FA0" w:rsidRDefault="00BC2FA0" w:rsidP="00BC2FA0">
      <w:r>
        <w:t>No referido é os tópicos abordados serão acessibilidade das cores, contraste, contraste tem papel limitado e ferramentas.</w:t>
      </w:r>
    </w:p>
    <w:p w:rsidR="00BC2FA0" w:rsidRPr="00BC2FA0" w:rsidRDefault="00BC2FA0" w:rsidP="00BC2FA0">
      <w:r>
        <w:t xml:space="preserve">Necessário é ter uma direção de design inclusivo (e empatia). Acessibilidade é a usabilidade para pessoas que interagem com produtos de formas diferentes. É importante ter uma compreensão clara das principais categorias de deficiências, limitações ou </w:t>
      </w:r>
      <w:proofErr w:type="spellStart"/>
      <w:r>
        <w:t>restriçoes</w:t>
      </w:r>
      <w:proofErr w:type="spellEnd"/>
      <w:r>
        <w:t xml:space="preserve"> para oferecer recursos de acessibilidade.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Deficiências visuais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cegueira e baixa visão, daltonismo…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Deficiências auditivas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surdez e baixa audição, zumbido…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Problemas motores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tremores nas mãos, deformidades físicas ou amputações…</w:t>
      </w:r>
    </w:p>
    <w:p w:rsid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Distúrbios cognitivos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dislexia, demência ou privação de sono…</w:t>
      </w:r>
    </w:p>
    <w:p w:rsidR="004D396B" w:rsidRDefault="004D396B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É importante entender que todos enfrentam algum tipo de deficiência permanente, temporária ou situacional em sua vida. Um exemplo interessante para entender esse conceito é:</w:t>
      </w:r>
      <w:r>
        <w:rPr>
          <w:rFonts w:ascii="Segoe UI" w:hAnsi="Segoe UI" w:cs="Segoe UI"/>
          <w:color w:val="666655"/>
          <w:shd w:val="clear" w:color="auto" w:fill="FFFFFF"/>
        </w:rPr>
        <w:t xml:space="preserve"> ter apenas um braço é uma condição permanente, ter um braço engessado é temporário e segurar um bebê em um braço é situacional – </w:t>
      </w:r>
      <w:r>
        <w:rPr>
          <w:rStyle w:val="nfase"/>
          <w:rFonts w:ascii="Segoe UI" w:hAnsi="Segoe UI" w:cs="Segoe UI"/>
          <w:color w:val="666655"/>
          <w:shd w:val="clear" w:color="auto" w:fill="FFFFFF"/>
        </w:rPr>
        <w:t>mas em cada caso você está restrito a completar tarefas com um braço.</w:t>
      </w:r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</w:p>
    <w:p w:rsidR="00C119DA" w:rsidRDefault="00F33FF2" w:rsidP="004D396B">
      <w:pPr>
        <w:shd w:val="clear" w:color="auto" w:fill="FFFFFF"/>
        <w:spacing w:before="100" w:beforeAutospacing="1" w:after="100" w:afterAutospacing="1" w:line="420" w:lineRule="atLeast"/>
      </w:pPr>
      <w:hyperlink r:id="rId8" w:history="1">
        <w:proofErr w:type="spellStart"/>
        <w:r w:rsidR="00C119DA">
          <w:rPr>
            <w:rStyle w:val="Hyperlink"/>
          </w:rPr>
          <w:t>Contrast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Ratio</w:t>
        </w:r>
        <w:proofErr w:type="spellEnd"/>
        <w:r w:rsidR="00C119DA">
          <w:rPr>
            <w:rStyle w:val="Hyperlink"/>
          </w:rPr>
          <w:t xml:space="preserve">: </w:t>
        </w:r>
        <w:proofErr w:type="spellStart"/>
        <w:r w:rsidR="00C119DA">
          <w:rPr>
            <w:rStyle w:val="Hyperlink"/>
          </w:rPr>
          <w:t>Easily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calculate</w:t>
        </w:r>
        <w:proofErr w:type="spellEnd"/>
        <w:r w:rsidR="00C119DA">
          <w:rPr>
            <w:rStyle w:val="Hyperlink"/>
          </w:rPr>
          <w:t xml:space="preserve"> color </w:t>
        </w:r>
        <w:proofErr w:type="spellStart"/>
        <w:r w:rsidR="00C119DA">
          <w:rPr>
            <w:rStyle w:val="Hyperlink"/>
          </w:rPr>
          <w:t>contrast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ratios</w:t>
        </w:r>
        <w:proofErr w:type="spellEnd"/>
        <w:r w:rsidR="00C119DA">
          <w:rPr>
            <w:rStyle w:val="Hyperlink"/>
          </w:rPr>
          <w:t xml:space="preserve">. </w:t>
        </w:r>
        <w:proofErr w:type="spellStart"/>
        <w:r w:rsidR="00C119DA">
          <w:rPr>
            <w:rStyle w:val="Hyperlink"/>
          </w:rPr>
          <w:t>Passing</w:t>
        </w:r>
        <w:proofErr w:type="spellEnd"/>
        <w:r w:rsidR="00C119DA">
          <w:rPr>
            <w:rStyle w:val="Hyperlink"/>
          </w:rPr>
          <w:t xml:space="preserve"> WCAG </w:t>
        </w:r>
        <w:proofErr w:type="spellStart"/>
        <w:r w:rsidR="00C119DA">
          <w:rPr>
            <w:rStyle w:val="Hyperlink"/>
          </w:rPr>
          <w:t>was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never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this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easy</w:t>
        </w:r>
        <w:proofErr w:type="spellEnd"/>
        <w:r w:rsidR="00C119DA">
          <w:rPr>
            <w:rStyle w:val="Hyperlink"/>
          </w:rPr>
          <w:t>! (</w:t>
        </w:r>
        <w:proofErr w:type="gramStart"/>
        <w:r w:rsidR="00C119DA">
          <w:rPr>
            <w:rStyle w:val="Hyperlink"/>
          </w:rPr>
          <w:t>contrast-ratio.com</w:t>
        </w:r>
        <w:proofErr w:type="gramEnd"/>
        <w:r w:rsidR="00C119DA">
          <w:rPr>
            <w:rStyle w:val="Hyperlink"/>
          </w:rPr>
          <w:t>)</w:t>
        </w:r>
      </w:hyperlink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</w:pPr>
      <w:r>
        <w:t xml:space="preserve">Site para fazer teste de cores de fundo com cores de primeiro plano que indica o nível de </w:t>
      </w:r>
      <w:proofErr w:type="spellStart"/>
      <w:r>
        <w:t>constrate</w:t>
      </w:r>
      <w:proofErr w:type="spellEnd"/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B887066" wp14:editId="4797D1FB">
            <wp:extent cx="5400040" cy="1435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6B" w:rsidRDefault="004D396B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5F32DA" w:rsidRPr="005F32DA" w:rsidRDefault="005F32DA" w:rsidP="005F32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eastAsia="pt-BR"/>
        </w:rPr>
      </w:pPr>
      <w:r w:rsidRPr="005F32DA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eastAsia="pt-BR"/>
        </w:rPr>
        <w:t>Relatório de pré-lançamento no Google Play</w:t>
      </w:r>
    </w:p>
    <w:p w:rsidR="005F32DA" w:rsidRDefault="005F32DA" w:rsidP="004D396B">
      <w:pPr>
        <w:shd w:val="clear" w:color="auto" w:fill="FFFFFF"/>
        <w:spacing w:before="100" w:beforeAutospacing="1" w:after="100" w:afterAutospacing="1" w:line="420" w:lineRule="atLeast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Google Play executa testes de acessibilidade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Tamanho da área de toque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Elementos interativos no seu </w:t>
      </w:r>
      <w:proofErr w:type="spellStart"/>
      <w:r>
        <w:rPr>
          <w:rFonts w:ascii="Roboto" w:hAnsi="Roboto"/>
          <w:color w:val="202124"/>
        </w:rPr>
        <w:t>app</w:t>
      </w:r>
      <w:proofErr w:type="spellEnd"/>
      <w:r>
        <w:rPr>
          <w:rFonts w:ascii="Roboto" w:hAnsi="Roboto"/>
          <w:color w:val="202124"/>
        </w:rPr>
        <w:t xml:space="preserve"> que têm uma área focalizável ou um </w:t>
      </w:r>
      <w:hyperlink r:id="rId10" w:anchor="touch-targets" w:history="1">
        <w:r>
          <w:rPr>
            <w:rStyle w:val="Hyperlink"/>
            <w:rFonts w:ascii="Roboto" w:hAnsi="Roboto"/>
          </w:rPr>
          <w:t>tamanho da área de toque</w:t>
        </w:r>
      </w:hyperlink>
      <w:r>
        <w:rPr>
          <w:rFonts w:ascii="Roboto" w:hAnsi="Roboto"/>
          <w:color w:val="202124"/>
        </w:rPr>
        <w:t> menor que o recomendado.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Baixo contraste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Instâncias em que o par de cores </w:t>
      </w:r>
      <w:proofErr w:type="spellStart"/>
      <w:r>
        <w:rPr>
          <w:rFonts w:ascii="Roboto" w:hAnsi="Roboto"/>
          <w:color w:val="202124"/>
        </w:rPr>
        <w:t>usado</w:t>
      </w:r>
      <w:proofErr w:type="spellEnd"/>
      <w:r>
        <w:rPr>
          <w:rFonts w:ascii="Roboto" w:hAnsi="Roboto"/>
          <w:color w:val="202124"/>
        </w:rPr>
        <w:t xml:space="preserve"> para um elemento de texto e o plano de fundo atrás desse elemento têm uma </w:t>
      </w:r>
      <w:hyperlink r:id="rId11" w:anchor="color-contrast" w:history="1">
        <w:r>
          <w:rPr>
            <w:rStyle w:val="Hyperlink"/>
            <w:rFonts w:ascii="Roboto" w:hAnsi="Roboto"/>
          </w:rPr>
          <w:t>proporção de contraste de cor</w:t>
        </w:r>
      </w:hyperlink>
      <w:r>
        <w:rPr>
          <w:rFonts w:ascii="Roboto" w:hAnsi="Roboto"/>
          <w:color w:val="202124"/>
        </w:rPr>
        <w:t> menor que o recomendado.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Marcação de conteúdo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Elementos da IU que não têm um </w:t>
      </w:r>
      <w:hyperlink r:id="rId12" w:anchor="label-elements" w:history="1">
        <w:r>
          <w:rPr>
            <w:rStyle w:val="Hyperlink"/>
            <w:rFonts w:ascii="Roboto" w:hAnsi="Roboto"/>
          </w:rPr>
          <w:t>marcador que descreva a finalidade de um determinado elemento</w:t>
        </w:r>
      </w:hyperlink>
      <w:r>
        <w:rPr>
          <w:rFonts w:ascii="Roboto" w:hAnsi="Roboto"/>
          <w:color w:val="202124"/>
        </w:rPr>
        <w:t>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Implementação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Atributos designados a elementos da IU que dificultam a interpretação correta dos elementos pelos serviços de acessibilidade do sistema. Entre os exemplos estão a definição de uma descrição para um </w:t>
      </w:r>
      <w:hyperlink r:id="rId13" w:history="1">
        <w:r>
          <w:rPr>
            <w:rStyle w:val="Hyperlink"/>
            <w:rFonts w:ascii="Roboto" w:hAnsi="Roboto"/>
          </w:rPr>
          <w:t>rótulo </w:t>
        </w:r>
        <w:proofErr w:type="spellStart"/>
        <w:r>
          <w:rPr>
            <w:rStyle w:val="CdigoHTML"/>
            <w:rFonts w:ascii="var(--devsite-code-font-family)" w:eastAsiaTheme="minorHAnsi" w:hAnsi="var(--devsite-code-font-family)"/>
            <w:color w:val="0000FF"/>
            <w:u w:val="single"/>
          </w:rPr>
          <w:t>View</w:t>
        </w:r>
        <w:proofErr w:type="spellEnd"/>
        <w:r>
          <w:rPr>
            <w:rStyle w:val="Hyperlink"/>
            <w:rFonts w:ascii="Roboto" w:hAnsi="Roboto"/>
          </w:rPr>
          <w:t> editável</w:t>
        </w:r>
      </w:hyperlink>
      <w:r>
        <w:rPr>
          <w:rFonts w:ascii="Roboto" w:hAnsi="Roboto"/>
          <w:color w:val="202124"/>
        </w:rPr>
        <w:t> e o uso de uma </w:t>
      </w:r>
      <w:hyperlink r:id="rId14" w:history="1">
        <w:r>
          <w:rPr>
            <w:rStyle w:val="Hyperlink"/>
            <w:rFonts w:ascii="Roboto" w:hAnsi="Roboto"/>
          </w:rPr>
          <w:t>ordem de apresentação</w:t>
        </w:r>
      </w:hyperlink>
      <w:r>
        <w:rPr>
          <w:rFonts w:ascii="Roboto" w:hAnsi="Roboto"/>
          <w:color w:val="202124"/>
        </w:rPr>
        <w:t> de um elemento que não corresponda à disposição lógica dos elementos.</w:t>
      </w:r>
    </w:p>
    <w:p w:rsidR="005F32DA" w:rsidRDefault="005F32DA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Verificando guia de Acessibilidade</w:t>
      </w: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hyperlink r:id="rId15" w:history="1">
        <w:r w:rsidRPr="005B6946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https://www.sidi.org.br/guiadeacessibilidade/index.html#requisitos</w:t>
        </w:r>
      </w:hyperlink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Analise do aplicativo AUM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2"/>
        <w:gridCol w:w="2023"/>
        <w:gridCol w:w="3710"/>
        <w:gridCol w:w="5739"/>
        <w:gridCol w:w="1519"/>
        <w:gridCol w:w="6583"/>
        <w:gridCol w:w="3545"/>
      </w:tblGrid>
      <w:tr w:rsidR="00E833ED" w:rsidTr="00E833ED">
        <w:trPr>
          <w:trHeight w:val="333"/>
        </w:trPr>
        <w:tc>
          <w:tcPr>
            <w:tcW w:w="2022" w:type="dxa"/>
          </w:tcPr>
          <w:p w:rsidR="00E833ED" w:rsidRDefault="00E833ED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2023" w:type="dxa"/>
          </w:tcPr>
          <w:p w:rsidR="00E833ED" w:rsidRDefault="00E833ED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3710" w:type="dxa"/>
          </w:tcPr>
          <w:p w:rsidR="00E833ED" w:rsidRDefault="00E833ED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739" w:type="dxa"/>
          </w:tcPr>
          <w:p w:rsidR="00E833ED" w:rsidRDefault="00E833ED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Detalhes</w:t>
            </w:r>
          </w:p>
        </w:tc>
        <w:tc>
          <w:tcPr>
            <w:tcW w:w="1519" w:type="dxa"/>
          </w:tcPr>
          <w:p w:rsidR="00E833ED" w:rsidRDefault="00E833ED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Atendido</w:t>
            </w:r>
          </w:p>
        </w:tc>
        <w:tc>
          <w:tcPr>
            <w:tcW w:w="6583" w:type="dxa"/>
          </w:tcPr>
          <w:p w:rsidR="00E833ED" w:rsidRDefault="00E833ED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Como</w:t>
            </w:r>
          </w:p>
        </w:tc>
        <w:tc>
          <w:tcPr>
            <w:tcW w:w="3545" w:type="dxa"/>
          </w:tcPr>
          <w:p w:rsidR="00E833ED" w:rsidRDefault="00E833ED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Justificativa</w:t>
            </w:r>
          </w:p>
        </w:tc>
      </w:tr>
      <w:tr w:rsidR="00E833ED" w:rsidTr="00E833ED">
        <w:trPr>
          <w:trHeight w:val="668"/>
        </w:trPr>
        <w:tc>
          <w:tcPr>
            <w:tcW w:w="2022" w:type="dxa"/>
          </w:tcPr>
          <w:p w:rsidR="00E833ED" w:rsidRDefault="00E833ED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R01</w:t>
            </w:r>
          </w:p>
        </w:tc>
        <w:tc>
          <w:tcPr>
            <w:tcW w:w="2023" w:type="dxa"/>
          </w:tcPr>
          <w:p w:rsidR="00E833ED" w:rsidRDefault="00E833ED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E833ED" w:rsidRPr="00E833ED" w:rsidRDefault="00E833ED" w:rsidP="00E833E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E833E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e informações da interface devem contribuir diretamente para a funcionalidade da aplicação.</w:t>
            </w:r>
          </w:p>
        </w:tc>
        <w:tc>
          <w:tcPr>
            <w:tcW w:w="5739" w:type="dxa"/>
          </w:tcPr>
          <w:p w:rsidR="00E833ED" w:rsidRPr="00E833ED" w:rsidRDefault="00E833ED" w:rsidP="00E833E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E833E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utilizar componentes com propósito apenas estético pois isso aumenta a quantidade de informações para o usuário com deficiência visual memorizar quando explora e interage com a interface, aumentando a carga cognitiva.</w:t>
            </w:r>
          </w:p>
        </w:tc>
        <w:tc>
          <w:tcPr>
            <w:tcW w:w="1519" w:type="dxa"/>
          </w:tcPr>
          <w:p w:rsidR="00E833ED" w:rsidRDefault="0089139F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6583" w:type="dxa"/>
          </w:tcPr>
          <w:p w:rsidR="00E833ED" w:rsidRDefault="00E833ED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Removido Tela de Boas vindas</w:t>
            </w:r>
          </w:p>
        </w:tc>
        <w:tc>
          <w:tcPr>
            <w:tcW w:w="3545" w:type="dxa"/>
          </w:tcPr>
          <w:p w:rsidR="00E833ED" w:rsidRDefault="00E833ED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</w:tr>
      <w:tr w:rsidR="00E833ED" w:rsidTr="00E833ED">
        <w:trPr>
          <w:trHeight w:val="668"/>
        </w:trPr>
        <w:tc>
          <w:tcPr>
            <w:tcW w:w="2022" w:type="dxa"/>
          </w:tcPr>
          <w:p w:rsidR="00E833ED" w:rsidRDefault="00E833ED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R02</w:t>
            </w:r>
          </w:p>
        </w:tc>
        <w:tc>
          <w:tcPr>
            <w:tcW w:w="2023" w:type="dxa"/>
          </w:tcPr>
          <w:p w:rsidR="00E833ED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E833ED" w:rsidRPr="0089139F" w:rsidRDefault="00352954" w:rsidP="00E833E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89139F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da interface devem ser entendidos sem a utilização de cores.</w:t>
            </w:r>
          </w:p>
        </w:tc>
        <w:tc>
          <w:tcPr>
            <w:tcW w:w="5739" w:type="dxa"/>
          </w:tcPr>
          <w:p w:rsidR="00E833ED" w:rsidRPr="0089139F" w:rsidRDefault="00352954" w:rsidP="00E833E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89139F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utilizar apenas cores para identificar ou indicar a funcionalidade de componentes. Tanto o entendimento quanto a interação de usuários, sobretudo com perda parcial da visão ou daltônicos, podem ser prejudicados.</w:t>
            </w:r>
          </w:p>
        </w:tc>
        <w:tc>
          <w:tcPr>
            <w:tcW w:w="1519" w:type="dxa"/>
          </w:tcPr>
          <w:p w:rsidR="00E833ED" w:rsidRDefault="00717982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E833ED" w:rsidRDefault="00717982" w:rsidP="0089139F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 xml:space="preserve">A </w:t>
            </w:r>
            <w:r w:rsidR="0089139F"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partir da</w:t>
            </w: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 xml:space="preserve"> </w:t>
            </w:r>
            <w:r w:rsidR="0089139F"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captura</w:t>
            </w: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 xml:space="preserve"> de tela verifica-se que apenas o uso da paleta de cores não é eficiente para daltônicos</w:t>
            </w:r>
            <w:r w:rsidR="00297DDF"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 xml:space="preserve">. </w:t>
            </w:r>
            <w:hyperlink r:id="rId16" w:history="1">
              <w:r w:rsidR="00297DDF" w:rsidRPr="005B6946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eastAsia="pt-BR"/>
                </w:rPr>
                <w:t>https://carlos-andrade-aum.blogspot.com/p/testes-realizados-atraves-do-aplicativo.html</w:t>
              </w:r>
            </w:hyperlink>
          </w:p>
        </w:tc>
        <w:tc>
          <w:tcPr>
            <w:tcW w:w="3545" w:type="dxa"/>
          </w:tcPr>
          <w:p w:rsidR="00E833ED" w:rsidRDefault="00717982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A paleta de cores para identificar medicamentos</w:t>
            </w:r>
          </w:p>
        </w:tc>
      </w:tr>
      <w:tr w:rsidR="00352954" w:rsidTr="00E833ED">
        <w:trPr>
          <w:trHeight w:val="668"/>
        </w:trPr>
        <w:tc>
          <w:tcPr>
            <w:tcW w:w="2022" w:type="dxa"/>
          </w:tcPr>
          <w:p w:rsidR="00352954" w:rsidRDefault="0089139F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R03</w:t>
            </w:r>
          </w:p>
        </w:tc>
        <w:tc>
          <w:tcPr>
            <w:tcW w:w="2023" w:type="dxa"/>
          </w:tcPr>
          <w:p w:rsidR="00352954" w:rsidRDefault="0089139F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352954" w:rsidRPr="0089139F" w:rsidRDefault="0089139F" w:rsidP="00E833E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89139F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da interface devem utilizar cores com alto contraste em relação ao plano de fundo.</w:t>
            </w:r>
          </w:p>
        </w:tc>
        <w:tc>
          <w:tcPr>
            <w:tcW w:w="5739" w:type="dxa"/>
          </w:tcPr>
          <w:p w:rsidR="00352954" w:rsidRPr="0089139F" w:rsidRDefault="0089139F" w:rsidP="0089139F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89139F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falta de alto contraste entre os componentes pode fazer usuários com perda parcial da visão ignorá-los. O contraste pode ser verificado por várias ferramentas, como a</w:t>
            </w:r>
            <w:r w:rsidRPr="0089139F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</w:t>
            </w:r>
            <w:hyperlink r:id="rId17" w:history="1">
              <w:r w:rsidRPr="0089139F">
                <w:rPr>
                  <w:rStyle w:val="Hyperlink"/>
                  <w:rFonts w:ascii="Arial" w:hAnsi="Arial" w:cs="Arial"/>
                  <w:sz w:val="16"/>
                  <w:szCs w:val="16"/>
                  <w:shd w:val="clear" w:color="auto" w:fill="FFFFFF"/>
                </w:rPr>
                <w:t>http://gmazzocato.altervista.org/colorwheel/wheel.php</w:t>
              </w:r>
            </w:hyperlink>
          </w:p>
        </w:tc>
        <w:tc>
          <w:tcPr>
            <w:tcW w:w="1519" w:type="dxa"/>
          </w:tcPr>
          <w:p w:rsidR="00352954" w:rsidRDefault="0089139F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6583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  <w:tc>
          <w:tcPr>
            <w:tcW w:w="3545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</w:tr>
      <w:tr w:rsidR="00352954" w:rsidTr="00E833ED">
        <w:trPr>
          <w:trHeight w:val="668"/>
        </w:trPr>
        <w:tc>
          <w:tcPr>
            <w:tcW w:w="2022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2023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3710" w:type="dxa"/>
          </w:tcPr>
          <w:p w:rsidR="00352954" w:rsidRPr="00E833ED" w:rsidRDefault="00352954" w:rsidP="00E833E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739" w:type="dxa"/>
          </w:tcPr>
          <w:p w:rsidR="00352954" w:rsidRPr="00E833ED" w:rsidRDefault="00352954" w:rsidP="00E833E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19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6583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3545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</w:tr>
      <w:tr w:rsidR="00352954" w:rsidTr="00E833ED">
        <w:trPr>
          <w:trHeight w:val="668"/>
        </w:trPr>
        <w:tc>
          <w:tcPr>
            <w:tcW w:w="2022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2023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3710" w:type="dxa"/>
          </w:tcPr>
          <w:p w:rsidR="00352954" w:rsidRPr="00E833ED" w:rsidRDefault="00352954" w:rsidP="00E833E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739" w:type="dxa"/>
          </w:tcPr>
          <w:p w:rsidR="00352954" w:rsidRPr="00E833ED" w:rsidRDefault="00352954" w:rsidP="00E833E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19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6583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3545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</w:tr>
      <w:tr w:rsidR="00352954" w:rsidTr="00E833ED">
        <w:trPr>
          <w:trHeight w:val="668"/>
        </w:trPr>
        <w:tc>
          <w:tcPr>
            <w:tcW w:w="2022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2023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3710" w:type="dxa"/>
          </w:tcPr>
          <w:p w:rsidR="00352954" w:rsidRPr="00E833ED" w:rsidRDefault="00352954" w:rsidP="00E833E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739" w:type="dxa"/>
          </w:tcPr>
          <w:p w:rsidR="00352954" w:rsidRPr="00E833ED" w:rsidRDefault="00352954" w:rsidP="00E833E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19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6583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3545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</w:tr>
      <w:tr w:rsidR="00352954" w:rsidTr="00E833ED">
        <w:trPr>
          <w:trHeight w:val="668"/>
        </w:trPr>
        <w:tc>
          <w:tcPr>
            <w:tcW w:w="2022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2023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3710" w:type="dxa"/>
          </w:tcPr>
          <w:p w:rsidR="00352954" w:rsidRPr="00E833ED" w:rsidRDefault="00352954" w:rsidP="00E833E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739" w:type="dxa"/>
          </w:tcPr>
          <w:p w:rsidR="00352954" w:rsidRPr="00E833ED" w:rsidRDefault="00352954" w:rsidP="00E833E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19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6583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  <w:tc>
          <w:tcPr>
            <w:tcW w:w="3545" w:type="dxa"/>
          </w:tcPr>
          <w:p w:rsidR="00352954" w:rsidRDefault="00352954" w:rsidP="004D396B">
            <w:pPr>
              <w:spacing w:before="100" w:beforeAutospacing="1" w:after="100" w:afterAutospacing="1" w:line="420" w:lineRule="atLeast"/>
              <w:rPr>
                <w:rFonts w:ascii="Segoe UI" w:eastAsia="Times New Roman" w:hAnsi="Segoe UI" w:cs="Segoe UI"/>
                <w:color w:val="666655"/>
                <w:sz w:val="24"/>
                <w:szCs w:val="24"/>
                <w:lang w:eastAsia="pt-BR"/>
              </w:rPr>
            </w:pPr>
          </w:p>
        </w:tc>
      </w:tr>
    </w:tbl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Lucida Sans Unicode" w:hAnsi="Lucida Sans Unicode" w:cs="Lucida Sans Unicode"/>
          <w:color w:val="454D4E"/>
          <w:shd w:val="clear" w:color="auto" w:fill="FFFFFF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Lucida Sans Unicode" w:hAnsi="Lucida Sans Unicode" w:cs="Lucida Sans Unicode"/>
          <w:color w:val="454D4E"/>
          <w:shd w:val="clear" w:color="auto" w:fill="FFFFFF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Lucida Sans Unicode" w:hAnsi="Lucida Sans Unicode" w:cs="Lucida Sans Unicode"/>
          <w:color w:val="454D4E"/>
          <w:shd w:val="clear" w:color="auto" w:fill="FFFFFF"/>
        </w:rPr>
      </w:pPr>
    </w:p>
    <w:p w:rsidR="00E833ED" w:rsidRPr="00BC2FA0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BC2FA0" w:rsidRDefault="00BC2FA0" w:rsidP="00BC2FA0">
      <w:r>
        <w:t xml:space="preserve"> </w:t>
      </w:r>
    </w:p>
    <w:p w:rsidR="00BC2FA0" w:rsidRDefault="00BC2FA0"/>
    <w:p w:rsidR="000B2F3C" w:rsidRDefault="000B2F3C"/>
    <w:p w:rsidR="000B2F3C" w:rsidRDefault="000B2F3C"/>
    <w:p w:rsidR="005102C4" w:rsidRDefault="005102C4"/>
    <w:p w:rsidR="005102C4" w:rsidRDefault="005102C4"/>
    <w:p w:rsidR="001634C2" w:rsidRDefault="001634C2"/>
    <w:p w:rsidR="001634C2" w:rsidRDefault="001634C2">
      <w:r>
        <w:t xml:space="preserve"> </w:t>
      </w:r>
    </w:p>
    <w:sectPr w:rsidR="00163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A07CF"/>
    <w:multiLevelType w:val="multilevel"/>
    <w:tmpl w:val="7CE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70DB4"/>
    <w:multiLevelType w:val="multilevel"/>
    <w:tmpl w:val="EF5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15693"/>
    <w:multiLevelType w:val="multilevel"/>
    <w:tmpl w:val="300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C2"/>
    <w:rsid w:val="000B2F3C"/>
    <w:rsid w:val="001634C2"/>
    <w:rsid w:val="00262689"/>
    <w:rsid w:val="00273D85"/>
    <w:rsid w:val="00297DDF"/>
    <w:rsid w:val="00352954"/>
    <w:rsid w:val="00424496"/>
    <w:rsid w:val="004D396B"/>
    <w:rsid w:val="005102C4"/>
    <w:rsid w:val="00560974"/>
    <w:rsid w:val="005F32DA"/>
    <w:rsid w:val="00717982"/>
    <w:rsid w:val="0089139F"/>
    <w:rsid w:val="008D5D9F"/>
    <w:rsid w:val="00B92184"/>
    <w:rsid w:val="00BC2FA0"/>
    <w:rsid w:val="00C119DA"/>
    <w:rsid w:val="00DB3000"/>
    <w:rsid w:val="00E833ED"/>
    <w:rsid w:val="00F33FF2"/>
    <w:rsid w:val="00F8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F22E-27D6-4C80-A5DF-FA2F37B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3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34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34C2"/>
    <w:rPr>
      <w:b/>
      <w:bCs/>
    </w:rPr>
  </w:style>
  <w:style w:type="character" w:styleId="nfase">
    <w:name w:val="Emphasis"/>
    <w:basedOn w:val="Fontepargpadro"/>
    <w:uiPriority w:val="20"/>
    <w:qFormat/>
    <w:rsid w:val="00BC2FA0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5F32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devsite-heading">
    <w:name w:val="devsite-heading"/>
    <w:basedOn w:val="Fontepargpadro"/>
    <w:rsid w:val="005F32DA"/>
  </w:style>
  <w:style w:type="character" w:styleId="CdigoHTML">
    <w:name w:val="HTML Code"/>
    <w:basedOn w:val="Fontepargpadro"/>
    <w:uiPriority w:val="99"/>
    <w:semiHidden/>
    <w:unhideWhenUsed/>
    <w:rsid w:val="005F32D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E833ED"/>
  </w:style>
  <w:style w:type="table" w:styleId="Tabelacomgrade">
    <w:name w:val="Table Grid"/>
    <w:basedOn w:val="Tabelanormal"/>
    <w:uiPriority w:val="39"/>
    <w:rsid w:val="00E83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ast-ratio.com/" TargetMode="External"/><Relationship Id="rId13" Type="http://schemas.openxmlformats.org/officeDocument/2006/relationships/hyperlink" Target="https://support.google.com/accessibility/android/answer/6378120?hl=pt-b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mbda3.com.br/2022/08/guia-de-cores-para-acessibilidade/" TargetMode="External"/><Relationship Id="rId12" Type="http://schemas.openxmlformats.org/officeDocument/2006/relationships/hyperlink" Target="https://developer.android.com/guide/topics/ui/accessibility/apps?hl=pt-br" TargetMode="External"/><Relationship Id="rId17" Type="http://schemas.openxmlformats.org/officeDocument/2006/relationships/hyperlink" Target="http://gmazzocato.altervista.org/colorwheel/wheel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los-andrade-aum.blogspot.com/p/testes-realizados-atraves-do-aplicativ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AGnGv5aAs" TargetMode="External"/><Relationship Id="rId11" Type="http://schemas.openxmlformats.org/officeDocument/2006/relationships/hyperlink" Target="https://developer.android.com/guide/topics/ui/accessibility/apps?hl=pt-br" TargetMode="External"/><Relationship Id="rId5" Type="http://schemas.openxmlformats.org/officeDocument/2006/relationships/hyperlink" Target="https://developer.android.com/guide/topics/ui/accessibility/testing?hl=pt-br" TargetMode="External"/><Relationship Id="rId15" Type="http://schemas.openxmlformats.org/officeDocument/2006/relationships/hyperlink" Target="https://www.sidi.org.br/guiadeacessibilidade/index.html#requisitos" TargetMode="External"/><Relationship Id="rId10" Type="http://schemas.openxmlformats.org/officeDocument/2006/relationships/hyperlink" Target="https://developer.android.com/guide/topics/ui/accessibility/apps?hl=pt-b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upport.google.com/accessibility/android/answer/7664232?hl=pt-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1037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13</cp:revision>
  <dcterms:created xsi:type="dcterms:W3CDTF">2023-02-11T01:47:00Z</dcterms:created>
  <dcterms:modified xsi:type="dcterms:W3CDTF">2023-02-19T18:51:00Z</dcterms:modified>
</cp:coreProperties>
</file>