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80"/>
          <w:szCs w:val="80"/>
        </w:rPr>
        <w:t xml:space="preserve">VAULTPACT</w:t>
      </w:r>
    </w:p>
    <w:p>
      <w:pPr>
        <w:spacing w:after="80"/>
        <w:jc w:val="center"/>
      </w:pPr>
      <w:r>
        <w:rPr>
          <w:rFonts w:ascii="Arial" w:cs="Arial" w:eastAsia="Arial" w:hAnsi="Arial"/>
          <w:b/>
          <w:bCs/>
          <w:color w:val="3B7DD8"/>
          <w:sz w:val="80"/>
          <w:szCs w:val="80"/>
        </w:rPr>
        <w:t xml:space="preserve">PROTOCOL</w:t>
      </w:r>
    </w:p>
    <w:p>
      <w:pPr>
        <w:pBdr>
          <w:bottom w:val="single" w:color="3B7DD8" w:sz="6" w:space="1"/>
        </w:pBdr>
        <w:spacing w:after="400"/>
        <w:jc w:val="center"/>
      </w:pPr>
    </w:p>
    <w:p>
      <w:pPr>
        <w:spacing w:after="80"/>
        <w:jc w:val="center"/>
      </w:pPr>
      <w:r>
        <w:rPr>
          <w:rFonts w:ascii="Arial" w:cs="Arial" w:eastAsia="Arial" w:hAnsi="Arial"/>
          <w:color w:val="1B2A4A"/>
          <w:sz w:val="32"/>
          <w:szCs w:val="32"/>
        </w:rPr>
        <w:t xml:space="preserve">Hardware-Attested Trust Infrastructure</w:t>
      </w:r>
    </w:p>
    <w:p>
      <w:pPr>
        <w:spacing w:after="80"/>
        <w:jc w:val="center"/>
      </w:pPr>
      <w:r>
        <w:rPr>
          <w:rFonts w:ascii="Arial" w:cs="Arial" w:eastAsia="Arial" w:hAnsi="Arial"/>
          <w:color w:val="1B2A4A"/>
          <w:sz w:val="32"/>
          <w:szCs w:val="32"/>
        </w:rPr>
        <w:t xml:space="preserve">for Autonomous AI Agents</w:t>
      </w:r>
    </w:p>
    <w:p>
      <w:pPr>
        <w:spacing w:before="600"/>
      </w:pPr>
    </w:p>
    <w:p>
      <w:pPr>
        <w:spacing w:after="80"/>
        <w:jc w:val="center"/>
      </w:pPr>
      <w:r>
        <w:rPr>
          <w:rFonts w:ascii="Arial" w:cs="Arial" w:eastAsia="Arial" w:hAnsi="Arial"/>
          <w:color w:val="666666"/>
          <w:sz w:val="24"/>
          <w:szCs w:val="24"/>
        </w:rPr>
        <w:t xml:space="preserve">Business Specification Document</w:t>
      </w:r>
    </w:p>
    <w:p>
      <w:pPr>
        <w:spacing w:after="80"/>
        <w:jc w:val="center"/>
      </w:pPr>
      <w:r>
        <w:rPr>
          <w:rFonts w:ascii="Arial" w:cs="Arial" w:eastAsia="Arial" w:hAnsi="Arial"/>
          <w:color w:val="666666"/>
          <w:sz w:val="22"/>
          <w:szCs w:val="22"/>
        </w:rPr>
        <w:t xml:space="preserve">Version 1.0  |  April 2026</w:t>
      </w:r>
    </w:p>
    <w:p>
      <w:pPr>
        <w:spacing w:after="80"/>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rPr>
          <w:rFonts w:ascii="Arial" w:cs="Arial" w:eastAsia="Arial" w:hAnsi="Arial"/>
          <w:sz w:val="22"/>
          <w:szCs w:val="22"/>
        </w:rPr>
        <w:t xml:space="preserve">VaultPact Protocol is a hardware-attested trust infrastructure layer for autonomous AI agents operating on Solana and across multiple blockchains. As AI agents increasingly transact autonomously, holding real capital and entering binding agreements without human oversight, the crypto ecosystem lacks a foundational layer that answers a critical question: can you trust the agent on the other side of the transaction?</w:t>
      </w:r>
    </w:p>
    <w:p>
      <w:pPr>
        <w:spacing w:after="120" w:line="276"/>
      </w:pPr>
      <w:r>
        <w:rPr>
          <w:rFonts w:ascii="Arial" w:cs="Arial" w:eastAsia="Arial" w:hAnsi="Arial"/>
          <w:sz w:val="22"/>
          <w:szCs w:val="22"/>
        </w:rPr>
        <w:t xml:space="preserve">VaultPact answers this by combining three capabilities into a single protocol stack: hardware-attested agent wallet custody using FIDO2/WebAuthn and secp256r1 on-chain verification, real-time agent reputation scoring built from on-chain transaction history, and programmable escrow for agent-to-agent commerce with automated dispute resolution.</w:t>
      </w:r>
    </w:p>
    <w:p>
      <w:pPr>
        <w:spacing w:after="120" w:line="276"/>
      </w:pPr>
      <w:r>
        <w:rPr>
          <w:rFonts w:ascii="Arial" w:cs="Arial" w:eastAsia="Arial" w:hAnsi="Arial"/>
          <w:sz w:val="22"/>
          <w:szCs w:val="22"/>
        </w:rPr>
        <w:t xml:space="preserve">The protocol is a direct evolution of the Hardline Protocol codebase, inheriting its battle-tested cryptographic primitives and extending them from human wallet security into the agent economy. VaultPact does not build agents. It builds the trust layer that every agent is forced to use, regardless of which specific agent wins or loses.</w:t>
      </w:r>
    </w:p>
    <w:p>
      <w:pPr>
        <w:pStyle w:val="Heading1"/>
      </w:pPr>
      <w:r>
        <w:t xml:space="preserve">2. Market Thesis</w:t>
      </w:r>
    </w:p>
    <w:p>
      <w:pPr>
        <w:pStyle w:val="Heading2"/>
      </w:pPr>
      <w:r>
        <w:t xml:space="preserve">2.1 The Agent Economy is Here</w:t>
      </w:r>
    </w:p>
    <w:p>
      <w:pPr>
        <w:spacing w:after="120" w:line="276"/>
      </w:pPr>
      <w:r>
        <w:rPr>
          <w:rFonts w:ascii="Arial" w:cs="Arial" w:eastAsia="Arial" w:hAnsi="Arial"/>
          <w:sz w:val="22"/>
          <w:szCs w:val="22"/>
        </w:rPr>
        <w:t xml:space="preserve">Autonomous AI agents are already generating real revenue. OpenClaw (Felix) has produced approximately $195,000 in revenue with $1,500/month in operating costs. Medvi booked $401 million in its first year with just two employees. These are not experiments. They are businesses run by software.</w:t>
      </w:r>
    </w:p>
    <w:p>
      <w:pPr>
        <w:spacing w:after="120" w:line="276"/>
      </w:pPr>
      <w:r>
        <w:rPr>
          <w:rFonts w:ascii="Arial" w:cs="Arial" w:eastAsia="Arial" w:hAnsi="Arial"/>
          <w:sz w:val="22"/>
          <w:szCs w:val="22"/>
        </w:rPr>
        <w:t xml:space="preserve">These agents need financial infrastructure that traditional banking cannot provide. A software agent cannot open a Chase account, pass KYC, or sign a W-9. Stablecoin wallets solve the banking problem, but they create a new one: trust. When Agent A enters a $100,000 contract with Agent B, who verifies that Agent B is solvent, reliable, and operating with legitimate keys?</w:t>
      </w:r>
    </w:p>
    <w:p>
      <w:pPr>
        <w:pStyle w:val="Heading2"/>
      </w:pPr>
      <w:r>
        <w:t xml:space="preserve">2.2 The Gap VaultPact Fills</w:t>
      </w:r>
    </w:p>
    <w:p>
      <w:pPr>
        <w:spacing w:after="120" w:line="276"/>
      </w:pPr>
      <w:r>
        <w:rPr>
          <w:rFonts w:ascii="Arial" w:cs="Arial" w:eastAsia="Arial" w:hAnsi="Arial"/>
          <w:sz w:val="22"/>
          <w:szCs w:val="22"/>
        </w:rPr>
        <w:t xml:space="preserve">The current agent infrastructure stack has three critical missing layers:</w:t>
      </w:r>
    </w:p>
    <w:p>
      <w:pPr>
        <w:pStyle w:val="ListParagraph"/>
        <w:numPr>
          <w:ilvl w:val="0"/>
          <w:numId w:val="2"/>
        </w:numPr>
        <w:spacing w:after="80" w:line="276"/>
      </w:pPr>
      <w:r>
        <w:rPr>
          <w:rFonts w:ascii="Arial" w:cs="Arial" w:eastAsia="Arial" w:hAnsi="Arial"/>
          <w:sz w:val="22"/>
          <w:szCs w:val="22"/>
        </w:rPr>
        <w:t xml:space="preserve">Custody: Agents holding six-figure balances with software-only keys are a security incident waiting to happen. No hardware attestation exists for agent wallets today.</w:t>
      </w:r>
    </w:p>
    <w:p>
      <w:pPr>
        <w:pStyle w:val="ListParagraph"/>
        <w:numPr>
          <w:ilvl w:val="0"/>
          <w:numId w:val="2"/>
        </w:numPr>
        <w:spacing w:after="80" w:line="276"/>
      </w:pPr>
      <w:r>
        <w:rPr>
          <w:rFonts w:ascii="Arial" w:cs="Arial" w:eastAsia="Arial" w:hAnsi="Arial"/>
          <w:sz w:val="22"/>
          <w:szCs w:val="22"/>
        </w:rPr>
        <w:t xml:space="preserve">Reputation: There is no standardised, queryable, on-chain reputation system for agents. Every new agent-to-agent interaction starts from zero trust.</w:t>
      </w:r>
    </w:p>
    <w:p>
      <w:pPr>
        <w:pStyle w:val="ListParagraph"/>
        <w:numPr>
          <w:ilvl w:val="0"/>
          <w:numId w:val="2"/>
        </w:numPr>
        <w:spacing w:after="80" w:line="276"/>
      </w:pPr>
      <w:r>
        <w:rPr>
          <w:rFonts w:ascii="Arial" w:cs="Arial" w:eastAsia="Arial" w:hAnsi="Arial"/>
          <w:sz w:val="22"/>
          <w:szCs w:val="22"/>
        </w:rPr>
        <w:t xml:space="preserve">Escrow and settlement: Agent-to-agent commerce has no programmable escrow with verified task completion. Disputes have no resolution mechanism.</w:t>
      </w:r>
    </w:p>
    <w:p>
      <w:pPr>
        <w:spacing w:after="120" w:line="276"/>
      </w:pPr>
      <w:r>
        <w:rPr>
          <w:rFonts w:ascii="Arial" w:cs="Arial" w:eastAsia="Arial" w:hAnsi="Arial"/>
          <w:sz w:val="22"/>
          <w:szCs w:val="22"/>
        </w:rPr>
        <w:t xml:space="preserve">VaultPact addresses all three as an integrated stack, with each layer reinforcing the others.</w:t>
      </w:r>
    </w:p>
    <w:p>
      <w:pPr>
        <w:pStyle w:val="Heading2"/>
      </w:pPr>
      <w:r>
        <w:t xml:space="preserve">2.3 Why Stablecoins, Not AI Tokens</w:t>
      </w:r>
    </w:p>
    <w:p>
      <w:pPr>
        <w:spacing w:after="120" w:line="276"/>
      </w:pPr>
      <w:r>
        <w:rPr>
          <w:rFonts w:ascii="Arial" w:cs="Arial" w:eastAsia="Arial" w:hAnsi="Arial"/>
          <w:sz w:val="22"/>
          <w:szCs w:val="22"/>
        </w:rPr>
        <w:t xml:space="preserve">CoinGecko's AI agent token index fell from $13.5 billion to $3.5 billion in 2025, a 75% collapse. Meanwhile, USDC alone settled $18.3 trillion on-chain in 2025. The value in the agent economy accrues to infrastructure and rails, not to individual agent tokens. VaultPact is designed to be token-agnostic at the payment layer, operating primarily with stablecoins (USDC, USDT, PYUSD) as the settlement medium.</w:t>
      </w:r>
    </w:p>
    <w:p>
      <w:pPr>
        <w:pStyle w:val="Heading1"/>
      </w:pPr>
      <w:r>
        <w:t xml:space="preserve">3. Product Architecture</w:t>
      </w:r>
    </w:p>
    <w:p>
      <w:pPr>
        <w:spacing w:after="120" w:line="276"/>
      </w:pPr>
      <w:r>
        <w:rPr>
          <w:rFonts w:ascii="Arial" w:cs="Arial" w:eastAsia="Arial" w:hAnsi="Arial"/>
          <w:sz w:val="22"/>
          <w:szCs w:val="22"/>
        </w:rPr>
        <w:t xml:space="preserve">VaultPact is composed of three core layers, each deployable independently but designed to compound when used together.</w:t>
      </w:r>
    </w:p>
    <w:p>
      <w:pPr>
        <w:pStyle w:val="Heading2"/>
      </w:pPr>
      <w:r>
        <w:t xml:space="preserve">3.1 Layer 1: Attested Agent Custody</w:t>
      </w:r>
    </w:p>
    <w:p>
      <w:pPr>
        <w:spacing w:after="120" w:line="276"/>
      </w:pPr>
      <w:r>
        <w:rPr>
          <w:rFonts w:ascii="Arial" w:cs="Arial" w:eastAsia="Arial" w:hAnsi="Arial"/>
          <w:sz w:val="22"/>
          <w:szCs w:val="22"/>
        </w:rPr>
        <w:t xml:space="preserve">Inherited directly from Hardline Protocol's secp256r1/FIDO2/WebAuthn on-chain verification system. This layer provides:</w:t>
      </w:r>
    </w:p>
    <w:p>
      <w:pPr>
        <w:pStyle w:val="ListParagraph"/>
        <w:numPr>
          <w:ilvl w:val="0"/>
          <w:numId w:val="2"/>
        </w:numPr>
        <w:spacing w:after="80" w:line="276"/>
      </w:pPr>
      <w:r>
        <w:rPr>
          <w:rFonts w:ascii="Arial" w:cs="Arial" w:eastAsia="Arial" w:hAnsi="Arial"/>
          <w:sz w:val="22"/>
          <w:szCs w:val="22"/>
        </w:rPr>
        <w:t xml:space="preserve">Hardware-attested key generation for agent wallets, ensuring signing keys are bound to secure hardware enclaves (YubiKeys, TPMs, secure elements) rather than software-only storage.</w:t>
      </w:r>
    </w:p>
    <w:p>
      <w:pPr>
        <w:pStyle w:val="ListParagraph"/>
        <w:numPr>
          <w:ilvl w:val="0"/>
          <w:numId w:val="2"/>
        </w:numPr>
        <w:spacing w:after="80" w:line="276"/>
      </w:pPr>
      <w:r>
        <w:rPr>
          <w:rFonts w:ascii="Arial" w:cs="Arial" w:eastAsia="Arial" w:hAnsi="Arial"/>
          <w:sz w:val="22"/>
          <w:szCs w:val="22"/>
        </w:rPr>
        <w:t xml:space="preserve">On-chain signature verification using secp256r1, the same curve used by FIDO2/WebAuthn, natively on Solana.</w:t>
      </w:r>
    </w:p>
    <w:p>
      <w:pPr>
        <w:pStyle w:val="ListParagraph"/>
        <w:numPr>
          <w:ilvl w:val="0"/>
          <w:numId w:val="2"/>
        </w:numPr>
        <w:spacing w:after="80" w:line="276"/>
      </w:pPr>
      <w:r>
        <w:rPr>
          <w:rFonts w:ascii="Arial" w:cs="Arial" w:eastAsia="Arial" w:hAnsi="Arial"/>
          <w:sz w:val="22"/>
          <w:szCs w:val="22"/>
        </w:rPr>
        <w:t xml:space="preserve">Agent identity registration: each agent wallet is cryptographically bound to a hardware attestation certificate, creating a verifiable on-chain identity that cannot be spoofed or duplicated.</w:t>
      </w:r>
    </w:p>
    <w:p>
      <w:pPr>
        <w:pStyle w:val="ListParagraph"/>
        <w:numPr>
          <w:ilvl w:val="0"/>
          <w:numId w:val="2"/>
        </w:numPr>
        <w:spacing w:after="80" w:line="276"/>
      </w:pPr>
      <w:r>
        <w:rPr>
          <w:rFonts w:ascii="Arial" w:cs="Arial" w:eastAsia="Arial" w:hAnsi="Arial"/>
          <w:sz w:val="22"/>
          <w:szCs w:val="22"/>
        </w:rPr>
        <w:t xml:space="preserve">Multi-signature policies for high-value agent operations, requiring hardware attestation from multiple devices before executing transactions above configurable thresholds.</w:t>
      </w:r>
    </w:p>
    <w:p>
      <w:pPr>
        <w:pStyle w:val="Heading2"/>
      </w:pPr>
      <w:r>
        <w:t xml:space="preserve">3.2 Layer 2: Agent Reputation Engine</w:t>
      </w:r>
    </w:p>
    <w:p>
      <w:pPr>
        <w:spacing w:after="120" w:line="276"/>
      </w:pPr>
      <w:r>
        <w:rPr>
          <w:rFonts w:ascii="Arial" w:cs="Arial" w:eastAsia="Arial" w:hAnsi="Arial"/>
          <w:sz w:val="22"/>
          <w:szCs w:val="22"/>
        </w:rPr>
        <w:t xml:space="preserve">A real-time, on-chain reputation scoring system that other agents can query before entering transactions or contracts. Reputation is calculated from:</w:t>
      </w:r>
    </w:p>
    <w:p>
      <w:pPr>
        <w:pStyle w:val="ListParagraph"/>
        <w:numPr>
          <w:ilvl w:val="0"/>
          <w:numId w:val="2"/>
        </w:numPr>
        <w:spacing w:after="80" w:line="276"/>
      </w:pPr>
      <w:r>
        <w:rPr>
          <w:rFonts w:ascii="Arial" w:cs="Arial" w:eastAsia="Arial" w:hAnsi="Arial"/>
          <w:sz w:val="22"/>
          <w:szCs w:val="22"/>
        </w:rPr>
        <w:t xml:space="preserve">Transaction history: volume, frequency, counterparty diversity, and settlement reliability.</w:t>
      </w:r>
    </w:p>
    <w:p>
      <w:pPr>
        <w:pStyle w:val="ListParagraph"/>
        <w:numPr>
          <w:ilvl w:val="0"/>
          <w:numId w:val="2"/>
        </w:numPr>
        <w:spacing w:after="80" w:line="276"/>
      </w:pPr>
      <w:r>
        <w:rPr>
          <w:rFonts w:ascii="Arial" w:cs="Arial" w:eastAsia="Arial" w:hAnsi="Arial"/>
          <w:sz w:val="22"/>
          <w:szCs w:val="22"/>
        </w:rPr>
        <w:t xml:space="preserve">Task completion rate: percentage of escrow contracts that settled successfully vs. disputed.</w:t>
      </w:r>
    </w:p>
    <w:p>
      <w:pPr>
        <w:pStyle w:val="ListParagraph"/>
        <w:numPr>
          <w:ilvl w:val="0"/>
          <w:numId w:val="2"/>
        </w:numPr>
        <w:spacing w:after="80" w:line="276"/>
      </w:pPr>
      <w:r>
        <w:rPr>
          <w:rFonts w:ascii="Arial" w:cs="Arial" w:eastAsia="Arial" w:hAnsi="Arial"/>
          <w:sz w:val="22"/>
          <w:szCs w:val="22"/>
        </w:rPr>
        <w:t xml:space="preserve">Uptime and responsiveness: measured via heartbeat pings and response latency to on-chain queries.</w:t>
      </w:r>
    </w:p>
    <w:p>
      <w:pPr>
        <w:pStyle w:val="ListParagraph"/>
        <w:numPr>
          <w:ilvl w:val="0"/>
          <w:numId w:val="2"/>
        </w:numPr>
        <w:spacing w:after="80" w:line="276"/>
      </w:pPr>
      <w:r>
        <w:rPr>
          <w:rFonts w:ascii="Arial" w:cs="Arial" w:eastAsia="Arial" w:hAnsi="Arial"/>
          <w:sz w:val="22"/>
          <w:szCs w:val="22"/>
        </w:rPr>
        <w:t xml:space="preserve">Hardware attestation level: agents with hardware-attested keys receive a higher base trust score than software-only wallets.</w:t>
      </w:r>
    </w:p>
    <w:p>
      <w:pPr>
        <w:pStyle w:val="ListParagraph"/>
        <w:numPr>
          <w:ilvl w:val="0"/>
          <w:numId w:val="2"/>
        </w:numPr>
        <w:spacing w:after="80" w:line="276"/>
      </w:pPr>
      <w:r>
        <w:rPr>
          <w:rFonts w:ascii="Arial" w:cs="Arial" w:eastAsia="Arial" w:hAnsi="Arial"/>
          <w:sz w:val="22"/>
          <w:szCs w:val="22"/>
        </w:rPr>
        <w:t xml:space="preserve">Stake/collateral: optional bonded collateral that agents can post to signal skin-in-the-game.</w:t>
      </w:r>
    </w:p>
    <w:p>
      <w:pPr>
        <w:spacing w:after="120" w:line="276"/>
      </w:pPr>
      <w:r>
        <w:rPr>
          <w:rFonts w:ascii="Arial" w:cs="Arial" w:eastAsia="Arial" w:hAnsi="Arial"/>
          <w:sz w:val="22"/>
          <w:szCs w:val="22"/>
        </w:rPr>
        <w:t xml:space="preserve">Reputation scores are composable. Third-party protocols can query VaultPact's reputation oracle before allowing agent interactions with their smart contracts, creating a network effect where adoption compounds trust.</w:t>
      </w:r>
    </w:p>
    <w:p>
      <w:pPr>
        <w:pStyle w:val="Heading2"/>
      </w:pPr>
      <w:r>
        <w:t xml:space="preserve">3.3 Layer 3: Programmable Escrow</w:t>
      </w:r>
    </w:p>
    <w:p>
      <w:pPr>
        <w:spacing w:after="120" w:line="276"/>
      </w:pPr>
      <w:r>
        <w:rPr>
          <w:rFonts w:ascii="Arial" w:cs="Arial" w:eastAsia="Arial" w:hAnsi="Arial"/>
          <w:sz w:val="22"/>
          <w:szCs w:val="22"/>
        </w:rPr>
        <w:t xml:space="preserve">Smart contract escrow for agent-to-agent commerce, with the following capabilities:</w:t>
      </w:r>
    </w:p>
    <w:p>
      <w:pPr>
        <w:pStyle w:val="ListParagraph"/>
        <w:numPr>
          <w:ilvl w:val="0"/>
          <w:numId w:val="2"/>
        </w:numPr>
        <w:spacing w:after="80" w:line="276"/>
      </w:pPr>
      <w:r>
        <w:rPr>
          <w:rFonts w:ascii="Arial" w:cs="Arial" w:eastAsia="Arial" w:hAnsi="Arial"/>
          <w:sz w:val="22"/>
          <w:szCs w:val="22"/>
        </w:rPr>
        <w:t xml:space="preserve">Task-based escrow: funds lock on contract initiation and release on verified task completion. Verification can be automated (API callback, oracle confirmation) or manual (human arbiter).</w:t>
      </w:r>
    </w:p>
    <w:p>
      <w:pPr>
        <w:pStyle w:val="ListParagraph"/>
        <w:numPr>
          <w:ilvl w:val="0"/>
          <w:numId w:val="2"/>
        </w:numPr>
        <w:spacing w:after="80" w:line="276"/>
      </w:pPr>
      <w:r>
        <w:rPr>
          <w:rFonts w:ascii="Arial" w:cs="Arial" w:eastAsia="Arial" w:hAnsi="Arial"/>
          <w:sz w:val="22"/>
          <w:szCs w:val="22"/>
        </w:rPr>
        <w:t xml:space="preserve">Milestone payments: multi-stage escrow for complex agent workflows, releasing funds incrementally as each milestone is confirmed.</w:t>
      </w:r>
    </w:p>
    <w:p>
      <w:pPr>
        <w:pStyle w:val="ListParagraph"/>
        <w:numPr>
          <w:ilvl w:val="0"/>
          <w:numId w:val="2"/>
        </w:numPr>
        <w:spacing w:after="80" w:line="276"/>
      </w:pPr>
      <w:r>
        <w:rPr>
          <w:rFonts w:ascii="Arial" w:cs="Arial" w:eastAsia="Arial" w:hAnsi="Arial"/>
          <w:sz w:val="22"/>
          <w:szCs w:val="22"/>
        </w:rPr>
        <w:t xml:space="preserve">Dispute resolution: a three-tier system: (1) automated resolution via pre-defined rules, (2) decentralised arbitration panel, (3) escalation to human arbiter with staked collateral.</w:t>
      </w:r>
    </w:p>
    <w:p>
      <w:pPr>
        <w:pStyle w:val="ListParagraph"/>
        <w:numPr>
          <w:ilvl w:val="0"/>
          <w:numId w:val="2"/>
        </w:numPr>
        <w:spacing w:after="80" w:line="276"/>
      </w:pPr>
      <w:r>
        <w:rPr>
          <w:rFonts w:ascii="Arial" w:cs="Arial" w:eastAsia="Arial" w:hAnsi="Arial"/>
          <w:sz w:val="22"/>
          <w:szCs w:val="22"/>
        </w:rPr>
        <w:t xml:space="preserve">Cross-chain settlement: escrow contracts can settle on the optimal chain for the transaction (Solana for micropayments, Ethereum for high-value settlements, Tron for specific corridors).</w:t>
      </w:r>
    </w:p>
    <w:p>
      <w:r>
        <w:br w:type="page"/>
      </w:r>
    </w:p>
    <w:p>
      <w:pPr>
        <w:pStyle w:val="Heading1"/>
      </w:pPr>
      <w:r>
        <w:t xml:space="preserve">4. Technical Foundation</w:t>
      </w:r>
    </w:p>
    <w:p>
      <w:pPr>
        <w:pStyle w:val="Heading2"/>
      </w:pPr>
      <w:r>
        <w:t xml:space="preserve">4.1 Inherited from Hardline Protocol</w:t>
      </w:r>
    </w:p>
    <w:p>
      <w:pPr>
        <w:spacing w:after="120" w:line="276"/>
      </w:pPr>
      <w:r>
        <w:rPr>
          <w:rFonts w:ascii="Arial" w:cs="Arial" w:eastAsia="Arial" w:hAnsi="Arial"/>
          <w:sz w:val="22"/>
          <w:szCs w:val="22"/>
        </w:rPr>
        <w:t xml:space="preserve">VaultPact inherits the following proven components from the Hardline Protocol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secp256r1 Verifier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 signature verification for the NIST P-256 curve used by FIDO2/WebAuthn hardware authenticators.</w:t>
            </w:r>
          </w:p>
        </w:tc>
      </w:tr>
      <w:tr>
        <w:tc>
          <w:tcPr>
            <w:tcW w:type="dxa" w:w="312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WebAuthn Parser</w:t>
            </w:r>
          </w:p>
        </w:tc>
        <w:tc>
          <w:tcPr>
            <w:tcW w:type="dxa" w:w="62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Solana program that parses and validates WebAuthn assertion responses, extracting the signed challenge and verifying authenticator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Wallet Binding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Mechanism that cryptographically binds a Solana wallet address to a specific hardware authenticator credential ID, creating a non-transferable identity.</w:t>
            </w:r>
          </w:p>
        </w:tc>
      </w:tr>
      <w:tr>
        <w:tc>
          <w:tcPr>
            <w:tcW w:type="dxa" w:w="312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Attestation Registry</w:t>
            </w:r>
          </w:p>
        </w:tc>
        <w:tc>
          <w:tcPr>
            <w:tcW w:type="dxa" w:w="62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On-chain registry of hardware attestation certificates, enabling any program to verify whether a given wallet is hardware-attested.</w:t>
            </w:r>
          </w:p>
        </w:tc>
      </w:tr>
    </w:tbl>
    <w:p>
      <w:pPr>
        <w:spacing w:before="200"/>
      </w:pPr>
    </w:p>
    <w:p>
      <w:pPr>
        <w:pStyle w:val="Heading2"/>
      </w:pPr>
      <w:r>
        <w:t xml:space="preserve">4.2 New Development Required</w:t>
      </w:r>
    </w:p>
    <w:p>
      <w:pPr>
        <w:spacing w:after="120" w:line="276"/>
      </w:pPr>
      <w:r>
        <w:rPr>
          <w:rFonts w:ascii="Arial" w:cs="Arial" w:eastAsia="Arial" w:hAnsi="Arial"/>
          <w:sz w:val="22"/>
          <w:szCs w:val="22"/>
        </w:rPr>
        <w:t xml:space="preserve">The following components will be built on top of the inherited Hardline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060"/>
        <w:gridCol w:w="21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Reputation Oracle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 program that aggregates transaction data into queryable reputation scores.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P1 - Critical</w:t>
            </w:r>
          </w:p>
        </w:tc>
      </w:tr>
      <w:tr>
        <w:tc>
          <w:tcPr>
            <w:tcW w:type="dxa" w:w="312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Escrow Engine</w:t>
            </w:r>
          </w:p>
        </w:tc>
        <w:tc>
          <w:tcPr>
            <w:tcW w:type="dxa" w:w="40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Smart contract framework for task-based, milestone, and timed escrow with automated release.</w:t>
            </w:r>
          </w:p>
        </w:tc>
        <w:tc>
          <w:tcPr>
            <w:tcW w:type="dxa" w:w="21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C0392B"/>
                <w:sz w:val="20"/>
                <w:szCs w:val="20"/>
              </w:rPr>
              <w:t xml:space="preserve">P1 - Critical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Agent SDK</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TypeScript/Rust SDK for agents to register, query reputation, and interact with escrow.</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P1 - Critical</w:t>
            </w:r>
          </w:p>
        </w:tc>
      </w:tr>
      <w:tr>
        <w:tc>
          <w:tcPr>
            <w:tcW w:type="dxa" w:w="312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Dispute Resolver</w:t>
            </w:r>
          </w:p>
        </w:tc>
        <w:tc>
          <w:tcPr>
            <w:tcW w:type="dxa" w:w="40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Three-tier arbitration system with automated rules, decentralised panel, and human escalation.</w:t>
            </w:r>
          </w:p>
        </w:tc>
        <w:tc>
          <w:tcPr>
            <w:tcW w:type="dxa" w:w="21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E67E22"/>
                <w:sz w:val="20"/>
                <w:szCs w:val="20"/>
              </w:rPr>
              <w:t xml:space="preserve">P2 - High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Cross-chain Router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Settlement routing that selects optimal chain based on transaction value and corridor.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P3 - Medium</w:t>
            </w:r>
          </w:p>
        </w:tc>
      </w:tr>
      <w:tr>
        <w:tc>
          <w:tcPr>
            <w:tcW w:type="dxa" w:w="312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Dashboard</w:t>
            </w:r>
          </w:p>
        </w:tc>
        <w:tc>
          <w:tcPr>
            <w:tcW w:type="dxa" w:w="406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interface for agent owners to monitor custody, reputation, and escrow activity.</w:t>
            </w:r>
          </w:p>
        </w:tc>
        <w:tc>
          <w:tcPr>
            <w:tcW w:type="dxa" w:w="21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27AE60"/>
                <w:sz w:val="20"/>
                <w:szCs w:val="20"/>
              </w:rPr>
              <w:t xml:space="preserve">P3 - Medium</w:t>
            </w:r>
          </w:p>
        </w:tc>
      </w:tr>
    </w:tbl>
    <w:p>
      <w:r>
        <w:br w:type="page"/>
      </w:r>
    </w:p>
    <w:p>
      <w:pPr>
        <w:pStyle w:val="Heading1"/>
      </w:pPr>
      <w:r>
        <w:t xml:space="preserve">5. Business Model</w:t>
      </w:r>
    </w:p>
    <w:p>
      <w:pPr>
        <w:spacing w:after="120" w:line="276"/>
      </w:pPr>
      <w:r>
        <w:rPr>
          <w:rFonts w:ascii="Arial" w:cs="Arial" w:eastAsia="Arial" w:hAnsi="Arial"/>
          <w:sz w:val="22"/>
          <w:szCs w:val="22"/>
        </w:rPr>
        <w:t xml:space="preserve">VaultPact generates revenue through protocol-level fees at three points in the agent transaction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755"/>
        <w:gridCol w:w="1755"/>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35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Fee Structure</w:t>
            </w:r>
          </w:p>
        </w:tc>
        <w:tc>
          <w:tcPr>
            <w:tcW w:type="dxa" w:w="175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Custody Registration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One-time fee for hardware-attested agent wallet registration and identity binding.</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fee per agent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0.1 - 1 SOL</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Reputation Queries</w:t>
            </w:r>
          </w:p>
        </w:tc>
        <w:tc>
          <w:tcPr>
            <w:tcW w:type="dxa" w:w="351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Per-query fee for agents checking counterparty reputation scores before transacting.</w:t>
            </w:r>
          </w:p>
        </w:tc>
        <w:tc>
          <w:tcPr>
            <w:tcW w:type="dxa" w:w="1755"/>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query</w:t>
            </w:r>
          </w:p>
        </w:tc>
        <w:tc>
          <w:tcPr>
            <w:tcW w:type="dxa" w:w="1755"/>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0.001 - 0.01 SOL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Escrow Settlement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escrow value collected on successful settlement.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of value</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 - 0.5%</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Dispute Resolution</w:t>
            </w:r>
          </w:p>
        </w:tc>
        <w:tc>
          <w:tcPr>
            <w:tcW w:type="dxa" w:w="351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Fee for arbitration services, funded from staked collateral.</w:t>
            </w:r>
          </w:p>
        </w:tc>
        <w:tc>
          <w:tcPr>
            <w:tcW w:type="dxa" w:w="1755"/>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dispute</w:t>
            </w:r>
          </w:p>
        </w:tc>
        <w:tc>
          <w:tcPr>
            <w:tcW w:type="dxa" w:w="1755"/>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1% of disputed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Premium API Access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Enterprise-tier API access for high-volume agent operators with SLA guarantees.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subscription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TBD</w:t>
            </w:r>
          </w:p>
        </w:tc>
      </w:tr>
    </w:tbl>
    <w:p>
      <w:pPr>
        <w:spacing w:before="200"/>
      </w:pPr>
    </w:p>
    <w:p>
      <w:pPr>
        <w:pStyle w:val="Heading2"/>
      </w:pPr>
      <w:r>
        <w:t xml:space="preserve">5.1 Token Considerations</w:t>
      </w:r>
    </w:p>
    <w:p>
      <w:pPr>
        <w:spacing w:after="120" w:line="276"/>
      </w:pPr>
      <w:r>
        <w:rPr>
          <w:rFonts w:ascii="Arial" w:cs="Arial" w:eastAsia="Arial" w:hAnsi="Arial"/>
          <w:sz w:val="22"/>
          <w:szCs w:val="22"/>
        </w:rPr>
        <w:t xml:space="preserve">VaultPact is designed to operate without a native governance token at launch. Revenue is collected in SOL and stablecoins. A governance token may be introduced in later phases if decentralised governance of protocol parameters (fee rates, dispute resolution rules, reputation weighting) becomes necessary. This avoids the AI token graveyard problem described in the market thesis, where premature tokenisation destroys value.</w:t>
      </w:r>
    </w:p>
    <w:p>
      <w:pPr>
        <w:pStyle w:val="Heading1"/>
      </w:pPr>
      <w:r>
        <w:t xml:space="preserve">6.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8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VaultPact</w:t>
            </w:r>
          </w:p>
        </w:tc>
        <w:tc>
          <w:tcPr>
            <w:tcW w:type="dxa" w:w="18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Warden Protocol</w:t>
            </w:r>
          </w:p>
        </w:tc>
        <w:tc>
          <w:tcPr>
            <w:tcW w:type="dxa" w:w="187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Vouch Protocol</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EAS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Hardware attestation</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Yes (FIDO2/secp256r1)</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 (Ed25519 only)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w:t>
            </w:r>
          </w:p>
        </w:tc>
      </w:tr>
      <w:tr>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Agent reputation</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27AE60"/>
                <w:sz w:val="20"/>
                <w:szCs w:val="20"/>
              </w:rPr>
              <w:t xml:space="preserve">Native, on-chain</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(SPEx)</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ZK proofs</w:t>
            </w:r>
          </w:p>
        </w:tc>
        <w:tc>
          <w:tcPr>
            <w:tcW w:type="dxa" w:w="18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Escrow/settlement</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Native, multi-tier</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Via Orders</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No</w:t>
            </w:r>
          </w:p>
        </w:tc>
      </w:tr>
      <w:tr>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Solana native</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27AE60"/>
                <w:sz w:val="20"/>
                <w:szCs w:val="20"/>
              </w:rPr>
              <w:t xml:space="preserve">Yes</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(Cosmos)</w:t>
            </w:r>
          </w:p>
        </w:tc>
        <w:tc>
          <w:tcPr>
            <w:tcW w:type="dxa" w:w="187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Partial</w:t>
            </w:r>
          </w:p>
        </w:tc>
        <w:tc>
          <w:tcPr>
            <w:tcW w:type="dxa" w:w="18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(EVM)</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Integrated stack</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7AE60"/>
                <w:sz w:val="20"/>
                <w:szCs w:val="20"/>
              </w:rPr>
              <w:t xml:space="preserve">Custody + Rep + Escrow</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Custody + Execution</w:t>
            </w:r>
          </w:p>
        </w:tc>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Identity only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Attestation only</w:t>
            </w:r>
          </w:p>
        </w:tc>
      </w:tr>
    </w:tbl>
    <w:p>
      <w:pPr>
        <w:spacing w:before="100"/>
      </w:pPr>
    </w:p>
    <w:p>
      <w:pPr>
        <w:spacing w:after="120" w:line="276"/>
      </w:pPr>
      <w:r>
        <w:rPr>
          <w:rFonts w:ascii="Arial" w:cs="Arial" w:eastAsia="Arial" w:hAnsi="Arial"/>
          <w:sz w:val="22"/>
          <w:szCs w:val="22"/>
        </w:rPr>
        <w:t xml:space="preserve">VaultPact's primary competitive advantage is the integrated stack. Competitors address individual pieces (identity, or attestation, or execution) but none combine hardware-attested custody with reputation scoring and programmable escrow into a single protocol. The Hardline Protocol foundation gives VaultPact a significant head start on the hardest technical component: on-chain secp256r1 verification.</w:t>
      </w:r>
    </w:p>
    <w:p>
      <w:r>
        <w:br w:type="page"/>
      </w:r>
    </w:p>
    <w:p>
      <w:pPr>
        <w:pStyle w:val="Heading1"/>
      </w:pPr>
      <w:r>
        <w:t xml:space="preserve">7. Development Roadmap</w:t>
      </w:r>
    </w:p>
    <w:p>
      <w:pPr>
        <w:pStyle w:val="Heading2"/>
      </w:pPr>
      <w:r>
        <w:t xml:space="preserve">Phase 1: Foundation (Q3 2026)</w:t>
      </w:r>
    </w:p>
    <w:p>
      <w:pPr>
        <w:pStyle w:val="ListParagraph"/>
        <w:numPr>
          <w:ilvl w:val="0"/>
          <w:numId w:val="2"/>
        </w:numPr>
        <w:spacing w:after="80" w:line="276"/>
      </w:pPr>
      <w:r>
        <w:rPr>
          <w:rFonts w:ascii="Arial" w:cs="Arial" w:eastAsia="Arial" w:hAnsi="Arial"/>
          <w:sz w:val="22"/>
          <w:szCs w:val="22"/>
        </w:rPr>
        <w:t xml:space="preserve">Fork Hardline Protocol codebase and strip to core cryptographic primitives.</w:t>
      </w:r>
    </w:p>
    <w:p>
      <w:pPr>
        <w:pStyle w:val="ListParagraph"/>
        <w:numPr>
          <w:ilvl w:val="0"/>
          <w:numId w:val="2"/>
        </w:numPr>
        <w:spacing w:after="80" w:line="276"/>
      </w:pPr>
      <w:r>
        <w:rPr>
          <w:rFonts w:ascii="Arial" w:cs="Arial" w:eastAsia="Arial" w:hAnsi="Arial"/>
          <w:sz w:val="22"/>
          <w:szCs w:val="22"/>
        </w:rPr>
        <w:t xml:space="preserve">Build agent wallet registration and hardware attestation binding.</w:t>
      </w:r>
    </w:p>
    <w:p>
      <w:pPr>
        <w:pStyle w:val="ListParagraph"/>
        <w:numPr>
          <w:ilvl w:val="0"/>
          <w:numId w:val="2"/>
        </w:numPr>
        <w:spacing w:after="80" w:line="276"/>
      </w:pPr>
      <w:r>
        <w:rPr>
          <w:rFonts w:ascii="Arial" w:cs="Arial" w:eastAsia="Arial" w:hAnsi="Arial"/>
          <w:sz w:val="22"/>
          <w:szCs w:val="22"/>
        </w:rPr>
        <w:t xml:space="preserve">Deploy basic reputation data structure (transaction tracking, success rate).</w:t>
      </w:r>
    </w:p>
    <w:p>
      <w:pPr>
        <w:pStyle w:val="ListParagraph"/>
        <w:numPr>
          <w:ilvl w:val="0"/>
          <w:numId w:val="2"/>
        </w:numPr>
        <w:spacing w:after="80" w:line="276"/>
      </w:pPr>
      <w:r>
        <w:rPr>
          <w:rFonts w:ascii="Arial" w:cs="Arial" w:eastAsia="Arial" w:hAnsi="Arial"/>
          <w:sz w:val="22"/>
          <w:szCs w:val="22"/>
        </w:rPr>
        <w:t xml:space="preserve">Release Agent SDK v0.1 (TypeScript) for devnet testing.</w:t>
      </w:r>
    </w:p>
    <w:p>
      <w:pPr>
        <w:pStyle w:val="ListParagraph"/>
        <w:numPr>
          <w:ilvl w:val="0"/>
          <w:numId w:val="2"/>
        </w:numPr>
        <w:spacing w:after="80" w:line="276"/>
      </w:pPr>
      <w:r>
        <w:rPr>
          <w:rFonts w:ascii="Arial" w:cs="Arial" w:eastAsia="Arial" w:hAnsi="Arial"/>
          <w:sz w:val="22"/>
          <w:szCs w:val="22"/>
        </w:rPr>
        <w:t xml:space="preserve">Devnet deployment and initial security review.</w:t>
      </w:r>
    </w:p>
    <w:p>
      <w:pPr>
        <w:pStyle w:val="Heading2"/>
      </w:pPr>
      <w:r>
        <w:t xml:space="preserve">Phase 2: Core Product (Q4 2026)</w:t>
      </w:r>
    </w:p>
    <w:p>
      <w:pPr>
        <w:pStyle w:val="ListParagraph"/>
        <w:numPr>
          <w:ilvl w:val="0"/>
          <w:numId w:val="2"/>
        </w:numPr>
        <w:spacing w:after="80" w:line="276"/>
      </w:pPr>
      <w:r>
        <w:rPr>
          <w:rFonts w:ascii="Arial" w:cs="Arial" w:eastAsia="Arial" w:hAnsi="Arial"/>
          <w:sz w:val="22"/>
          <w:szCs w:val="22"/>
        </w:rPr>
        <w:t xml:space="preserve">Launch escrow engine with task-based and milestone payment support.</w:t>
      </w:r>
    </w:p>
    <w:p>
      <w:pPr>
        <w:pStyle w:val="ListParagraph"/>
        <w:numPr>
          <w:ilvl w:val="0"/>
          <w:numId w:val="2"/>
        </w:numPr>
        <w:spacing w:after="80" w:line="276"/>
      </w:pPr>
      <w:r>
        <w:rPr>
          <w:rFonts w:ascii="Arial" w:cs="Arial" w:eastAsia="Arial" w:hAnsi="Arial"/>
          <w:sz w:val="22"/>
          <w:szCs w:val="22"/>
        </w:rPr>
        <w:t xml:space="preserve">Implement reputation query oracle with composable scoring.</w:t>
      </w:r>
    </w:p>
    <w:p>
      <w:pPr>
        <w:pStyle w:val="ListParagraph"/>
        <w:numPr>
          <w:ilvl w:val="0"/>
          <w:numId w:val="2"/>
        </w:numPr>
        <w:spacing w:after="80" w:line="276"/>
      </w:pPr>
      <w:r>
        <w:rPr>
          <w:rFonts w:ascii="Arial" w:cs="Arial" w:eastAsia="Arial" w:hAnsi="Arial"/>
          <w:sz w:val="22"/>
          <w:szCs w:val="22"/>
        </w:rPr>
        <w:t xml:space="preserve">Build automated dispute resolution (tier 1: rule-based).</w:t>
      </w:r>
    </w:p>
    <w:p>
      <w:pPr>
        <w:pStyle w:val="ListParagraph"/>
        <w:numPr>
          <w:ilvl w:val="0"/>
          <w:numId w:val="2"/>
        </w:numPr>
        <w:spacing w:after="80" w:line="276"/>
      </w:pPr>
      <w:r>
        <w:rPr>
          <w:rFonts w:ascii="Arial" w:cs="Arial" w:eastAsia="Arial" w:hAnsi="Arial"/>
          <w:sz w:val="22"/>
          <w:szCs w:val="22"/>
        </w:rPr>
        <w:t xml:space="preserve">Mainnet beta launch with limited partners.</w:t>
      </w:r>
    </w:p>
    <w:p>
      <w:pPr>
        <w:pStyle w:val="ListParagraph"/>
        <w:numPr>
          <w:ilvl w:val="0"/>
          <w:numId w:val="2"/>
        </w:numPr>
        <w:spacing w:after="80" w:line="276"/>
      </w:pPr>
      <w:r>
        <w:rPr>
          <w:rFonts w:ascii="Arial" w:cs="Arial" w:eastAsia="Arial" w:hAnsi="Arial"/>
          <w:sz w:val="22"/>
          <w:szCs w:val="22"/>
        </w:rPr>
        <w:t xml:space="preserve">External security audit of all smart contracts.</w:t>
      </w:r>
    </w:p>
    <w:p>
      <w:pPr>
        <w:pStyle w:val="Heading2"/>
      </w:pPr>
      <w:r>
        <w:t xml:space="preserve">Phase 3: Scale (Q1 2027)</w:t>
      </w:r>
    </w:p>
    <w:p>
      <w:pPr>
        <w:pStyle w:val="ListParagraph"/>
        <w:numPr>
          <w:ilvl w:val="0"/>
          <w:numId w:val="2"/>
        </w:numPr>
        <w:spacing w:after="80" w:line="276"/>
      </w:pPr>
      <w:r>
        <w:rPr>
          <w:rFonts w:ascii="Arial" w:cs="Arial" w:eastAsia="Arial" w:hAnsi="Arial"/>
          <w:sz w:val="22"/>
          <w:szCs w:val="22"/>
        </w:rPr>
        <w:t xml:space="preserve">Add decentralised arbitration panel for dispute resolution (tier 2).</w:t>
      </w:r>
    </w:p>
    <w:p>
      <w:pPr>
        <w:pStyle w:val="ListParagraph"/>
        <w:numPr>
          <w:ilvl w:val="0"/>
          <w:numId w:val="2"/>
        </w:numPr>
        <w:spacing w:after="80" w:line="276"/>
      </w:pPr>
      <w:r>
        <w:rPr>
          <w:rFonts w:ascii="Arial" w:cs="Arial" w:eastAsia="Arial" w:hAnsi="Arial"/>
          <w:sz w:val="22"/>
          <w:szCs w:val="22"/>
        </w:rPr>
        <w:t xml:space="preserve">Launch premium API with SLA guarantees for enterprise agent operators.</w:t>
      </w:r>
    </w:p>
    <w:p>
      <w:pPr>
        <w:pStyle w:val="ListParagraph"/>
        <w:numPr>
          <w:ilvl w:val="0"/>
          <w:numId w:val="2"/>
        </w:numPr>
        <w:spacing w:after="80" w:line="276"/>
      </w:pPr>
      <w:r>
        <w:rPr>
          <w:rFonts w:ascii="Arial" w:cs="Arial" w:eastAsia="Arial" w:hAnsi="Arial"/>
          <w:sz w:val="22"/>
          <w:szCs w:val="22"/>
        </w:rPr>
        <w:t xml:space="preserve">Integrate with x402 payment protocol for agent-to-agent micropayments.</w:t>
      </w:r>
    </w:p>
    <w:p>
      <w:pPr>
        <w:pStyle w:val="ListParagraph"/>
        <w:numPr>
          <w:ilvl w:val="0"/>
          <w:numId w:val="2"/>
        </w:numPr>
        <w:spacing w:after="80" w:line="276"/>
      </w:pPr>
      <w:r>
        <w:rPr>
          <w:rFonts w:ascii="Arial" w:cs="Arial" w:eastAsia="Arial" w:hAnsi="Arial"/>
          <w:sz w:val="22"/>
          <w:szCs w:val="22"/>
        </w:rPr>
        <w:t xml:space="preserve">Cross-chain settlement routing (Ethereum, Base, Tron).</w:t>
      </w:r>
    </w:p>
    <w:p>
      <w:pPr>
        <w:pStyle w:val="ListParagraph"/>
        <w:numPr>
          <w:ilvl w:val="0"/>
          <w:numId w:val="2"/>
        </w:numPr>
        <w:spacing w:after="80" w:line="276"/>
      </w:pPr>
      <w:r>
        <w:rPr>
          <w:rFonts w:ascii="Arial" w:cs="Arial" w:eastAsia="Arial" w:hAnsi="Arial"/>
          <w:sz w:val="22"/>
          <w:szCs w:val="22"/>
        </w:rPr>
        <w:t xml:space="preserve">Agent operator dashboard for custody, reputation, and escrow monitoring.</w:t>
      </w:r>
    </w:p>
    <w:p>
      <w:pPr>
        <w:pStyle w:val="Heading2"/>
      </w:pPr>
      <w:r>
        <w:t xml:space="preserve">Phase 4: Ecosystem (Q2 2027+)</w:t>
      </w:r>
    </w:p>
    <w:p>
      <w:pPr>
        <w:pStyle w:val="ListParagraph"/>
        <w:numPr>
          <w:ilvl w:val="0"/>
          <w:numId w:val="2"/>
        </w:numPr>
        <w:spacing w:after="80" w:line="276"/>
      </w:pPr>
      <w:r>
        <w:rPr>
          <w:rFonts w:ascii="Arial" w:cs="Arial" w:eastAsia="Arial" w:hAnsi="Arial"/>
          <w:sz w:val="22"/>
          <w:szCs w:val="22"/>
        </w:rPr>
        <w:t xml:space="preserve">Partner integrations with agent frameworks (LangChain, CrewAI, AutoGPT).</w:t>
      </w:r>
    </w:p>
    <w:p>
      <w:pPr>
        <w:pStyle w:val="ListParagraph"/>
        <w:numPr>
          <w:ilvl w:val="0"/>
          <w:numId w:val="2"/>
        </w:numPr>
        <w:spacing w:after="80" w:line="276"/>
      </w:pPr>
      <w:r>
        <w:rPr>
          <w:rFonts w:ascii="Arial" w:cs="Arial" w:eastAsia="Arial" w:hAnsi="Arial"/>
          <w:sz w:val="22"/>
          <w:szCs w:val="22"/>
        </w:rPr>
        <w:t xml:space="preserve">Agent compliance toolkit for emerging regulatory frameworks.</w:t>
      </w:r>
    </w:p>
    <w:p>
      <w:pPr>
        <w:pStyle w:val="ListParagraph"/>
        <w:numPr>
          <w:ilvl w:val="0"/>
          <w:numId w:val="2"/>
        </w:numPr>
        <w:spacing w:after="80" w:line="276"/>
      </w:pPr>
      <w:r>
        <w:rPr>
          <w:rFonts w:ascii="Arial" w:cs="Arial" w:eastAsia="Arial" w:hAnsi="Arial"/>
          <w:sz w:val="22"/>
          <w:szCs w:val="22"/>
        </w:rPr>
        <w:t xml:space="preserve">Reputation staking and collateral bonding mechanisms.</w:t>
      </w:r>
    </w:p>
    <w:p>
      <w:pPr>
        <w:pStyle w:val="ListParagraph"/>
        <w:numPr>
          <w:ilvl w:val="0"/>
          <w:numId w:val="2"/>
        </w:numPr>
        <w:spacing w:after="80" w:line="276"/>
      </w:pPr>
      <w:r>
        <w:rPr>
          <w:rFonts w:ascii="Arial" w:cs="Arial" w:eastAsia="Arial" w:hAnsi="Arial"/>
          <w:sz w:val="22"/>
          <w:szCs w:val="22"/>
        </w:rPr>
        <w:t xml:space="preserve">Governance framework evaluation (decentralise protocol parameters).</w:t>
      </w:r>
    </w:p>
    <w:p>
      <w:pPr>
        <w:pStyle w:val="Heading1"/>
      </w:pPr>
      <w:r>
        <w:t xml:space="preserve">8. Relationship to Hardline Protocol</w:t>
      </w:r>
    </w:p>
    <w:p>
      <w:pPr>
        <w:spacing w:after="120" w:line="276"/>
      </w:pPr>
      <w:r>
        <w:rPr>
          <w:rFonts w:ascii="Arial" w:cs="Arial" w:eastAsia="Arial" w:hAnsi="Arial"/>
          <w:sz w:val="22"/>
          <w:szCs w:val="22"/>
        </w:rPr>
        <w:t xml:space="preserve">VaultPact is a separate product and entity from Hardline Protocol. The relationship is analogous to a software library being used in a new application:</w:t>
      </w:r>
    </w:p>
    <w:p>
      <w:pPr>
        <w:pStyle w:val="ListParagraph"/>
        <w:numPr>
          <w:ilvl w:val="0"/>
          <w:numId w:val="2"/>
        </w:numPr>
        <w:spacing w:after="80" w:line="276"/>
      </w:pPr>
      <w:r>
        <w:rPr>
          <w:rFonts w:ascii="Arial" w:cs="Arial" w:eastAsia="Arial" w:hAnsi="Arial"/>
          <w:sz w:val="22"/>
          <w:szCs w:val="22"/>
        </w:rPr>
        <w:t xml:space="preserve">Hardline Protocol remains focused on human wallet security, targeting retail and enterprise users who want hardware-attested custody for their personal crypto assets. Its mainnet launch and external audit proceed independently.</w:t>
      </w:r>
    </w:p>
    <w:p>
      <w:pPr>
        <w:pStyle w:val="ListParagraph"/>
        <w:numPr>
          <w:ilvl w:val="0"/>
          <w:numId w:val="2"/>
        </w:numPr>
        <w:spacing w:after="80" w:line="276"/>
      </w:pPr>
      <w:r>
        <w:rPr>
          <w:rFonts w:ascii="Arial" w:cs="Arial" w:eastAsia="Arial" w:hAnsi="Arial"/>
          <w:sz w:val="22"/>
          <w:szCs w:val="22"/>
        </w:rPr>
        <w:t xml:space="preserve">VaultPact forks Hardline's core cryptographic modules (secp256r1 verifier, WebAuthn parser, attestation registry) and extends them for the agent use case. New code is written on top of these primitives.</w:t>
      </w:r>
    </w:p>
    <w:p>
      <w:pPr>
        <w:pStyle w:val="ListParagraph"/>
        <w:numPr>
          <w:ilvl w:val="0"/>
          <w:numId w:val="2"/>
        </w:numPr>
        <w:spacing w:after="80" w:line="276"/>
      </w:pPr>
      <w:r>
        <w:rPr>
          <w:rFonts w:ascii="Arial" w:cs="Arial" w:eastAsia="Arial" w:hAnsi="Arial"/>
          <w:sz w:val="22"/>
          <w:szCs w:val="22"/>
        </w:rPr>
        <w:t xml:space="preserve">There is no shared token, governance, or treasury between the two projects. VaultPact generates its own revenue through protocol fees.</w:t>
      </w:r>
    </w:p>
    <w:p>
      <w:pPr>
        <w:pStyle w:val="ListParagraph"/>
        <w:numPr>
          <w:ilvl w:val="0"/>
          <w:numId w:val="2"/>
        </w:numPr>
        <w:spacing w:after="80" w:line="276"/>
      </w:pPr>
      <w:r>
        <w:rPr>
          <w:rFonts w:ascii="Arial" w:cs="Arial" w:eastAsia="Arial" w:hAnsi="Arial"/>
          <w:sz w:val="22"/>
          <w:szCs w:val="22"/>
        </w:rPr>
        <w:t xml:space="preserve">Upstream improvements to Hardline's core cryptographic modules can be merged into VaultPact where applicable, benefiting both projects.</w:t>
      </w:r>
    </w:p>
    <w:p>
      <w:pPr>
        <w:pStyle w:val="Heading1"/>
      </w:pPr>
      <w:r>
        <w:t xml:space="preserve">9.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Regulatory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Agent-operated wallets may face new regulatory requirements as governments catch up to autonomous commerce.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compliance hooks from day one; design for KYC/AML module integration.</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Market timing</w:t>
            </w:r>
          </w:p>
        </w:tc>
        <w:tc>
          <w:tcPr>
            <w:tcW w:type="dxa" w:w="46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agent economy may develop more slowly than projected, reducing demand for trust infrastructure.</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Custody layer has value even without full agent economy (secure hardware wallets for any 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Competition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Well-funded competitors (Warden Protocol, others) may build similar integrated stacks.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Hardware attestation is a deep moat. Shipping first with a proven codebase creates switching costs.</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Technical</w:t>
            </w:r>
          </w:p>
        </w:tc>
        <w:tc>
          <w:tcPr>
            <w:tcW w:type="dxa" w:w="468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secp256r1 verification on Solana has compute constraints and may require program optimisation.</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Hardline Protocol has already solved this. Inherit proven optimisations.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Liability gap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an agent breaches a contract, legal liability is unclear. Escrow disputes may exceed protocol's capacity to resolve.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Escrow caps, mandatory collateral, and clear terms of service limiting protocol liability.</w:t>
            </w:r>
          </w:p>
        </w:tc>
      </w:tr>
    </w:tbl>
    <w:p>
      <w:r>
        <w:br w:type="page"/>
      </w:r>
    </w:p>
    <w:p>
      <w:pPr>
        <w:pStyle w:val="Heading1"/>
      </w:pPr>
      <w:r>
        <w:t xml:space="preserve">10. Financial Projections (Illustrative)</w:t>
      </w:r>
    </w:p>
    <w:p>
      <w:pPr>
        <w:spacing w:after="120" w:line="276"/>
      </w:pPr>
      <w:r>
        <w:rPr>
          <w:rFonts w:ascii="Arial" w:cs="Arial" w:eastAsia="Arial" w:hAnsi="Arial"/>
          <w:sz w:val="22"/>
          <w:szCs w:val="22"/>
        </w:rPr>
        <w:t xml:space="preserve">The following projections are illustrative scenarios based on agent economy growth assumptions. They are not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1</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2</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Year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Registered agents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50,000</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Reputation queries/day</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500,000</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Escrow volume/month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$500M</w:t>
            </w:r>
          </w:p>
        </w:tc>
      </w:tr>
      <w:tr>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bCs/>
                <w:color w:val="000000"/>
                <w:sz w:val="20"/>
                <w:szCs w:val="20"/>
              </w:rPr>
              <w:t xml:space="preserve">Protocol revenue/month</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$2K - $5K</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$50K - $150K</w:t>
            </w:r>
          </w:p>
        </w:tc>
        <w:tc>
          <w:tcPr>
            <w:tcW w:type="dxa" w:w="2340"/>
            <w:tcBorders>
              <w:top w:val="single" w:color="CCCCCC" w:sz="1"/>
              <w:left w:val="single" w:color="CCCCCC" w:sz="1"/>
              <w:bottom w:val="single" w:color="CCCCCC" w:sz="1"/>
              <w:right w:val="single" w:color="CCCCCC" w:sz="1"/>
            </w:tcBorders>
            <w:shd w:fill="EDF2F8" w:val="clear"/>
            <w:tcMar>
              <w:top w:type="dxa" w:w="80"/>
              <w:left w:type="dxa" w:w="120"/>
              <w:bottom w:type="dxa" w:w="80"/>
              <w:right w:type="dxa" w:w="120"/>
            </w:tcMar>
          </w:tcPr>
          <w:p>
            <w:r>
              <w:rPr>
                <w:rFonts w:ascii="Arial" w:cs="Arial" w:eastAsia="Arial" w:hAnsi="Arial"/>
                <w:b w:val="false"/>
                <w:bCs w:val="false"/>
                <w:color w:val="000000"/>
                <w:sz w:val="20"/>
                <w:szCs w:val="20"/>
              </w:rPr>
              <w:t xml:space="preserve">$500K - $2M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Operating costs/month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$1K - $3K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$10K - $30K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$50K - $100K</w:t>
            </w:r>
          </w:p>
        </w:tc>
      </w:tr>
    </w:tbl>
    <w:p>
      <w:pPr>
        <w:spacing w:before="200"/>
      </w:pPr>
    </w:p>
    <w:p>
      <w:pPr>
        <w:spacing w:after="120" w:line="276"/>
      </w:pPr>
      <w:r>
        <w:rPr>
          <w:rFonts w:ascii="Arial" w:cs="Arial" w:eastAsia="Arial" w:hAnsi="Arial"/>
          <w:sz w:val="22"/>
          <w:szCs w:val="22"/>
        </w:rPr>
        <w:t xml:space="preserve">Key assumption: the agent economy follows a similar adoption curve to DeFi in 2020-2022, with VaultPact capturing a meaningful share of the trust infrastructure layer. Revenue scales with transaction volume, not with token speculation, providing more sustainable economics than AI token plays.</w:t>
      </w:r>
    </w:p>
    <w:p>
      <w:pPr>
        <w:pStyle w:val="Heading1"/>
      </w:pPr>
      <w:r>
        <w:t xml:space="preserve">11. Immediate Next Steps</w:t>
      </w:r>
    </w:p>
    <w:p>
      <w:pPr>
        <w:pStyle w:val="ListParagraph"/>
        <w:numPr>
          <w:ilvl w:val="0"/>
          <w:numId w:val="3"/>
        </w:numPr>
        <w:spacing w:after="80" w:line="276"/>
      </w:pPr>
      <w:r>
        <w:rPr>
          <w:rFonts w:ascii="Arial" w:cs="Arial" w:eastAsia="Arial" w:hAnsi="Arial"/>
          <w:sz w:val="22"/>
          <w:szCs w:val="22"/>
        </w:rPr>
        <w:t xml:space="preserve">Fork and clean Hardline Protocol codebase: strip product-specific UI and logic, retain core cryptographic modules.</w:t>
      </w:r>
    </w:p>
    <w:p>
      <w:pPr>
        <w:pStyle w:val="ListParagraph"/>
        <w:numPr>
          <w:ilvl w:val="0"/>
          <w:numId w:val="3"/>
        </w:numPr>
        <w:spacing w:after="80" w:line="276"/>
      </w:pPr>
      <w:r>
        <w:rPr>
          <w:rFonts w:ascii="Arial" w:cs="Arial" w:eastAsia="Arial" w:hAnsi="Arial"/>
          <w:sz w:val="22"/>
          <w:szCs w:val="22"/>
        </w:rPr>
        <w:t xml:space="preserve">Establish VaultPact repository with separate branding, README, and architecture documentation.</w:t>
      </w:r>
    </w:p>
    <w:p>
      <w:pPr>
        <w:pStyle w:val="ListParagraph"/>
        <w:numPr>
          <w:ilvl w:val="0"/>
          <w:numId w:val="3"/>
        </w:numPr>
        <w:spacing w:after="80" w:line="276"/>
      </w:pPr>
      <w:r>
        <w:rPr>
          <w:rFonts w:ascii="Arial" w:cs="Arial" w:eastAsia="Arial" w:hAnsi="Arial"/>
          <w:sz w:val="22"/>
          <w:szCs w:val="22"/>
        </w:rPr>
        <w:t xml:space="preserve">Build agent wallet registration program on Solana devnet.</w:t>
      </w:r>
    </w:p>
    <w:p>
      <w:pPr>
        <w:pStyle w:val="ListParagraph"/>
        <w:numPr>
          <w:ilvl w:val="0"/>
          <w:numId w:val="3"/>
        </w:numPr>
        <w:spacing w:after="80" w:line="276"/>
      </w:pPr>
      <w:r>
        <w:rPr>
          <w:rFonts w:ascii="Arial" w:cs="Arial" w:eastAsia="Arial" w:hAnsi="Arial"/>
          <w:sz w:val="22"/>
          <w:szCs w:val="22"/>
        </w:rPr>
        <w:t xml:space="preserve">Design reputation data schema and scoring algorithm.</w:t>
      </w:r>
    </w:p>
    <w:p>
      <w:pPr>
        <w:pStyle w:val="ListParagraph"/>
        <w:numPr>
          <w:ilvl w:val="0"/>
          <w:numId w:val="3"/>
        </w:numPr>
        <w:spacing w:after="80" w:line="276"/>
      </w:pPr>
      <w:r>
        <w:rPr>
          <w:rFonts w:ascii="Arial" w:cs="Arial" w:eastAsia="Arial" w:hAnsi="Arial"/>
          <w:sz w:val="22"/>
          <w:szCs w:val="22"/>
        </w:rPr>
        <w:t xml:space="preserve">Draft initial escrow contract specification.</w:t>
      </w:r>
    </w:p>
    <w:p>
      <w:pPr>
        <w:pStyle w:val="ListParagraph"/>
        <w:numPr>
          <w:ilvl w:val="0"/>
          <w:numId w:val="3"/>
        </w:numPr>
        <w:spacing w:after="80" w:line="276"/>
      </w:pPr>
      <w:r>
        <w:rPr>
          <w:rFonts w:ascii="Arial" w:cs="Arial" w:eastAsia="Arial" w:hAnsi="Arial"/>
          <w:sz w:val="22"/>
          <w:szCs w:val="22"/>
        </w:rPr>
        <w:t xml:space="preserve">Secure vaultpact.com domain and social handles.</w:t>
      </w:r>
    </w:p>
    <w:p>
      <w:pPr>
        <w:pStyle w:val="ListParagraph"/>
        <w:numPr>
          <w:ilvl w:val="0"/>
          <w:numId w:val="3"/>
        </w:numPr>
        <w:spacing w:after="80" w:line="276"/>
      </w:pPr>
      <w:r>
        <w:rPr>
          <w:rFonts w:ascii="Arial" w:cs="Arial" w:eastAsia="Arial" w:hAnsi="Arial"/>
          <w:sz w:val="22"/>
          <w:szCs w:val="22"/>
        </w:rPr>
        <w:t xml:space="preserve">Begin Agent SDK development (TypeScript, targeting x402 compatibility).</w:t>
      </w:r>
    </w:p>
    <w:p>
      <w:pPr>
        <w:spacing w:before="400"/>
      </w:pPr>
    </w:p>
    <w:p>
      <w:pPr>
        <w:pBdr>
          <w:top w:val="single" w:color="3B7DD8" w:sz="4" w:space="8"/>
        </w:pBdr>
        <w:spacing w:before="200"/>
        <w:jc w:val="center"/>
      </w:pPr>
      <w:r>
        <w:rPr>
          <w:rFonts w:ascii="Arial" w:cs="Arial" w:eastAsia="Arial" w:hAnsi="Arial"/>
          <w:b/>
          <w:b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7DD8" w:sz="3" w:space="1"/>
      </w:pBdr>
      <w:spacing w:after="200"/>
    </w:pPr>
    <w:r>
      <w:rPr>
        <w:rFonts w:ascii="Arial" w:cs="Arial" w:eastAsia="Arial" w:hAnsi="Arial"/>
        <w:b/>
        <w:bCs/>
        <w:color w:val="1B2A4A"/>
        <w:sz w:val="16"/>
        <w:szCs w:val="16"/>
      </w:rPr>
      <w:t xml:space="preserve">VAULTPACT PROTOCOL</w:t>
    </w:r>
    <w:r>
      <w:rPr>
        <w:rFonts w:ascii="Arial" w:cs="Arial" w:eastAsia="Arial" w:hAnsi="Arial"/>
        <w:color w:val="666666"/>
        <w:sz w:val="16"/>
        <w:szCs w:val="16"/>
      </w:rPr>
      <w:t xml:space="preserve">   |   Business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B7DD8" w:sz="4"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B7D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2026-04-18T14:47:22.788Z</dcterms:created>
  <dcterms:modified xsi:type="dcterms:W3CDTF">2026-04-18T14:47:22.788Z</dcterms:modified>
</cp:coreProperties>
</file>

<file path=docProps/custom.xml><?xml version="1.0" encoding="utf-8"?>
<Properties xmlns="http://schemas.openxmlformats.org/officeDocument/2006/custom-properties" xmlns:vt="http://schemas.openxmlformats.org/officeDocument/2006/docPropsVTypes"/>
</file>