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APS Large Load Interconnection Process</w:t>
      </w:r>
    </w:p>
    <w:p>
      <w:r>
        <w:rPr>
          <w:color w:val="555555"/>
          <w:sz w:val="24"/>
        </w:rPr>
        <w:t>Arizona Public Service — Data Center / Extra-Large Load Reference</w:t>
      </w:r>
    </w:p>
    <w:p>
      <w:r>
        <w:rPr>
          <w:i/>
          <w:color w:val="555555"/>
          <w:sz w:val="19"/>
        </w:rPr>
        <w:t>Prepared for Site Selection  ·  Fluidstack  ·  June 2026</w:t>
      </w:r>
    </w:p>
    <w:p>
      <w:pPr>
        <w:pBdr>
          <w:bottom w:val="single" w:sz="8" w:space="1" w:color="1F3864"/>
        </w:pBdr>
      </w:pPr>
    </w:p>
    <w:p>
      <w:pPr>
        <w:spacing w:after="200"/>
      </w:pPr>
      <w:r>
        <w:rPr>
          <w:b w:val="0"/>
          <w:i/>
          <w:color w:val="555555"/>
          <w:sz w:val="19"/>
        </w:rPr>
        <w:t>Confidence basis: Rate terms are GROUNDED in the current APS XHLF tariff (A.C.C. No. 6067, Rev 3, eff. March 8, 2024, Decision No. 79293). Process stage map and timelines are ESTIMATED — no APS large-load process guide or facilities study is on file. Collateral and minimum-bill amounts are set per Electric Supply Agreement and are not publicly fixed. Verify against live ACC dockets before any commitment.</w:t>
      </w:r>
    </w:p>
    <w:p>
      <w:pPr>
        <w:pStyle w:val="Heading1"/>
      </w:pPr>
      <w:r>
        <w:t>1.  Market Context</w:t>
      </w:r>
    </w:p>
    <w:p>
      <w:pPr>
        <w:spacing w:after="120"/>
      </w:pPr>
      <w:r>
        <w:rPr>
          <w:b w:val="0"/>
          <w:i w:val="0"/>
          <w:sz w:val="21"/>
        </w:rPr>
        <w:t>Arizona is NOT an organized ISO/RTO market. There is no independent interconnection queue, no LMP energy market, and no FERC ISO tariff governing load interconnection. APS is vertically integrated and is its own Balancing Authority within WECC — it owns both the wires and the generation. Practical implications:</w:t>
      </w:r>
    </w:p>
    <w:p>
      <w:pPr>
        <w:pStyle w:val="ListBullet"/>
        <w:spacing w:after="40"/>
      </w:pPr>
      <w:r>
        <w:rPr>
          <w:sz w:val="21"/>
        </w:rPr>
        <w:t>you negotiate directly with one entity, and “can they serve it” is a generation-adequacy question, not just a wires question.</w:t>
      </w:r>
    </w:p>
    <w:p>
      <w:pPr>
        <w:pStyle w:val="ListBullet"/>
        <w:spacing w:after="40"/>
      </w:pPr>
      <w:r>
        <w:rPr>
          <w:sz w:val="21"/>
        </w:rPr>
        <w:t>the process is governed by state-filed tariffs and line-extension schedules, regulated by the Arizona Corporation Commission (ACC) — not FERC ISO rules.</w:t>
      </w:r>
    </w:p>
    <w:p>
      <w:pPr>
        <w:pStyle w:val="ListBullet"/>
        <w:spacing w:after="40"/>
      </w:pPr>
      <w:r>
        <w:rPr>
          <w:sz w:val="21"/>
        </w:rPr>
        <w:t>the ACC can change rates and tariff terms mid-project — a live regulatory risk unique to this structure.</w:t>
      </w:r>
    </w:p>
    <w:p>
      <w:pPr>
        <w:pStyle w:val="ListBullet"/>
        <w:spacing w:after="40"/>
      </w:pPr>
      <w:r>
        <w:rPr>
          <w:sz w:val="21"/>
        </w:rPr>
        <w:t>Arizona is capacity- and transmission-constrained in high-growth corridors (Phoenix metro, Buckeye, Coolidge, Casa Grande). APS large-customer peak demand ≈ 13.1 GW (2026); pending data-center interest reported at ~10–18 GW.</w:t>
      </w:r>
    </w:p>
    <w:p>
      <w:pPr>
        <w:pStyle w:val="ListBullet"/>
        <w:spacing w:after="40"/>
      </w:pPr>
      <w:r>
        <w:rPr>
          <w:sz w:val="21"/>
        </w:rPr>
        <w:t>“bring your own power” (customer-assigned new generation) is an explicit policy direction, not a fringe option.</w:t>
      </w:r>
    </w:p>
    <w:p>
      <w:pPr>
        <w:pStyle w:val="Heading1"/>
      </w:pPr>
      <w:r>
        <w:t>2.  Process Map</w:t>
      </w:r>
    </w:p>
    <w:p>
      <w:pPr>
        <w:spacing w:after="160"/>
      </w:pPr>
      <w:r>
        <w:rPr>
          <w:b w:val="0"/>
          <w:i w:val="0"/>
          <w:sz w:val="21"/>
        </w:rPr>
        <w:t>Position a project against these stages. The firm gate is Stage 6 — nothing before it is a committed power position.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3864"/>
          </w:tcPr>
          <w:p>
            <w:pPr>
              <w:spacing w:before="20" w:after="20"/>
            </w:pPr>
            <w:r/>
            <w:r>
              <w:rPr>
                <w:rFonts w:ascii="Calibri" w:hAnsi="Calibri"/>
                <w:b/>
                <w:color w:val="FFFFFF"/>
                <w:sz w:val="19"/>
              </w:rPr>
              <w:t>#</w:t>
            </w:r>
          </w:p>
        </w:tc>
        <w:tc>
          <w:tcPr>
            <w:tcW w:type="dxa" w:w="7344"/>
            <w:shd w:val="clear" w:color="auto" w:fill="1F3864"/>
          </w:tcPr>
          <w:p>
            <w:pPr>
              <w:spacing w:before="20" w:after="20"/>
            </w:pPr>
            <w:r/>
            <w:r>
              <w:rPr>
                <w:rFonts w:ascii="Calibri" w:hAnsi="Calibri"/>
                <w:b/>
                <w:color w:val="FFFFFF"/>
                <w:sz w:val="19"/>
              </w:rPr>
              <w:t>Stage</w:t>
            </w:r>
          </w:p>
        </w:tc>
        <w:tc>
          <w:tcPr>
            <w:tcW w:type="dxa" w:w="2088"/>
            <w:shd w:val="clear" w:color="auto" w:fill="1F3864"/>
          </w:tcPr>
          <w:p>
            <w:pPr>
              <w:spacing w:before="20" w:after="20"/>
            </w:pPr>
            <w:r/>
            <w:r>
              <w:rPr>
                <w:rFonts w:ascii="Calibri" w:hAnsi="Calibri"/>
                <w:b/>
                <w:color w:val="FFFFFF"/>
                <w:sz w:val="19"/>
              </w:rPr>
              <w:t>Typical Duration</w:t>
            </w:r>
          </w:p>
        </w:tc>
        <w:tc>
          <w:tcPr>
            <w:tcW w:type="dxa" w:w="1368"/>
            <w:shd w:val="clear" w:color="auto" w:fill="1F3864"/>
          </w:tcPr>
          <w:p>
            <w:pPr>
              <w:spacing w:before="20" w:after="20"/>
            </w:pPr>
            <w:r/>
            <w:r>
              <w:rPr>
                <w:rFonts w:ascii="Calibri" w:hAnsi="Calibri"/>
                <w:b/>
                <w:color w:val="FFFFFF"/>
                <w:sz w:val="19"/>
              </w:rPr>
              <w:t>Owner</w:t>
            </w:r>
          </w:p>
        </w:tc>
      </w:tr>
      <w:tr>
        <w:tc>
          <w:tcPr>
            <w:tcW w:type="dxa" w:w="504"/>
          </w:tcPr>
          <w:p>
            <w:pPr>
              <w:spacing w:before="20" w:after="20"/>
            </w:pPr>
            <w:r/>
            <w:r>
              <w:rPr>
                <w:rFonts w:ascii="Calibri" w:hAnsi="Calibri"/>
                <w:b w:val="0"/>
                <w:sz w:val="19"/>
              </w:rPr>
              <w:t>1</w:t>
            </w:r>
          </w:p>
        </w:tc>
        <w:tc>
          <w:tcPr>
            <w:tcW w:type="dxa" w:w="7344"/>
          </w:tcPr>
          <w:p>
            <w:pPr>
              <w:spacing w:before="20" w:after="20"/>
            </w:pPr>
            <w:r/>
            <w:r>
              <w:rPr>
                <w:rFonts w:ascii="Calibri" w:hAnsi="Calibri"/>
                <w:b w:val="0"/>
                <w:sz w:val="19"/>
              </w:rPr>
              <w:t>Load request to APS large-load / new-service team (MW, location, ramp, in-service date)</w:t>
            </w:r>
          </w:p>
        </w:tc>
        <w:tc>
          <w:tcPr>
            <w:tcW w:type="dxa" w:w="2088"/>
          </w:tcPr>
          <w:p>
            <w:pPr>
              <w:spacing w:before="20" w:after="20"/>
            </w:pPr>
            <w:r/>
            <w:r>
              <w:rPr>
                <w:rFonts w:ascii="Calibri" w:hAnsi="Calibri"/>
                <w:b w:val="0"/>
                <w:sz w:val="19"/>
              </w:rPr>
              <w:t>Customer action</w:t>
            </w:r>
          </w:p>
        </w:tc>
        <w:tc>
          <w:tcPr>
            <w:tcW w:type="dxa" w:w="1368"/>
          </w:tcPr>
          <w:p>
            <w:pPr>
              <w:spacing w:before="20" w:after="20"/>
            </w:pPr>
            <w:r/>
            <w:r>
              <w:rPr>
                <w:rFonts w:ascii="Calibri" w:hAnsi="Calibri"/>
                <w:b w:val="0"/>
                <w:sz w:val="19"/>
              </w:rPr>
              <w:t>Customer</w:t>
            </w:r>
          </w:p>
        </w:tc>
      </w:tr>
      <w:tr>
        <w:tc>
          <w:tcPr>
            <w:tcW w:type="dxa" w:w="504"/>
            <w:shd w:val="clear" w:color="auto" w:fill="EAF0F7"/>
          </w:tcPr>
          <w:p>
            <w:pPr>
              <w:spacing w:before="20" w:after="20"/>
            </w:pPr>
            <w:r/>
            <w:r>
              <w:rPr>
                <w:rFonts w:ascii="Calibri" w:hAnsi="Calibri"/>
                <w:b w:val="0"/>
                <w:sz w:val="19"/>
              </w:rPr>
              <w:t>2</w:t>
            </w:r>
          </w:p>
        </w:tc>
        <w:tc>
          <w:tcPr>
            <w:tcW w:type="dxa" w:w="7344"/>
            <w:shd w:val="clear" w:color="auto" w:fill="EAF0F7"/>
          </w:tcPr>
          <w:p>
            <w:pPr>
              <w:spacing w:before="20" w:after="20"/>
            </w:pPr>
            <w:r/>
            <w:r>
              <w:rPr>
                <w:rFonts w:ascii="Calibri" w:hAnsi="Calibri"/>
                <w:b w:val="0"/>
                <w:sz w:val="19"/>
              </w:rPr>
              <w:t>Preliminary capacity / feasibility screening (can APS serve it at that location/size/timing)</w:t>
            </w:r>
          </w:p>
        </w:tc>
        <w:tc>
          <w:tcPr>
            <w:tcW w:type="dxa" w:w="2088"/>
            <w:shd w:val="clear" w:color="auto" w:fill="EAF0F7"/>
          </w:tcPr>
          <w:p>
            <w:pPr>
              <w:spacing w:before="20" w:after="20"/>
            </w:pPr>
            <w:r/>
            <w:r>
              <w:rPr>
                <w:rFonts w:ascii="Calibri" w:hAnsi="Calibri"/>
                <w:b w:val="0"/>
                <w:sz w:val="19"/>
              </w:rPr>
              <w:t>1–3 months [EST]</w:t>
            </w:r>
          </w:p>
        </w:tc>
        <w:tc>
          <w:tcPr>
            <w:tcW w:type="dxa" w:w="1368"/>
            <w:shd w:val="clear" w:color="auto" w:fill="EAF0F7"/>
          </w:tcPr>
          <w:p>
            <w:pPr>
              <w:spacing w:before="20" w:after="20"/>
            </w:pPr>
            <w:r/>
            <w:r>
              <w:rPr>
                <w:rFonts w:ascii="Calibri" w:hAnsi="Calibri"/>
                <w:b w:val="0"/>
                <w:sz w:val="19"/>
              </w:rPr>
              <w:t>APS</w:t>
            </w:r>
          </w:p>
        </w:tc>
      </w:tr>
      <w:tr>
        <w:tc>
          <w:tcPr>
            <w:tcW w:type="dxa" w:w="504"/>
          </w:tcPr>
          <w:p>
            <w:pPr>
              <w:spacing w:before="20" w:after="20"/>
            </w:pPr>
            <w:r/>
            <w:r>
              <w:rPr>
                <w:rFonts w:ascii="Calibri" w:hAnsi="Calibri"/>
                <w:b w:val="0"/>
                <w:sz w:val="19"/>
              </w:rPr>
              <w:t>3</w:t>
            </w:r>
          </w:p>
        </w:tc>
        <w:tc>
          <w:tcPr>
            <w:tcW w:type="dxa" w:w="7344"/>
          </w:tcPr>
          <w:p>
            <w:pPr>
              <w:spacing w:before="20" w:after="20"/>
            </w:pPr>
            <w:r/>
            <w:r>
              <w:rPr>
                <w:rFonts w:ascii="Calibri" w:hAnsi="Calibri"/>
                <w:b w:val="0"/>
                <w:sz w:val="19"/>
              </w:rPr>
              <w:t>Study agreement + deposit → detailed facilities / system-impact study</w:t>
            </w:r>
          </w:p>
        </w:tc>
        <w:tc>
          <w:tcPr>
            <w:tcW w:type="dxa" w:w="2088"/>
          </w:tcPr>
          <w:p>
            <w:pPr>
              <w:spacing w:before="20" w:after="20"/>
            </w:pPr>
            <w:r/>
            <w:r>
              <w:rPr>
                <w:rFonts w:ascii="Calibri" w:hAnsi="Calibri"/>
                <w:b w:val="0"/>
                <w:sz w:val="19"/>
              </w:rPr>
              <w:t>3–6 months [EST]</w:t>
            </w:r>
          </w:p>
        </w:tc>
        <w:tc>
          <w:tcPr>
            <w:tcW w:type="dxa" w:w="1368"/>
          </w:tcPr>
          <w:p>
            <w:pPr>
              <w:spacing w:before="20" w:after="20"/>
            </w:pPr>
            <w:r/>
            <w:r>
              <w:rPr>
                <w:rFonts w:ascii="Calibri" w:hAnsi="Calibri"/>
                <w:b w:val="0"/>
                <w:sz w:val="19"/>
              </w:rPr>
              <w:t>APS</w:t>
            </w:r>
          </w:p>
        </w:tc>
      </w:tr>
      <w:tr>
        <w:tc>
          <w:tcPr>
            <w:tcW w:type="dxa" w:w="504"/>
            <w:shd w:val="clear" w:color="auto" w:fill="EAF0F7"/>
          </w:tcPr>
          <w:p>
            <w:pPr>
              <w:spacing w:before="20" w:after="20"/>
            </w:pPr>
            <w:r/>
            <w:r>
              <w:rPr>
                <w:rFonts w:ascii="Calibri" w:hAnsi="Calibri"/>
                <w:b w:val="0"/>
                <w:sz w:val="19"/>
              </w:rPr>
              <w:t>4</w:t>
            </w:r>
          </w:p>
        </w:tc>
        <w:tc>
          <w:tcPr>
            <w:tcW w:type="dxa" w:w="7344"/>
            <w:shd w:val="clear" w:color="auto" w:fill="EAF0F7"/>
          </w:tcPr>
          <w:p>
            <w:pPr>
              <w:spacing w:before="20" w:after="20"/>
            </w:pPr>
            <w:r/>
            <w:r>
              <w:rPr>
                <w:rFonts w:ascii="Calibri" w:hAnsi="Calibri"/>
                <w:b w:val="0"/>
                <w:sz w:val="19"/>
              </w:rPr>
              <w:t>Commercial commitments: ESA negotiation, site control, collateral, ramp + minimum-bill terms</w:t>
            </w:r>
          </w:p>
        </w:tc>
        <w:tc>
          <w:tcPr>
            <w:tcW w:type="dxa" w:w="2088"/>
            <w:shd w:val="clear" w:color="auto" w:fill="EAF0F7"/>
          </w:tcPr>
          <w:p>
            <w:pPr>
              <w:spacing w:before="20" w:after="20"/>
            </w:pPr>
            <w:r/>
            <w:r>
              <w:rPr>
                <w:rFonts w:ascii="Calibri" w:hAnsi="Calibri"/>
                <w:b w:val="0"/>
                <w:sz w:val="19"/>
              </w:rPr>
              <w:t>Costs begin accruing</w:t>
            </w:r>
          </w:p>
        </w:tc>
        <w:tc>
          <w:tcPr>
            <w:tcW w:type="dxa" w:w="1368"/>
            <w:shd w:val="clear" w:color="auto" w:fill="EAF0F7"/>
          </w:tcPr>
          <w:p>
            <w:pPr>
              <w:spacing w:before="20" w:after="20"/>
            </w:pPr>
            <w:r/>
            <w:r>
              <w:rPr>
                <w:rFonts w:ascii="Calibri" w:hAnsi="Calibri"/>
                <w:b w:val="0"/>
                <w:sz w:val="19"/>
              </w:rPr>
              <w:t>Customer / APS</w:t>
            </w:r>
          </w:p>
        </w:tc>
      </w:tr>
      <w:tr>
        <w:tc>
          <w:tcPr>
            <w:tcW w:type="dxa" w:w="504"/>
          </w:tcPr>
          <w:p>
            <w:pPr>
              <w:spacing w:before="20" w:after="20"/>
            </w:pPr>
            <w:r/>
            <w:r>
              <w:rPr>
                <w:rFonts w:ascii="Calibri" w:hAnsi="Calibri"/>
                <w:b w:val="0"/>
                <w:sz w:val="19"/>
              </w:rPr>
              <w:t>5</w:t>
            </w:r>
          </w:p>
        </w:tc>
        <w:tc>
          <w:tcPr>
            <w:tcW w:type="dxa" w:w="7344"/>
          </w:tcPr>
          <w:p>
            <w:pPr>
              <w:spacing w:before="20" w:after="20"/>
            </w:pPr>
            <w:r/>
            <w:r>
              <w:rPr>
                <w:rFonts w:ascii="Calibri" w:hAnsi="Calibri"/>
                <w:b w:val="0"/>
                <w:sz w:val="19"/>
              </w:rPr>
              <w:t>ESA + Line Extension Agreement (Service Schedule 3) executed; ACC approval if special contract</w:t>
            </w:r>
          </w:p>
        </w:tc>
        <w:tc>
          <w:tcPr>
            <w:tcW w:type="dxa" w:w="2088"/>
          </w:tcPr>
          <w:p>
            <w:pPr>
              <w:spacing w:before="20" w:after="20"/>
            </w:pPr>
            <w:r/>
            <w:r>
              <w:rPr>
                <w:rFonts w:ascii="Calibri" w:hAnsi="Calibri"/>
                <w:b w:val="0"/>
                <w:sz w:val="19"/>
              </w:rPr>
              <w:t>2–6 months [EST]</w:t>
            </w:r>
          </w:p>
        </w:tc>
        <w:tc>
          <w:tcPr>
            <w:tcW w:type="dxa" w:w="1368"/>
          </w:tcPr>
          <w:p>
            <w:pPr>
              <w:spacing w:before="20" w:after="20"/>
            </w:pPr>
            <w:r/>
            <w:r>
              <w:rPr>
                <w:rFonts w:ascii="Calibri" w:hAnsi="Calibri"/>
                <w:b w:val="0"/>
                <w:sz w:val="19"/>
              </w:rPr>
              <w:t>APS / ACC</w:t>
            </w:r>
          </w:p>
        </w:tc>
      </w:tr>
      <w:tr>
        <w:tc>
          <w:tcPr>
            <w:tcW w:type="dxa" w:w="504"/>
            <w:shd w:val="clear" w:color="auto" w:fill="EAF0F7"/>
          </w:tcPr>
          <w:p>
            <w:pPr>
              <w:spacing w:before="20" w:after="20"/>
            </w:pPr>
            <w:r/>
            <w:r>
              <w:rPr>
                <w:rFonts w:ascii="Calibri" w:hAnsi="Calibri"/>
                <w:b w:val="0"/>
                <w:sz w:val="19"/>
              </w:rPr>
              <w:t>6</w:t>
            </w:r>
          </w:p>
        </w:tc>
        <w:tc>
          <w:tcPr>
            <w:tcW w:type="dxa" w:w="7344"/>
            <w:shd w:val="clear" w:color="auto" w:fill="EAF0F7"/>
          </w:tcPr>
          <w:p>
            <w:pPr>
              <w:spacing w:before="20" w:after="20"/>
            </w:pPr>
            <w:r/>
            <w:r>
              <w:rPr>
                <w:rFonts w:ascii="Calibri" w:hAnsi="Calibri"/>
                <w:b w:val="0"/>
                <w:sz w:val="19"/>
              </w:rPr>
              <w:t>CIAC paid + collateral posted → APS orders long-lead equipment  ★ FIRM GATE</w:t>
            </w:r>
          </w:p>
        </w:tc>
        <w:tc>
          <w:tcPr>
            <w:tcW w:type="dxa" w:w="2088"/>
            <w:shd w:val="clear" w:color="auto" w:fill="EAF0F7"/>
          </w:tcPr>
          <w:p>
            <w:pPr>
              <w:spacing w:before="20" w:after="20"/>
            </w:pPr>
            <w:r/>
            <w:r>
              <w:rPr>
                <w:rFonts w:ascii="Calibri" w:hAnsi="Calibri"/>
                <w:b w:val="0"/>
                <w:sz w:val="19"/>
              </w:rPr>
              <w:t>Customer action</w:t>
            </w:r>
          </w:p>
        </w:tc>
        <w:tc>
          <w:tcPr>
            <w:tcW w:type="dxa" w:w="1368"/>
            <w:shd w:val="clear" w:color="auto" w:fill="EAF0F7"/>
          </w:tcPr>
          <w:p>
            <w:pPr>
              <w:spacing w:before="20" w:after="20"/>
            </w:pPr>
            <w:r/>
            <w:r>
              <w:rPr>
                <w:rFonts w:ascii="Calibri" w:hAnsi="Calibri"/>
                <w:b w:val="0"/>
                <w:sz w:val="19"/>
              </w:rPr>
              <w:t>Customer</w:t>
            </w:r>
          </w:p>
        </w:tc>
      </w:tr>
      <w:tr>
        <w:tc>
          <w:tcPr>
            <w:tcW w:type="dxa" w:w="504"/>
          </w:tcPr>
          <w:p>
            <w:pPr>
              <w:spacing w:before="20" w:after="20"/>
            </w:pPr>
            <w:r/>
            <w:r>
              <w:rPr>
                <w:rFonts w:ascii="Calibri" w:hAnsi="Calibri"/>
                <w:b w:val="0"/>
                <w:sz w:val="19"/>
              </w:rPr>
              <w:t>7</w:t>
            </w:r>
          </w:p>
        </w:tc>
        <w:tc>
          <w:tcPr>
            <w:tcW w:type="dxa" w:w="7344"/>
          </w:tcPr>
          <w:p>
            <w:pPr>
              <w:spacing w:before="20" w:after="20"/>
            </w:pPr>
            <w:r/>
            <w:r>
              <w:rPr>
                <w:rFonts w:ascii="Calibri" w:hAnsi="Calibri"/>
                <w:b w:val="0"/>
                <w:sz w:val="19"/>
              </w:rPr>
              <w:t>Engineering + construction (substation / transmission)</w:t>
            </w:r>
          </w:p>
        </w:tc>
        <w:tc>
          <w:tcPr>
            <w:tcW w:type="dxa" w:w="2088"/>
          </w:tcPr>
          <w:p>
            <w:pPr>
              <w:spacing w:before="20" w:after="20"/>
            </w:pPr>
            <w:r/>
            <w:r>
              <w:rPr>
                <w:rFonts w:ascii="Calibri" w:hAnsi="Calibri"/>
                <w:b w:val="0"/>
                <w:sz w:val="19"/>
              </w:rPr>
              <w:t>24–48+ months [EST]</w:t>
            </w:r>
          </w:p>
        </w:tc>
        <w:tc>
          <w:tcPr>
            <w:tcW w:type="dxa" w:w="1368"/>
          </w:tcPr>
          <w:p>
            <w:pPr>
              <w:spacing w:before="20" w:after="20"/>
            </w:pPr>
            <w:r/>
            <w:r>
              <w:rPr>
                <w:rFonts w:ascii="Calibri" w:hAnsi="Calibri"/>
                <w:b w:val="0"/>
                <w:sz w:val="19"/>
              </w:rPr>
              <w:t>APS</w:t>
            </w:r>
          </w:p>
        </w:tc>
      </w:tr>
      <w:tr>
        <w:tc>
          <w:tcPr>
            <w:tcW w:type="dxa" w:w="504"/>
            <w:shd w:val="clear" w:color="auto" w:fill="EAF0F7"/>
          </w:tcPr>
          <w:p>
            <w:pPr>
              <w:spacing w:before="20" w:after="20"/>
            </w:pPr>
            <w:r/>
            <w:r>
              <w:rPr>
                <w:rFonts w:ascii="Calibri" w:hAnsi="Calibri"/>
                <w:b w:val="0"/>
                <w:sz w:val="19"/>
              </w:rPr>
              <w:t>8</w:t>
            </w:r>
          </w:p>
        </w:tc>
        <w:tc>
          <w:tcPr>
            <w:tcW w:type="dxa" w:w="7344"/>
            <w:shd w:val="clear" w:color="auto" w:fill="EAF0F7"/>
          </w:tcPr>
          <w:p>
            <w:pPr>
              <w:spacing w:before="20" w:after="20"/>
            </w:pPr>
            <w:r/>
            <w:r>
              <w:rPr>
                <w:rFonts w:ascii="Calibri" w:hAnsi="Calibri"/>
                <w:b w:val="0"/>
                <w:sz w:val="19"/>
              </w:rPr>
              <w:t>Energization</w:t>
            </w:r>
          </w:p>
        </w:tc>
        <w:tc>
          <w:tcPr>
            <w:tcW w:type="dxa" w:w="2088"/>
            <w:shd w:val="clear" w:color="auto" w:fill="EAF0F7"/>
          </w:tcPr>
          <w:p>
            <w:pPr>
              <w:spacing w:before="20" w:after="20"/>
            </w:pPr>
            <w:r/>
            <w:r>
              <w:rPr>
                <w:rFonts w:ascii="Calibri" w:hAnsi="Calibri"/>
                <w:b w:val="0"/>
                <w:sz w:val="19"/>
              </w:rPr>
              <w:t>—</w:t>
            </w:r>
          </w:p>
        </w:tc>
        <w:tc>
          <w:tcPr>
            <w:tcW w:type="dxa" w:w="1368"/>
            <w:shd w:val="clear" w:color="auto" w:fill="EAF0F7"/>
          </w:tcPr>
          <w:p>
            <w:pPr>
              <w:spacing w:before="20" w:after="20"/>
            </w:pPr>
            <w:r/>
            <w:r>
              <w:rPr>
                <w:rFonts w:ascii="Calibri" w:hAnsi="Calibri"/>
                <w:b w:val="0"/>
                <w:sz w:val="19"/>
              </w:rPr>
              <w:t>APS</w:t>
            </w:r>
          </w:p>
        </w:tc>
      </w:tr>
    </w:tbl>
    <w:p>
      <w:pPr>
        <w:spacing w:after="40"/>
      </w:pPr>
      <w:r>
        <w:rPr>
          <w:b w:val="0"/>
          <w:i w:val="0"/>
          <w:sz w:val="21"/>
        </w:rPr>
      </w:r>
    </w:p>
    <w:p>
      <w:pPr>
        <w:spacing w:after="120"/>
      </w:pPr>
      <w:r>
        <w:rPr>
          <w:b w:val="0"/>
          <w:i w:val="0"/>
          <w:color w:val="555555"/>
          <w:sz w:val="19"/>
        </w:rPr>
        <w:t>Total duration: ~36–60 months [ESTIMATED] — gated by transformer lead times and area capacity, not engineering. Clock starts at the study agreement (Stage 3); hard cost accrual begins at Stage 4.</w:t>
      </w:r>
    </w:p>
    <w:p>
      <w:pPr>
        <w:pStyle w:val="Heading1"/>
      </w:pPr>
      <w:r>
        <w:t>3.  Path to Firm Power</w:t>
      </w:r>
    </w:p>
    <w:p>
      <w:pPr>
        <w:pStyle w:val="ListBullet"/>
        <w:spacing w:after="40"/>
      </w:pPr>
      <w:r>
        <w:rPr>
          <w:b/>
          <w:sz w:val="21"/>
        </w:rPr>
        <w:t xml:space="preserve">Firm gate = </w:t>
      </w:r>
      <w:r>
        <w:rPr>
          <w:sz w:val="21"/>
        </w:rPr>
        <w:t>executed ESA + executed Line Extension Agreement (Service Schedule 3),</w:t>
      </w:r>
    </w:p>
    <w:p>
      <w:pPr>
        <w:pStyle w:val="ListBullet"/>
        <w:spacing w:after="40"/>
      </w:pPr>
      <w:r>
        <w:rPr>
          <w:sz w:val="21"/>
        </w:rPr>
        <w:t>plus CIAC paid / collateral posted,</w:t>
      </w:r>
    </w:p>
    <w:p>
      <w:pPr>
        <w:pStyle w:val="ListBullet"/>
        <w:spacing w:after="40"/>
      </w:pPr>
      <w:r>
        <w:rPr>
          <w:sz w:val="21"/>
        </w:rPr>
        <w:t>plus ACC approval if the deal is a special contract — which together trigger equipment procurement.</w:t>
      </w:r>
    </w:p>
    <w:p>
      <w:pPr>
        <w:spacing w:after="160"/>
      </w:pPr>
      <w:r>
        <w:rPr>
          <w:b w:val="0"/>
          <w:i w:val="0"/>
          <w:sz w:val="21"/>
        </w:rPr>
        <w:t>Anything earlier — a feasibility study, a draft ESA — is non-firm and not something APS will build against. The cheap optionality sits in the study stage; real capital exposure is the CIAC + collateral at the firm gate.</w:t>
      </w:r>
    </w:p>
    <w:p>
      <w:pPr>
        <w:pStyle w:val="Heading1"/>
      </w:pPr>
      <w:r>
        <w:t>4.  Cost &amp; Rate Terms (XHLF Tariff)</w:t>
      </w:r>
    </w:p>
    <w:p>
      <w:pPr>
        <w:spacing w:after="160"/>
      </w:pPr>
      <w:r>
        <w:rPr>
          <w:b w:val="0"/>
          <w:i w:val="0"/>
          <w:sz w:val="21"/>
        </w:rPr>
        <w:t>Grounded in APS Rate Schedule XHLF (A.C.C. No. 6067, Rev 3). XHLF is the large-load rate vehicle for extra-high-load-factor customers such as data centers.</w:t>
      </w:r>
    </w:p>
    <w:p>
      <w:pPr>
        <w:pStyle w:val="Heading3"/>
      </w:pPr>
      <w:r>
        <w:t>Eligibility</w:t>
      </w:r>
    </w:p>
    <w:tbl>
      <w:tblPr>
        <w:tblStyle w:val="TableGrid"/>
        <w:tblW w:type="auto" w:w="0"/>
        <w:jc w:val="center"/>
        <w:tblLook w:firstColumn="1" w:firstRow="1" w:lastColumn="0" w:lastRow="0" w:noHBand="0" w:noVBand="1" w:val="04A0"/>
      </w:tblPr>
      <w:tblGrid>
        <w:gridCol w:w="2880"/>
        <w:gridCol w:w="2880"/>
        <w:gridCol w:w="2880"/>
      </w:tblGrid>
      <w:tr>
        <w:tc>
          <w:tcPr>
            <w:tcW w:type="dxa" w:w="4752"/>
            <w:shd w:val="clear" w:color="auto" w:fill="1F3864"/>
          </w:tcPr>
          <w:p>
            <w:pPr>
              <w:spacing w:before="20" w:after="20"/>
            </w:pPr>
            <w:r/>
            <w:r>
              <w:rPr>
                <w:rFonts w:ascii="Calibri" w:hAnsi="Calibri"/>
                <w:b/>
                <w:color w:val="FFFFFF"/>
                <w:sz w:val="19"/>
              </w:rPr>
              <w:t>Requirement</w:t>
            </w:r>
          </w:p>
        </w:tc>
        <w:tc>
          <w:tcPr>
            <w:tcW w:type="dxa" w:w="4392"/>
            <w:shd w:val="clear" w:color="auto" w:fill="1F3864"/>
          </w:tcPr>
          <w:p>
            <w:pPr>
              <w:spacing w:before="20" w:after="20"/>
            </w:pPr>
            <w:r/>
            <w:r>
              <w:rPr>
                <w:rFonts w:ascii="Calibri" w:hAnsi="Calibri"/>
                <w:b/>
                <w:color w:val="FFFFFF"/>
                <w:sz w:val="19"/>
              </w:rPr>
              <w:t>Threshold</w:t>
            </w:r>
          </w:p>
        </w:tc>
        <w:tc>
          <w:tcPr>
            <w:tcW w:type="dxa" w:w="2160"/>
            <w:shd w:val="clear" w:color="auto" w:fill="1F3864"/>
          </w:tcPr>
          <w:p>
            <w:pPr>
              <w:spacing w:before="20" w:after="20"/>
            </w:pPr>
            <w:r/>
            <w:r>
              <w:rPr>
                <w:rFonts w:ascii="Calibri" w:hAnsi="Calibri"/>
                <w:b/>
                <w:color w:val="FFFFFF"/>
                <w:sz w:val="19"/>
              </w:rPr>
              <w:t>Source</w:t>
            </w:r>
          </w:p>
        </w:tc>
      </w:tr>
      <w:tr>
        <w:tc>
          <w:tcPr>
            <w:tcW w:type="dxa" w:w="4752"/>
          </w:tcPr>
          <w:p>
            <w:pPr>
              <w:spacing w:before="20" w:after="20"/>
            </w:pPr>
            <w:r/>
            <w:r>
              <w:rPr>
                <w:rFonts w:ascii="Calibri" w:hAnsi="Calibri"/>
                <w:b w:val="0"/>
                <w:sz w:val="19"/>
              </w:rPr>
              <w:t>Monthly maximum demand</w:t>
            </w:r>
          </w:p>
        </w:tc>
        <w:tc>
          <w:tcPr>
            <w:tcW w:type="dxa" w:w="4392"/>
          </w:tcPr>
          <w:p>
            <w:pPr>
              <w:spacing w:before="20" w:after="20"/>
            </w:pPr>
            <w:r/>
            <w:r>
              <w:rPr>
                <w:rFonts w:ascii="Calibri" w:hAnsi="Calibri"/>
                <w:b w:val="0"/>
                <w:sz w:val="19"/>
              </w:rPr>
              <w:t>≥ 5,000 kW</w:t>
            </w:r>
          </w:p>
        </w:tc>
        <w:tc>
          <w:tcPr>
            <w:tcW w:type="dxa" w:w="2160"/>
          </w:tcPr>
          <w:p>
            <w:pPr>
              <w:spacing w:before="20" w:after="20"/>
            </w:pPr>
            <w:r/>
            <w:r>
              <w:rPr>
                <w:rFonts w:ascii="Calibri" w:hAnsi="Calibri"/>
                <w:b w:val="0"/>
                <w:sz w:val="19"/>
              </w:rPr>
              <w:t>GROUNDED</w:t>
            </w:r>
          </w:p>
        </w:tc>
      </w:tr>
      <w:tr>
        <w:tc>
          <w:tcPr>
            <w:tcW w:type="dxa" w:w="4752"/>
            <w:shd w:val="clear" w:color="auto" w:fill="EAF0F7"/>
          </w:tcPr>
          <w:p>
            <w:pPr>
              <w:spacing w:before="20" w:after="20"/>
            </w:pPr>
            <w:r/>
            <w:r>
              <w:rPr>
                <w:rFonts w:ascii="Calibri" w:hAnsi="Calibri"/>
                <w:b w:val="0"/>
                <w:sz w:val="19"/>
              </w:rPr>
              <w:t>Load factor</w:t>
            </w:r>
          </w:p>
        </w:tc>
        <w:tc>
          <w:tcPr>
            <w:tcW w:type="dxa" w:w="4392"/>
            <w:shd w:val="clear" w:color="auto" w:fill="EAF0F7"/>
          </w:tcPr>
          <w:p>
            <w:pPr>
              <w:spacing w:before="20" w:after="20"/>
            </w:pPr>
            <w:r/>
            <w:r>
              <w:rPr>
                <w:rFonts w:ascii="Calibri" w:hAnsi="Calibri"/>
                <w:b w:val="0"/>
                <w:sz w:val="19"/>
              </w:rPr>
              <w:t>≥ 92% for ≥ 9 of prior 12 months</w:t>
            </w:r>
          </w:p>
        </w:tc>
        <w:tc>
          <w:tcPr>
            <w:tcW w:type="dxa" w:w="2160"/>
            <w:shd w:val="clear" w:color="auto" w:fill="EAF0F7"/>
          </w:tcPr>
          <w:p>
            <w:pPr>
              <w:spacing w:before="20" w:after="20"/>
            </w:pPr>
            <w:r/>
            <w:r>
              <w:rPr>
                <w:rFonts w:ascii="Calibri" w:hAnsi="Calibri"/>
                <w:b w:val="0"/>
                <w:sz w:val="19"/>
              </w:rPr>
              <w:t>GROUNDED</w:t>
            </w:r>
          </w:p>
        </w:tc>
      </w:tr>
      <w:tr>
        <w:tc>
          <w:tcPr>
            <w:tcW w:type="dxa" w:w="4752"/>
          </w:tcPr>
          <w:p>
            <w:pPr>
              <w:spacing w:before="20" w:after="20"/>
            </w:pPr>
            <w:r/>
            <w:r>
              <w:rPr>
                <w:rFonts w:ascii="Calibri" w:hAnsi="Calibri"/>
                <w:b w:val="0"/>
                <w:sz w:val="19"/>
              </w:rPr>
              <w:t>Econ-Dev &amp; Sustainability features</w:t>
            </w:r>
          </w:p>
        </w:tc>
        <w:tc>
          <w:tcPr>
            <w:tcW w:type="dxa" w:w="4392"/>
          </w:tcPr>
          <w:p>
            <w:pPr>
              <w:spacing w:before="20" w:after="20"/>
            </w:pPr>
            <w:r/>
            <w:r>
              <w:rPr>
                <w:rFonts w:ascii="Calibri" w:hAnsi="Calibri"/>
                <w:b w:val="0"/>
                <w:sz w:val="19"/>
              </w:rPr>
              <w:t>≥ 15,000 kW + 50% carbon-free activity</w:t>
            </w:r>
          </w:p>
        </w:tc>
        <w:tc>
          <w:tcPr>
            <w:tcW w:type="dxa" w:w="2160"/>
          </w:tcPr>
          <w:p>
            <w:pPr>
              <w:spacing w:before="20" w:after="20"/>
            </w:pPr>
            <w:r/>
            <w:r>
              <w:rPr>
                <w:rFonts w:ascii="Calibri" w:hAnsi="Calibri"/>
                <w:b w:val="0"/>
                <w:sz w:val="19"/>
              </w:rPr>
              <w:t>GROUNDED</w:t>
            </w:r>
          </w:p>
        </w:tc>
      </w:tr>
    </w:tbl>
    <w:p>
      <w:pPr>
        <w:spacing w:after="80"/>
      </w:pPr>
      <w:r>
        <w:rPr>
          <w:b w:val="0"/>
          <w:i w:val="0"/>
          <w:sz w:val="21"/>
        </w:rPr>
      </w:r>
    </w:p>
    <w:p>
      <w:pPr>
        <w:pStyle w:val="Heading3"/>
      </w:pPr>
      <w:r>
        <w:t>Charges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104"/>
            <w:shd w:val="clear" w:color="auto" w:fill="1F3864"/>
          </w:tcPr>
          <w:p>
            <w:pPr>
              <w:spacing w:before="20" w:after="20"/>
            </w:pPr>
            <w:r/>
            <w:r>
              <w:rPr>
                <w:rFonts w:ascii="Calibri" w:hAnsi="Calibri"/>
                <w:b/>
                <w:color w:val="FFFFFF"/>
                <w:sz w:val="19"/>
              </w:rPr>
              <w:t>Charge</w:t>
            </w:r>
          </w:p>
        </w:tc>
        <w:tc>
          <w:tcPr>
            <w:tcW w:type="dxa" w:w="2448"/>
            <w:shd w:val="clear" w:color="auto" w:fill="1F3864"/>
          </w:tcPr>
          <w:p>
            <w:pPr>
              <w:spacing w:before="20" w:after="20"/>
            </w:pPr>
            <w:r/>
            <w:r>
              <w:rPr>
                <w:rFonts w:ascii="Calibri" w:hAnsi="Calibri"/>
                <w:b/>
                <w:color w:val="FFFFFF"/>
                <w:sz w:val="19"/>
              </w:rPr>
              <w:t>Transmission</w:t>
            </w:r>
          </w:p>
        </w:tc>
        <w:tc>
          <w:tcPr>
            <w:tcW w:type="dxa" w:w="2376"/>
            <w:shd w:val="clear" w:color="auto" w:fill="1F3864"/>
          </w:tcPr>
          <w:p>
            <w:pPr>
              <w:spacing w:before="20" w:after="20"/>
            </w:pPr>
            <w:r/>
            <w:r>
              <w:rPr>
                <w:rFonts w:ascii="Calibri" w:hAnsi="Calibri"/>
                <w:b/>
                <w:color w:val="FFFFFF"/>
                <w:sz w:val="19"/>
              </w:rPr>
              <w:t>Primary</w:t>
            </w:r>
          </w:p>
        </w:tc>
        <w:tc>
          <w:tcPr>
            <w:tcW w:type="dxa" w:w="2376"/>
            <w:shd w:val="clear" w:color="auto" w:fill="1F3864"/>
          </w:tcPr>
          <w:p>
            <w:pPr>
              <w:spacing w:before="20" w:after="20"/>
            </w:pPr>
            <w:r/>
            <w:r>
              <w:rPr>
                <w:rFonts w:ascii="Calibri" w:hAnsi="Calibri"/>
                <w:b/>
                <w:color w:val="FFFFFF"/>
                <w:sz w:val="19"/>
              </w:rPr>
              <w:t>Secondary</w:t>
            </w:r>
          </w:p>
        </w:tc>
      </w:tr>
      <w:tr>
        <w:tc>
          <w:tcPr>
            <w:tcW w:type="dxa" w:w="4104"/>
          </w:tcPr>
          <w:p>
            <w:pPr>
              <w:spacing w:before="20" w:after="20"/>
            </w:pPr>
            <w:r/>
            <w:r>
              <w:rPr>
                <w:rFonts w:ascii="Calibri" w:hAnsi="Calibri"/>
                <w:b w:val="0"/>
                <w:sz w:val="19"/>
              </w:rPr>
              <w:t>Energy ($/kWh)</w:t>
            </w:r>
          </w:p>
        </w:tc>
        <w:tc>
          <w:tcPr>
            <w:tcW w:type="dxa" w:w="2448"/>
          </w:tcPr>
          <w:p>
            <w:pPr>
              <w:spacing w:before="20" w:after="20"/>
            </w:pPr>
            <w:r/>
            <w:r>
              <w:rPr>
                <w:rFonts w:ascii="Calibri" w:hAnsi="Calibri"/>
                <w:b w:val="0"/>
                <w:sz w:val="19"/>
              </w:rPr>
              <w:t>0.04210</w:t>
            </w:r>
          </w:p>
        </w:tc>
        <w:tc>
          <w:tcPr>
            <w:tcW w:type="dxa" w:w="2376"/>
          </w:tcPr>
          <w:p>
            <w:pPr>
              <w:spacing w:before="20" w:after="20"/>
            </w:pPr>
            <w:r/>
            <w:r>
              <w:rPr>
                <w:rFonts w:ascii="Calibri" w:hAnsi="Calibri"/>
                <w:b w:val="0"/>
                <w:sz w:val="19"/>
              </w:rPr>
              <w:t>0.04210</w:t>
            </w:r>
          </w:p>
        </w:tc>
        <w:tc>
          <w:tcPr>
            <w:tcW w:type="dxa" w:w="2376"/>
          </w:tcPr>
          <w:p>
            <w:pPr>
              <w:spacing w:before="20" w:after="20"/>
            </w:pPr>
            <w:r/>
            <w:r>
              <w:rPr>
                <w:rFonts w:ascii="Calibri" w:hAnsi="Calibri"/>
                <w:b w:val="0"/>
                <w:sz w:val="19"/>
              </w:rPr>
              <w:t>0.04210</w:t>
            </w:r>
          </w:p>
        </w:tc>
      </w:tr>
      <w:tr>
        <w:tc>
          <w:tcPr>
            <w:tcW w:type="dxa" w:w="4104"/>
            <w:shd w:val="clear" w:color="auto" w:fill="EAF0F7"/>
          </w:tcPr>
          <w:p>
            <w:pPr>
              <w:spacing w:before="20" w:after="20"/>
            </w:pPr>
            <w:r/>
            <w:r>
              <w:rPr>
                <w:rFonts w:ascii="Calibri" w:hAnsi="Calibri"/>
                <w:b w:val="0"/>
                <w:sz w:val="19"/>
              </w:rPr>
              <w:t>Demand ($/kW)</w:t>
            </w:r>
          </w:p>
        </w:tc>
        <w:tc>
          <w:tcPr>
            <w:tcW w:type="dxa" w:w="2448"/>
            <w:shd w:val="clear" w:color="auto" w:fill="EAF0F7"/>
          </w:tcPr>
          <w:p>
            <w:pPr>
              <w:spacing w:before="20" w:after="20"/>
            </w:pPr>
            <w:r/>
            <w:r>
              <w:rPr>
                <w:rFonts w:ascii="Calibri" w:hAnsi="Calibri"/>
                <w:b w:val="0"/>
                <w:sz w:val="19"/>
              </w:rPr>
              <w:t>13.274</w:t>
            </w:r>
          </w:p>
        </w:tc>
        <w:tc>
          <w:tcPr>
            <w:tcW w:type="dxa" w:w="2376"/>
            <w:shd w:val="clear" w:color="auto" w:fill="EAF0F7"/>
          </w:tcPr>
          <w:p>
            <w:pPr>
              <w:spacing w:before="20" w:after="20"/>
            </w:pPr>
            <w:r/>
            <w:r>
              <w:rPr>
                <w:rFonts w:ascii="Calibri" w:hAnsi="Calibri"/>
                <w:b w:val="0"/>
                <w:sz w:val="19"/>
              </w:rPr>
              <w:t>17.290</w:t>
            </w:r>
          </w:p>
        </w:tc>
        <w:tc>
          <w:tcPr>
            <w:tcW w:type="dxa" w:w="2376"/>
            <w:shd w:val="clear" w:color="auto" w:fill="EAF0F7"/>
          </w:tcPr>
          <w:p>
            <w:pPr>
              <w:spacing w:before="20" w:after="20"/>
            </w:pPr>
            <w:r/>
            <w:r>
              <w:rPr>
                <w:rFonts w:ascii="Calibri" w:hAnsi="Calibri"/>
                <w:b w:val="0"/>
                <w:sz w:val="19"/>
              </w:rPr>
              <w:t>18.750</w:t>
            </w:r>
          </w:p>
        </w:tc>
      </w:tr>
      <w:tr>
        <w:tc>
          <w:tcPr>
            <w:tcW w:type="dxa" w:w="4104"/>
          </w:tcPr>
          <w:p>
            <w:pPr>
              <w:spacing w:before="20" w:after="20"/>
            </w:pPr>
            <w:r/>
            <w:r>
              <w:rPr>
                <w:rFonts w:ascii="Calibri" w:hAnsi="Calibri"/>
                <w:b w:val="0"/>
                <w:sz w:val="19"/>
              </w:rPr>
              <w:t>Basic service ($/day)</w:t>
            </w:r>
          </w:p>
        </w:tc>
        <w:tc>
          <w:tcPr>
            <w:tcW w:type="dxa" w:w="2448"/>
          </w:tcPr>
          <w:p>
            <w:pPr>
              <w:spacing w:before="20" w:after="20"/>
            </w:pPr>
            <w:r/>
            <w:r>
              <w:rPr>
                <w:rFonts w:ascii="Calibri" w:hAnsi="Calibri"/>
                <w:b w:val="0"/>
                <w:sz w:val="19"/>
              </w:rPr>
              <w:t>43.130</w:t>
            </w:r>
          </w:p>
        </w:tc>
        <w:tc>
          <w:tcPr>
            <w:tcW w:type="dxa" w:w="2376"/>
          </w:tcPr>
          <w:p>
            <w:pPr>
              <w:spacing w:before="20" w:after="20"/>
            </w:pPr>
            <w:r/>
            <w:r>
              <w:rPr>
                <w:rFonts w:ascii="Calibri" w:hAnsi="Calibri"/>
                <w:b w:val="0"/>
                <w:sz w:val="19"/>
              </w:rPr>
              <w:t>8.833</w:t>
            </w:r>
          </w:p>
        </w:tc>
        <w:tc>
          <w:tcPr>
            <w:tcW w:type="dxa" w:w="2376"/>
          </w:tcPr>
          <w:p>
            <w:pPr>
              <w:spacing w:before="20" w:after="20"/>
            </w:pPr>
            <w:r/>
            <w:r>
              <w:rPr>
                <w:rFonts w:ascii="Calibri" w:hAnsi="Calibri"/>
                <w:b w:val="0"/>
                <w:sz w:val="19"/>
              </w:rPr>
              <w:t>5.682</w:t>
            </w:r>
          </w:p>
        </w:tc>
      </w:tr>
    </w:tbl>
    <w:p>
      <w:pPr>
        <w:spacing w:after="40"/>
      </w:pPr>
      <w:r>
        <w:rPr>
          <w:b w:val="0"/>
          <w:i w:val="0"/>
          <w:sz w:val="21"/>
        </w:rPr>
      </w:r>
    </w:p>
    <w:p>
      <w:pPr>
        <w:pStyle w:val="ListBullet"/>
        <w:spacing w:after="40"/>
      </w:pPr>
      <w:r>
        <w:rPr>
          <w:b/>
          <w:sz w:val="21"/>
        </w:rPr>
        <w:t xml:space="preserve">Econ-Dev discount: </w:t>
      </w:r>
      <w:r>
        <w:rPr>
          <w:sz w:val="21"/>
        </w:rPr>
        <w:t>up to 35% off the Generation–Capacity charge, ≤ 6 years, new load only (Service Schedule 9).</w:t>
      </w:r>
    </w:p>
    <w:p>
      <w:pPr>
        <w:pStyle w:val="ListBullet"/>
        <w:spacing w:after="40"/>
      </w:pPr>
      <w:r>
        <w:rPr>
          <w:b/>
          <w:sz w:val="21"/>
        </w:rPr>
        <w:t xml:space="preserve">Optional market-proxy energy: </w:t>
      </w:r>
      <w:r>
        <w:rPr>
          <w:sz w:val="21"/>
        </w:rPr>
        <w:t>ICE Palo Verde hub day-ahead on/off-peak + $0.00314/kWh non-bypassable fee (in lieu of standard fuel adjustment).</w:t>
      </w:r>
    </w:p>
    <w:p>
      <w:pPr>
        <w:pStyle w:val="ListBullet"/>
        <w:spacing w:after="40"/>
      </w:pPr>
      <w:r>
        <w:rPr>
          <w:b/>
          <w:sz w:val="21"/>
        </w:rPr>
        <w:t xml:space="preserve">Program cap: </w:t>
      </w:r>
      <w:r>
        <w:rPr>
          <w:sz w:val="21"/>
        </w:rPr>
        <w:t>Econ-Dev/Sustainability program limited to +50 MW/yr per customer, 500 MW total (APS discretion on market liquidity).</w:t>
      </w:r>
    </w:p>
    <w:p>
      <w:pPr>
        <w:pStyle w:val="Heading1"/>
      </w:pPr>
      <w:r>
        <w:t>5.  Interconnection Process Costs</w:t>
      </w:r>
    </w:p>
    <w:p>
      <w:pPr>
        <w:spacing w:after="160"/>
      </w:pPr>
      <w:r>
        <w:rPr>
          <w:b w:val="0"/>
          <w:i w:val="0"/>
          <w:sz w:val="21"/>
        </w:rPr>
        <w:t>Read this first: APS does NOT publish a flat large-LOAD study fee. Load connections run through Service Schedule 3 (line extensions), where the study charge equals APS’s actual estimated cost to prepare the work — not a fixed tariff number. The tiered deposits you will find online ($20K / $40K feasibility &amp; system-impact, or $5K + $100K + $200K) are GENERATION interconnection (Schedule 6 / FERC queue reform) and do NOT apply to a data-center load. Both are shown below so the distinction is unambiguous.</w:t>
      </w:r>
    </w:p>
    <w:p>
      <w:pPr>
        <w:pStyle w:val="Heading3"/>
      </w:pPr>
      <w:r>
        <w:t>A.  Large-Load Study &amp; Connection Costs (Service Schedule 3 — applies to data centers)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96"/>
            <w:shd w:val="clear" w:color="auto" w:fill="1F3864"/>
          </w:tcPr>
          <w:p>
            <w:pPr>
              <w:spacing w:before="20" w:after="20"/>
            </w:pPr>
            <w:r/>
            <w:r>
              <w:rPr>
                <w:rFonts w:ascii="Calibri" w:hAnsi="Calibri"/>
                <w:b/>
                <w:color w:val="FFFFFF"/>
                <w:sz w:val="19"/>
              </w:rPr>
              <w:t>Cost item</w:t>
            </w:r>
          </w:p>
        </w:tc>
        <w:tc>
          <w:tcPr>
            <w:tcW w:type="dxa" w:w="3384"/>
            <w:shd w:val="clear" w:color="auto" w:fill="1F3864"/>
          </w:tcPr>
          <w:p>
            <w:pPr>
              <w:spacing w:before="20" w:after="20"/>
            </w:pPr>
            <w:r/>
            <w:r>
              <w:rPr>
                <w:rFonts w:ascii="Calibri" w:hAnsi="Calibri"/>
                <w:b/>
                <w:color w:val="FFFFFF"/>
                <w:sz w:val="19"/>
              </w:rPr>
              <w:t>Amount / basis</w:t>
            </w:r>
          </w:p>
        </w:tc>
        <w:tc>
          <w:tcPr>
            <w:tcW w:type="dxa" w:w="4320"/>
            <w:shd w:val="clear" w:color="auto" w:fill="1F3864"/>
          </w:tcPr>
          <w:p>
            <w:pPr>
              <w:spacing w:before="20" w:after="20"/>
            </w:pPr>
            <w:r/>
            <w:r>
              <w:rPr>
                <w:rFonts w:ascii="Calibri" w:hAnsi="Calibri"/>
                <w:b/>
                <w:color w:val="FFFFFF"/>
                <w:sz w:val="19"/>
              </w:rPr>
              <w:t>Notes</w:t>
            </w:r>
          </w:p>
        </w:tc>
        <w:tc>
          <w:tcPr>
            <w:tcW w:type="dxa" w:w="1728"/>
            <w:shd w:val="clear" w:color="auto" w:fill="1F3864"/>
          </w:tcPr>
          <w:p>
            <w:pPr>
              <w:spacing w:before="20" w:after="20"/>
            </w:pPr>
            <w:r/>
            <w:r>
              <w:rPr>
                <w:rFonts w:ascii="Calibri" w:hAnsi="Calibri"/>
                <w:b/>
                <w:color w:val="FFFFFF"/>
                <w:sz w:val="19"/>
              </w:rPr>
              <w:t>Confidence</w:t>
            </w:r>
          </w:p>
        </w:tc>
      </w:tr>
      <w:tr>
        <w:tc>
          <w:tcPr>
            <w:tcW w:type="dxa" w:w="3096"/>
          </w:tcPr>
          <w:p>
            <w:pPr>
              <w:spacing w:before="20" w:after="20"/>
            </w:pPr>
            <w:r/>
            <w:r>
              <w:rPr>
                <w:rFonts w:ascii="Calibri" w:hAnsi="Calibri"/>
                <w:b w:val="0"/>
                <w:sz w:val="19"/>
              </w:rPr>
              <w:t>Preliminary sketch + rough cost estimate</w:t>
            </w:r>
          </w:p>
        </w:tc>
        <w:tc>
          <w:tcPr>
            <w:tcW w:type="dxa" w:w="3384"/>
          </w:tcPr>
          <w:p>
            <w:pPr>
              <w:spacing w:before="20" w:after="20"/>
            </w:pPr>
            <w:r/>
            <w:r>
              <w:rPr>
                <w:rFonts w:ascii="Calibri" w:hAnsi="Calibri"/>
                <w:b w:val="0"/>
                <w:sz w:val="19"/>
              </w:rPr>
              <w:t>No charge</w:t>
            </w:r>
          </w:p>
        </w:tc>
        <w:tc>
          <w:tcPr>
            <w:tcW w:type="dxa" w:w="4320"/>
          </w:tcPr>
          <w:p>
            <w:pPr>
              <w:spacing w:before="20" w:after="20"/>
            </w:pPr>
            <w:r/>
            <w:r>
              <w:rPr>
                <w:rFonts w:ascii="Calibri" w:hAnsi="Calibri"/>
                <w:b w:val="0"/>
                <w:sz w:val="19"/>
              </w:rPr>
              <w:t>Provided by APS on request (§27.1)</w:t>
            </w:r>
          </w:p>
        </w:tc>
        <w:tc>
          <w:tcPr>
            <w:tcW w:type="dxa" w:w="1728"/>
          </w:tcPr>
          <w:p>
            <w:pPr>
              <w:spacing w:before="20" w:after="20"/>
            </w:pPr>
            <w:r/>
            <w:r>
              <w:rPr>
                <w:rFonts w:ascii="Calibri" w:hAnsi="Calibri"/>
                <w:b w:val="0"/>
                <w:sz w:val="19"/>
              </w:rPr>
              <w:t>GROUNDED</w:t>
            </w:r>
          </w:p>
        </w:tc>
      </w:tr>
      <w:tr>
        <w:tc>
          <w:tcPr>
            <w:tcW w:type="dxa" w:w="3096"/>
            <w:shd w:val="clear" w:color="auto" w:fill="EAF0F7"/>
          </w:tcPr>
          <w:p>
            <w:pPr>
              <w:spacing w:before="20" w:after="20"/>
            </w:pPr>
            <w:r/>
            <w:r>
              <w:rPr>
                <w:rFonts w:ascii="Calibri" w:hAnsi="Calibri"/>
                <w:b w:val="0"/>
                <w:sz w:val="19"/>
              </w:rPr>
              <w:t>Special study / detailed design / cost estimate</w:t>
            </w:r>
          </w:p>
        </w:tc>
        <w:tc>
          <w:tcPr>
            <w:tcW w:type="dxa" w:w="3384"/>
            <w:shd w:val="clear" w:color="auto" w:fill="EAF0F7"/>
          </w:tcPr>
          <w:p>
            <w:pPr>
              <w:spacing w:before="20" w:after="20"/>
            </w:pPr>
            <w:r/>
            <w:r>
              <w:rPr>
                <w:rFonts w:ascii="Calibri" w:hAnsi="Calibri"/>
                <w:b w:val="0"/>
                <w:sz w:val="19"/>
              </w:rPr>
              <w:t>= APS’s estimated cost to prepare it (no fixed fee)</w:t>
            </w:r>
          </w:p>
        </w:tc>
        <w:tc>
          <w:tcPr>
            <w:tcW w:type="dxa" w:w="4320"/>
            <w:shd w:val="clear" w:color="auto" w:fill="EAF0F7"/>
          </w:tcPr>
          <w:p>
            <w:pPr>
              <w:spacing w:before="20" w:after="20"/>
            </w:pPr>
            <w:r/>
            <w:r>
              <w:rPr>
                <w:rFonts w:ascii="Calibri" w:hAnsi="Calibri"/>
                <w:b w:val="0"/>
                <w:sz w:val="19"/>
              </w:rPr>
              <w:t>Credited to construction cost if you proceed; NON-REFUNDABLE if you don’t (§27.1)</w:t>
            </w:r>
          </w:p>
        </w:tc>
        <w:tc>
          <w:tcPr>
            <w:tcW w:type="dxa" w:w="1728"/>
            <w:shd w:val="clear" w:color="auto" w:fill="EAF0F7"/>
          </w:tcPr>
          <w:p>
            <w:pPr>
              <w:spacing w:before="20" w:after="20"/>
            </w:pPr>
            <w:r/>
            <w:r>
              <w:rPr>
                <w:rFonts w:ascii="Calibri" w:hAnsi="Calibri"/>
                <w:b w:val="0"/>
                <w:sz w:val="19"/>
              </w:rPr>
              <w:t>GROUNDED</w:t>
            </w:r>
          </w:p>
        </w:tc>
      </w:tr>
      <w:tr>
        <w:tc>
          <w:tcPr>
            <w:tcW w:type="dxa" w:w="3096"/>
          </w:tcPr>
          <w:p>
            <w:pPr>
              <w:spacing w:before="20" w:after="20"/>
            </w:pPr>
            <w:r/>
            <w:r>
              <w:rPr>
                <w:rFonts w:ascii="Calibri" w:hAnsi="Calibri"/>
                <w:b w:val="0"/>
                <w:sz w:val="19"/>
              </w:rPr>
              <w:t>Cost-sharing test</w:t>
            </w:r>
          </w:p>
        </w:tc>
        <w:tc>
          <w:tcPr>
            <w:tcW w:type="dxa" w:w="3384"/>
          </w:tcPr>
          <w:p>
            <w:pPr>
              <w:spacing w:before="20" w:after="20"/>
            </w:pPr>
            <w:r/>
            <w:r>
              <w:rPr>
                <w:rFonts w:ascii="Calibri" w:hAnsi="Calibri"/>
                <w:b w:val="0"/>
                <w:sz w:val="19"/>
              </w:rPr>
              <w:t>“Economic Feasibility”: projected annual delivery revenue vs. cost</w:t>
            </w:r>
          </w:p>
        </w:tc>
        <w:tc>
          <w:tcPr>
            <w:tcW w:type="dxa" w:w="4320"/>
          </w:tcPr>
          <w:p>
            <w:pPr>
              <w:spacing w:before="20" w:after="20"/>
            </w:pPr>
            <w:r/>
            <w:r>
              <w:rPr>
                <w:rFonts w:ascii="Calibri" w:hAnsi="Calibri"/>
                <w:b w:val="0"/>
                <w:sz w:val="19"/>
              </w:rPr>
              <w:t>Determines free allowance vs. refundable advance</w:t>
            </w:r>
          </w:p>
        </w:tc>
        <w:tc>
          <w:tcPr>
            <w:tcW w:type="dxa" w:w="1728"/>
          </w:tcPr>
          <w:p>
            <w:pPr>
              <w:spacing w:before="20" w:after="20"/>
            </w:pPr>
            <w:r/>
            <w:r>
              <w:rPr>
                <w:rFonts w:ascii="Calibri" w:hAnsi="Calibri"/>
                <w:b w:val="0"/>
                <w:sz w:val="19"/>
              </w:rPr>
              <w:t>GROUNDED</w:t>
            </w:r>
          </w:p>
        </w:tc>
      </w:tr>
      <w:tr>
        <w:tc>
          <w:tcPr>
            <w:tcW w:type="dxa" w:w="3096"/>
            <w:shd w:val="clear" w:color="auto" w:fill="EAF0F7"/>
          </w:tcPr>
          <w:p>
            <w:pPr>
              <w:spacing w:before="20" w:after="20"/>
            </w:pPr>
            <w:r/>
            <w:r>
              <w:rPr>
                <w:rFonts w:ascii="Calibri" w:hAnsi="Calibri"/>
                <w:b w:val="0"/>
                <w:sz w:val="19"/>
              </w:rPr>
              <w:t>Construction cost above allowance</w:t>
            </w:r>
          </w:p>
        </w:tc>
        <w:tc>
          <w:tcPr>
            <w:tcW w:type="dxa" w:w="3384"/>
            <w:shd w:val="clear" w:color="auto" w:fill="EAF0F7"/>
          </w:tcPr>
          <w:p>
            <w:pPr>
              <w:spacing w:before="20" w:after="20"/>
            </w:pPr>
            <w:r/>
            <w:r>
              <w:rPr>
                <w:rFonts w:ascii="Calibri" w:hAnsi="Calibri"/>
                <w:b w:val="0"/>
                <w:sz w:val="19"/>
              </w:rPr>
              <w:t>Paid in full by applicant</w:t>
            </w:r>
          </w:p>
        </w:tc>
        <w:tc>
          <w:tcPr>
            <w:tcW w:type="dxa" w:w="4320"/>
            <w:shd w:val="clear" w:color="auto" w:fill="EAF0F7"/>
          </w:tcPr>
          <w:p>
            <w:pPr>
              <w:spacing w:before="20" w:after="20"/>
            </w:pPr>
            <w:r/>
            <w:r>
              <w:rPr>
                <w:rFonts w:ascii="Calibri" w:hAnsi="Calibri"/>
                <w:b w:val="0"/>
                <w:sz w:val="19"/>
              </w:rPr>
              <w:t>Due at Line Extension Agreement signing, before APS installs facilities</w:t>
            </w:r>
          </w:p>
        </w:tc>
        <w:tc>
          <w:tcPr>
            <w:tcW w:type="dxa" w:w="1728"/>
            <w:shd w:val="clear" w:color="auto" w:fill="EAF0F7"/>
          </w:tcPr>
          <w:p>
            <w:pPr>
              <w:spacing w:before="20" w:after="20"/>
            </w:pPr>
            <w:r/>
            <w:r>
              <w:rPr>
                <w:rFonts w:ascii="Calibri" w:hAnsi="Calibri"/>
                <w:b w:val="0"/>
                <w:sz w:val="19"/>
              </w:rPr>
              <w:t>GROUNDED</w:t>
            </w:r>
          </w:p>
        </w:tc>
      </w:tr>
      <w:tr>
        <w:tc>
          <w:tcPr>
            <w:tcW w:type="dxa" w:w="3096"/>
          </w:tcPr>
          <w:p>
            <w:pPr>
              <w:spacing w:before="20" w:after="20"/>
            </w:pPr>
            <w:r/>
            <w:r>
              <w:rPr>
                <w:rFonts w:ascii="Calibri" w:hAnsi="Calibri"/>
                <w:b w:val="0"/>
                <w:sz w:val="19"/>
              </w:rPr>
              <w:t>CIAC (≥ 15 MW, transmission service)</w:t>
            </w:r>
          </w:p>
        </w:tc>
        <w:tc>
          <w:tcPr>
            <w:tcW w:type="dxa" w:w="3384"/>
          </w:tcPr>
          <w:p>
            <w:pPr>
              <w:spacing w:before="20" w:after="20"/>
            </w:pPr>
            <w:r/>
            <w:r>
              <w:rPr>
                <w:rFonts w:ascii="Calibri" w:hAnsi="Calibri"/>
                <w:b w:val="0"/>
                <w:sz w:val="19"/>
              </w:rPr>
              <w:t>Full cost of transmission facilities, in lieu of buying them</w:t>
            </w:r>
          </w:p>
        </w:tc>
        <w:tc>
          <w:tcPr>
            <w:tcW w:type="dxa" w:w="4320"/>
          </w:tcPr>
          <w:p>
            <w:pPr>
              <w:spacing w:before="20" w:after="20"/>
            </w:pPr>
            <w:r/>
            <w:r>
              <w:rPr>
                <w:rFonts w:ascii="Calibri" w:hAnsi="Calibri"/>
                <w:b w:val="0"/>
                <w:sz w:val="19"/>
              </w:rPr>
              <w:t>APS may finance at its WACC up to 10 years (XHLF option)</w:t>
            </w:r>
          </w:p>
        </w:tc>
        <w:tc>
          <w:tcPr>
            <w:tcW w:type="dxa" w:w="1728"/>
          </w:tcPr>
          <w:p>
            <w:pPr>
              <w:spacing w:before="20" w:after="20"/>
            </w:pPr>
            <w:r/>
            <w:r>
              <w:rPr>
                <w:rFonts w:ascii="Calibri" w:hAnsi="Calibri"/>
                <w:b w:val="0"/>
                <w:sz w:val="19"/>
              </w:rPr>
              <w:t>GROUNDED</w:t>
            </w:r>
          </w:p>
        </w:tc>
      </w:tr>
      <w:tr>
        <w:tc>
          <w:tcPr>
            <w:tcW w:type="dxa" w:w="3096"/>
            <w:shd w:val="clear" w:color="auto" w:fill="EAF0F7"/>
          </w:tcPr>
          <w:p>
            <w:pPr>
              <w:spacing w:before="20" w:after="20"/>
            </w:pPr>
            <w:r/>
            <w:r>
              <w:rPr>
                <w:rFonts w:ascii="Calibri" w:hAnsi="Calibri"/>
                <w:b w:val="0"/>
                <w:sz w:val="19"/>
              </w:rPr>
              <w:t>Collateral &amp; minimum bill</w:t>
            </w:r>
          </w:p>
        </w:tc>
        <w:tc>
          <w:tcPr>
            <w:tcW w:type="dxa" w:w="3384"/>
            <w:shd w:val="clear" w:color="auto" w:fill="EAF0F7"/>
          </w:tcPr>
          <w:p>
            <w:pPr>
              <w:spacing w:before="20" w:after="20"/>
            </w:pPr>
            <w:r/>
            <w:r>
              <w:rPr>
                <w:rFonts w:ascii="Calibri" w:hAnsi="Calibri"/>
                <w:b w:val="0"/>
                <w:sz w:val="19"/>
              </w:rPr>
              <w:t>Set per Electric Supply Agreement — not publicly fixed</w:t>
            </w:r>
          </w:p>
        </w:tc>
        <w:tc>
          <w:tcPr>
            <w:tcW w:type="dxa" w:w="4320"/>
            <w:shd w:val="clear" w:color="auto" w:fill="EAF0F7"/>
          </w:tcPr>
          <w:p>
            <w:pPr>
              <w:spacing w:before="20" w:after="20"/>
            </w:pPr>
            <w:r/>
            <w:r>
              <w:rPr>
                <w:rFonts w:ascii="Calibri" w:hAnsi="Calibri"/>
                <w:b w:val="0"/>
                <w:sz w:val="19"/>
              </w:rPr>
              <w:t>New / higher terms proposed in 2025 rate case (see §6)</w:t>
            </w:r>
          </w:p>
        </w:tc>
        <w:tc>
          <w:tcPr>
            <w:tcW w:type="dxa" w:w="1728"/>
            <w:shd w:val="clear" w:color="auto" w:fill="EAF0F7"/>
          </w:tcPr>
          <w:p>
            <w:pPr>
              <w:spacing w:before="20" w:after="20"/>
            </w:pPr>
            <w:r/>
            <w:r>
              <w:rPr>
                <w:rFonts w:ascii="Calibri" w:hAnsi="Calibri"/>
                <w:b w:val="0"/>
                <w:sz w:val="19"/>
              </w:rPr>
              <w:t>UNKNOWN (per ESA)</w:t>
            </w:r>
          </w:p>
        </w:tc>
      </w:tr>
      <w:tr>
        <w:tc>
          <w:tcPr>
            <w:tcW w:type="dxa" w:w="3096"/>
          </w:tcPr>
          <w:p>
            <w:pPr>
              <w:spacing w:before="20" w:after="20"/>
            </w:pPr>
            <w:r/>
            <w:r>
              <w:rPr>
                <w:rFonts w:ascii="Calibri" w:hAnsi="Calibri"/>
                <w:b w:val="0"/>
                <w:sz w:val="19"/>
              </w:rPr>
              <w:t>Long-lead equipment</w:t>
            </w:r>
          </w:p>
        </w:tc>
        <w:tc>
          <w:tcPr>
            <w:tcW w:type="dxa" w:w="3384"/>
          </w:tcPr>
          <w:p>
            <w:pPr>
              <w:spacing w:before="20" w:after="20"/>
            </w:pPr>
            <w:r/>
            <w:r>
              <w:rPr>
                <w:rFonts w:ascii="Calibri" w:hAnsi="Calibri"/>
                <w:b w:val="0"/>
                <w:sz w:val="19"/>
              </w:rPr>
              <w:t>Transmission transformers, breakers — 2–4 yr lead</w:t>
            </w:r>
          </w:p>
        </w:tc>
        <w:tc>
          <w:tcPr>
            <w:tcW w:type="dxa" w:w="4320"/>
          </w:tcPr>
          <w:p>
            <w:pPr>
              <w:spacing w:before="20" w:after="20"/>
            </w:pPr>
            <w:r/>
            <w:r>
              <w:rPr>
                <w:rFonts w:ascii="Calibri" w:hAnsi="Calibri"/>
                <w:b w:val="0"/>
                <w:sz w:val="19"/>
              </w:rPr>
              <w:t>Drives schedule, not a fee</w:t>
            </w:r>
          </w:p>
        </w:tc>
        <w:tc>
          <w:tcPr>
            <w:tcW w:type="dxa" w:w="1728"/>
          </w:tcPr>
          <w:p>
            <w:pPr>
              <w:spacing w:before="20" w:after="20"/>
            </w:pPr>
            <w:r/>
            <w:r>
              <w:rPr>
                <w:rFonts w:ascii="Calibri" w:hAnsi="Calibri"/>
                <w:b w:val="0"/>
                <w:sz w:val="19"/>
              </w:rPr>
              <w:t>MARKET NORM</w:t>
            </w:r>
          </w:p>
        </w:tc>
      </w:tr>
    </w:tbl>
    <w:p>
      <w:pPr>
        <w:spacing w:after="160"/>
      </w:pPr>
      <w:r>
        <w:rPr>
          <w:b w:val="0"/>
          <w:i/>
          <w:color w:val="555555"/>
          <w:sz w:val="18"/>
        </w:rPr>
        <w:t>Industry comparable for a load study/evaluation fee (NON-APS, order-of-magnitude only): Tri-State proposes ~$80K @ 45 MW / $150K @ 100 MW / $250K @ 200 MW.</w:t>
      </w:r>
    </w:p>
    <w:p>
      <w:pPr>
        <w:pStyle w:val="Heading3"/>
      </w:pPr>
      <w:r>
        <w:t>B.  Generation Interconnection Deposits (Schedule 6 / LGIP — REFERENCE ONLY, not load)</w:t>
      </w:r>
    </w:p>
    <w:p>
      <w:pPr>
        <w:spacing w:after="80"/>
      </w:pPr>
      <w:r>
        <w:rPr>
          <w:b w:val="0"/>
          <w:i/>
          <w:color w:val="555555"/>
          <w:sz w:val="18"/>
        </w:rPr>
        <w:t>Listed only so these are not mistaken for load costs. These apply to generators (solar, storage, gas), not to a data-center load.</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F3864"/>
          </w:tcPr>
          <w:p>
            <w:pPr>
              <w:spacing w:before="20" w:after="20"/>
            </w:pPr>
            <w:r/>
            <w:r>
              <w:rPr>
                <w:rFonts w:ascii="Calibri" w:hAnsi="Calibri"/>
                <w:b/>
                <w:color w:val="FFFFFF"/>
                <w:sz w:val="19"/>
              </w:rPr>
              <w:t>Stage / item</w:t>
            </w:r>
          </w:p>
        </w:tc>
        <w:tc>
          <w:tcPr>
            <w:tcW w:type="dxa" w:w="6408"/>
            <w:shd w:val="clear" w:color="auto" w:fill="1F3864"/>
          </w:tcPr>
          <w:p>
            <w:pPr>
              <w:spacing w:before="20" w:after="20"/>
            </w:pPr>
            <w:r/>
            <w:r>
              <w:rPr>
                <w:rFonts w:ascii="Calibri" w:hAnsi="Calibri"/>
                <w:b/>
                <w:color w:val="FFFFFF"/>
                <w:sz w:val="19"/>
              </w:rPr>
              <w:t>Deposit</w:t>
            </w:r>
          </w:p>
        </w:tc>
        <w:tc>
          <w:tcPr>
            <w:tcW w:type="dxa" w:w="2376"/>
            <w:shd w:val="clear" w:color="auto" w:fill="1F3864"/>
          </w:tcPr>
          <w:p>
            <w:pPr>
              <w:spacing w:before="20" w:after="20"/>
            </w:pPr>
            <w:r/>
            <w:r>
              <w:rPr>
                <w:rFonts w:ascii="Calibri" w:hAnsi="Calibri"/>
                <w:b/>
                <w:color w:val="FFFFFF"/>
                <w:sz w:val="19"/>
              </w:rPr>
              <w:t>Confidence</w:t>
            </w:r>
          </w:p>
        </w:tc>
      </w:tr>
      <w:tr>
        <w:tc>
          <w:tcPr>
            <w:tcW w:type="dxa" w:w="3744"/>
          </w:tcPr>
          <w:p>
            <w:pPr>
              <w:spacing w:before="20" w:after="20"/>
            </w:pPr>
            <w:r/>
            <w:r>
              <w:rPr>
                <w:rFonts w:ascii="Calibri" w:hAnsi="Calibri"/>
                <w:b w:val="0"/>
                <w:sz w:val="19"/>
              </w:rPr>
              <w:t>Feasibility Study (≥ 69 kV)</w:t>
            </w:r>
          </w:p>
        </w:tc>
        <w:tc>
          <w:tcPr>
            <w:tcW w:type="dxa" w:w="6408"/>
          </w:tcPr>
          <w:p>
            <w:pPr>
              <w:spacing w:before="20" w:after="20"/>
            </w:pPr>
            <w:r/>
            <w:r>
              <w:rPr>
                <w:rFonts w:ascii="Calibri" w:hAnsi="Calibri"/>
                <w:b w:val="0"/>
                <w:sz w:val="19"/>
              </w:rPr>
              <w:t>$20,000</w:t>
            </w:r>
          </w:p>
        </w:tc>
        <w:tc>
          <w:tcPr>
            <w:tcW w:type="dxa" w:w="2376"/>
          </w:tcPr>
          <w:p>
            <w:pPr>
              <w:spacing w:before="20" w:after="20"/>
            </w:pPr>
            <w:r/>
            <w:r>
              <w:rPr>
                <w:rFonts w:ascii="Calibri" w:hAnsi="Calibri"/>
                <w:b w:val="0"/>
                <w:sz w:val="19"/>
              </w:rPr>
              <w:t>GROUNDED</w:t>
            </w:r>
          </w:p>
        </w:tc>
      </w:tr>
      <w:tr>
        <w:tc>
          <w:tcPr>
            <w:tcW w:type="dxa" w:w="3744"/>
            <w:shd w:val="clear" w:color="auto" w:fill="EAF0F7"/>
          </w:tcPr>
          <w:p>
            <w:pPr>
              <w:spacing w:before="20" w:after="20"/>
            </w:pPr>
            <w:r/>
            <w:r>
              <w:rPr>
                <w:rFonts w:ascii="Calibri" w:hAnsi="Calibri"/>
                <w:b w:val="0"/>
                <w:sz w:val="19"/>
              </w:rPr>
              <w:t>System Impact Study (≥ 69 kV)</w:t>
            </w:r>
          </w:p>
        </w:tc>
        <w:tc>
          <w:tcPr>
            <w:tcW w:type="dxa" w:w="6408"/>
            <w:shd w:val="clear" w:color="auto" w:fill="EAF0F7"/>
          </w:tcPr>
          <w:p>
            <w:pPr>
              <w:spacing w:before="20" w:after="20"/>
            </w:pPr>
            <w:r/>
            <w:r>
              <w:rPr>
                <w:rFonts w:ascii="Calibri" w:hAnsi="Calibri"/>
                <w:b w:val="0"/>
                <w:sz w:val="19"/>
              </w:rPr>
              <w:t>$40,000</w:t>
            </w:r>
          </w:p>
        </w:tc>
        <w:tc>
          <w:tcPr>
            <w:tcW w:type="dxa" w:w="2376"/>
            <w:shd w:val="clear" w:color="auto" w:fill="EAF0F7"/>
          </w:tcPr>
          <w:p>
            <w:pPr>
              <w:spacing w:before="20" w:after="20"/>
            </w:pPr>
            <w:r/>
            <w:r>
              <w:rPr>
                <w:rFonts w:ascii="Calibri" w:hAnsi="Calibri"/>
                <w:b w:val="0"/>
                <w:sz w:val="19"/>
              </w:rPr>
              <w:t>GROUNDED</w:t>
            </w:r>
          </w:p>
        </w:tc>
      </w:tr>
      <w:tr>
        <w:tc>
          <w:tcPr>
            <w:tcW w:type="dxa" w:w="3744"/>
          </w:tcPr>
          <w:p>
            <w:pPr>
              <w:spacing w:before="20" w:after="20"/>
            </w:pPr>
            <w:r/>
            <w:r>
              <w:rPr>
                <w:rFonts w:ascii="Calibri" w:hAnsi="Calibri"/>
                <w:b w:val="0"/>
                <w:sz w:val="19"/>
              </w:rPr>
              <w:t>Facilities Study</w:t>
            </w:r>
          </w:p>
        </w:tc>
        <w:tc>
          <w:tcPr>
            <w:tcW w:type="dxa" w:w="6408"/>
          </w:tcPr>
          <w:p>
            <w:pPr>
              <w:spacing w:before="20" w:after="20"/>
            </w:pPr>
            <w:r/>
            <w:r>
              <w:rPr>
                <w:rFonts w:ascii="Calibri" w:hAnsi="Calibri"/>
                <w:b w:val="0"/>
                <w:sz w:val="19"/>
              </w:rPr>
              <w:t>Per Schedule 6 (actual cost; prior study deposits credited)</w:t>
            </w:r>
          </w:p>
        </w:tc>
        <w:tc>
          <w:tcPr>
            <w:tcW w:type="dxa" w:w="2376"/>
          </w:tcPr>
          <w:p>
            <w:pPr>
              <w:spacing w:before="20" w:after="20"/>
            </w:pPr>
            <w:r/>
            <w:r>
              <w:rPr>
                <w:rFonts w:ascii="Calibri" w:hAnsi="Calibri"/>
                <w:b w:val="0"/>
                <w:sz w:val="19"/>
              </w:rPr>
              <w:t>GROUNDED</w:t>
            </w:r>
          </w:p>
        </w:tc>
      </w:tr>
      <w:tr>
        <w:tc>
          <w:tcPr>
            <w:tcW w:type="dxa" w:w="3744"/>
            <w:shd w:val="clear" w:color="auto" w:fill="EAF0F7"/>
          </w:tcPr>
          <w:p>
            <w:pPr>
              <w:spacing w:before="20" w:after="20"/>
            </w:pPr>
            <w:r/>
            <w:r>
              <w:rPr>
                <w:rFonts w:ascii="Calibri" w:hAnsi="Calibri"/>
                <w:b w:val="0"/>
                <w:sz w:val="19"/>
              </w:rPr>
              <w:t>Queue-reform application package</w:t>
            </w:r>
          </w:p>
        </w:tc>
        <w:tc>
          <w:tcPr>
            <w:tcW w:type="dxa" w:w="6408"/>
            <w:shd w:val="clear" w:color="auto" w:fill="EAF0F7"/>
          </w:tcPr>
          <w:p>
            <w:pPr>
              <w:spacing w:before="20" w:after="20"/>
            </w:pPr>
            <w:r/>
            <w:r>
              <w:rPr>
                <w:rFonts w:ascii="Calibri" w:hAnsi="Calibri"/>
                <w:b w:val="0"/>
                <w:sz w:val="19"/>
              </w:rPr>
              <w:t>$5,000 non-refundable app fee + ~$100,000 study deposit + $200,000 commercial-readiness deposit</w:t>
            </w:r>
          </w:p>
        </w:tc>
        <w:tc>
          <w:tcPr>
            <w:tcW w:type="dxa" w:w="2376"/>
            <w:shd w:val="clear" w:color="auto" w:fill="EAF0F7"/>
          </w:tcPr>
          <w:p>
            <w:pPr>
              <w:spacing w:before="20" w:after="20"/>
            </w:pPr>
            <w:r/>
            <w:r>
              <w:rPr>
                <w:rFonts w:ascii="Calibri" w:hAnsi="Calibri"/>
                <w:b w:val="0"/>
                <w:sz w:val="19"/>
              </w:rPr>
              <w:t>GROUNDED</w:t>
            </w:r>
          </w:p>
        </w:tc>
      </w:tr>
      <w:tr>
        <w:tc>
          <w:tcPr>
            <w:tcW w:type="dxa" w:w="3744"/>
          </w:tcPr>
          <w:p>
            <w:pPr>
              <w:spacing w:before="20" w:after="20"/>
            </w:pPr>
            <w:r/>
            <w:r>
              <w:rPr>
                <w:rFonts w:ascii="Calibri" w:hAnsi="Calibri"/>
                <w:b w:val="0"/>
                <w:sz w:val="19"/>
              </w:rPr>
              <w:t>Large Generator Interconnection Agreement (LGIA)</w:t>
            </w:r>
          </w:p>
        </w:tc>
        <w:tc>
          <w:tcPr>
            <w:tcW w:type="dxa" w:w="6408"/>
          </w:tcPr>
          <w:p>
            <w:pPr>
              <w:spacing w:before="20" w:after="20"/>
            </w:pPr>
            <w:r/>
            <w:r>
              <w:rPr>
                <w:rFonts w:ascii="Calibri" w:hAnsi="Calibri"/>
                <w:b w:val="0"/>
                <w:sz w:val="19"/>
              </w:rPr>
              <w:t>$160,000 (≤ 75 MW) / $250,000 (≥ 76 MW)</w:t>
            </w:r>
          </w:p>
        </w:tc>
        <w:tc>
          <w:tcPr>
            <w:tcW w:type="dxa" w:w="2376"/>
          </w:tcPr>
          <w:p>
            <w:pPr>
              <w:spacing w:before="20" w:after="20"/>
            </w:pPr>
            <w:r/>
            <w:r>
              <w:rPr>
                <w:rFonts w:ascii="Calibri" w:hAnsi="Calibri"/>
                <w:b w:val="0"/>
                <w:sz w:val="19"/>
              </w:rPr>
              <w:t>GROUNDED</w:t>
            </w:r>
          </w:p>
        </w:tc>
      </w:tr>
    </w:tbl>
    <w:p>
      <w:pPr>
        <w:spacing w:after="40"/>
      </w:pPr>
      <w:r>
        <w:rPr>
          <w:b w:val="0"/>
          <w:i w:val="0"/>
          <w:sz w:val="21"/>
        </w:rPr>
      </w:r>
    </w:p>
    <w:p>
      <w:pPr>
        <w:spacing w:after="160"/>
      </w:pPr>
      <w:r>
        <w:rPr>
          <w:b/>
          <w:i w:val="0"/>
          <w:sz w:val="20"/>
        </w:rPr>
        <w:t>Bottom line: for a data-center load, budget the study as APS’s actual cost to prepare it (credited toward construction if you build) — the material money is CIAC + collateral at the firm gate, which can run tens of millions for a large campus, not the study fee.</w:t>
      </w:r>
    </w:p>
    <w:p>
      <w:pPr>
        <w:pStyle w:val="Heading1"/>
      </w:pPr>
      <w:r>
        <w:t>6.  Regulatory Risk (Active Dockets)</w:t>
      </w:r>
    </w:p>
    <w:p>
      <w:pPr>
        <w:pStyle w:val="ListBullet"/>
        <w:spacing w:after="40"/>
      </w:pPr>
      <w:r>
        <w:rPr>
          <w:b/>
          <w:sz w:val="21"/>
        </w:rPr>
        <w:t xml:space="preserve">ACC docket E-01345A-25-0105 (2025 rate case): </w:t>
      </w:r>
      <w:r>
        <w:rPr>
          <w:sz w:val="21"/>
        </w:rPr>
        <w:t>APS proposes &gt;45% rate increase for extra-large users, new minimum-bill and collateral requirements, “bring your own power” cost assignment, accelerated service via long-term contracts with up-front infrastructure contributions, and formula rates. PROPOSED, not yet effective.</w:t>
      </w:r>
    </w:p>
    <w:p>
      <w:pPr>
        <w:pStyle w:val="ListBullet"/>
        <w:spacing w:after="40"/>
      </w:pPr>
      <w:r>
        <w:rPr>
          <w:b/>
          <w:sz w:val="21"/>
        </w:rPr>
        <w:t xml:space="preserve">ACC docket E-00000A-25-0069 (data-center inquiry): </w:t>
      </w:r>
      <w:r>
        <w:rPr>
          <w:sz w:val="21"/>
        </w:rPr>
        <w:t>Commission-wide review of data-center / large-load rate classifications and ratepayer protection. APS and SRP have proposed their own queue processes and standard agreements requiring up-front financial support. Terms not yet quantified.</w:t>
      </w:r>
    </w:p>
    <w:p>
      <w:pPr>
        <w:spacing w:after="160"/>
      </w:pPr>
      <w:r>
        <w:rPr>
          <w:b w:val="0"/>
          <w:i/>
          <w:color w:val="555555"/>
          <w:sz w:val="21"/>
        </w:rPr>
        <w:t>Net: cost-allocation, collateral, and minimum-bill terms for Arizona large load are actively in flux through 2026. Verify against the live docket before committing.</w:t>
      </w:r>
    </w:p>
    <w:p>
      <w:pPr>
        <w:pStyle w:val="Heading1"/>
      </w:pPr>
      <w:r>
        <w:t>7.  Deal Notes</w:t>
      </w:r>
    </w:p>
    <w:p>
      <w:pPr>
        <w:pStyle w:val="ListBullet"/>
        <w:spacing w:after="40"/>
      </w:pPr>
      <w:r>
        <w:rPr>
          <w:sz w:val="21"/>
        </w:rPr>
        <w:t>Generation adequacy is the dominant gating risk, not wires availability — confirm APS can supply energy at the site/size/timing before valuing the wires path.</w:t>
      </w:r>
    </w:p>
    <w:p>
      <w:pPr>
        <w:pStyle w:val="ListBullet"/>
        <w:spacing w:after="40"/>
      </w:pPr>
      <w:r>
        <w:rPr>
          <w:sz w:val="21"/>
        </w:rPr>
        <w:t>Expect to be pushed toward BYOP / demand-flexibility and a 50% carbon-free commitment to access the Econ-Dev &amp; Sustainability features.</w:t>
      </w:r>
    </w:p>
    <w:p>
      <w:pPr>
        <w:pStyle w:val="ListBullet"/>
        <w:spacing w:after="40"/>
      </w:pPr>
      <w:r>
        <w:rPr>
          <w:sz w:val="21"/>
        </w:rPr>
        <w:t>The 92% load-factor floor is data-center-friendly (steady load); the tariff exempts billing cycles where a miss is solely due to in-cycle load growth — watch ramp mechanics.</w:t>
      </w:r>
    </w:p>
    <w:p>
      <w:pPr>
        <w:pStyle w:val="ListBullet"/>
        <w:spacing w:after="40"/>
      </w:pPr>
      <w:r>
        <w:rPr>
          <w:sz w:val="21"/>
        </w:rPr>
        <w:t>Real capital exposure is CIAC + collateral at the firm gate, which can run tens of millions for a large campus.</w:t>
      </w:r>
    </w:p>
    <w:p>
      <w:pPr>
        <w:pStyle w:val="Heading1"/>
      </w:pPr>
      <w:r>
        <w:t>8.  To Upgrade This Analysis</w:t>
      </w:r>
    </w:p>
    <w:p>
      <w:pPr>
        <w:spacing w:after="80"/>
      </w:pPr>
      <w:r>
        <w:rPr>
          <w:b w:val="0"/>
          <w:i w:val="0"/>
          <w:sz w:val="21"/>
        </w:rPr>
        <w:t>Obtain these to move from ESTIMATED to GROUNDED:</w:t>
      </w:r>
    </w:p>
    <w:p>
      <w:pPr>
        <w:pStyle w:val="ListBullet"/>
        <w:spacing w:after="40"/>
      </w:pPr>
      <w:r>
        <w:rPr>
          <w:sz w:val="21"/>
        </w:rPr>
        <w:t>APS large-load process guide / a real facilities-study scoping — flips the stage map, study cost, and firm-gate timing. (Highest value.)</w:t>
      </w:r>
    </w:p>
    <w:p>
      <w:pPr>
        <w:pStyle w:val="ListBullet"/>
        <w:spacing w:after="40"/>
      </w:pPr>
      <w:r>
        <w:rPr>
          <w:sz w:val="21"/>
        </w:rPr>
        <w:t>ACC eDocket E-01345A-25-0105 filings — quantifies proposed collateral, minimum bill, BYOP terms.</w:t>
      </w:r>
    </w:p>
    <w:p>
      <w:pPr>
        <w:pStyle w:val="ListBullet"/>
        <w:spacing w:after="40"/>
      </w:pPr>
      <w:r>
        <w:rPr>
          <w:sz w:val="21"/>
        </w:rPr>
        <w:t>ACC eDocket E-00000A-25-0069 filings — quantifies data-center-specific rules.</w:t>
      </w:r>
    </w:p>
    <w:p>
      <w:pPr>
        <w:pStyle w:val="ListBullet"/>
        <w:spacing w:after="40"/>
      </w:pPr>
      <w:r>
        <w:rPr>
          <w:sz w:val="21"/>
        </w:rPr>
        <w:t>SRP large-load process guide + rate schedule, and TEP large-load tariff — for full Arizona coverage.</w:t>
      </w:r>
    </w:p>
    <w:p>
      <w:pPr>
        <w:pStyle w:val="Heading2"/>
      </w:pPr>
      <w:r>
        <w:t>Sources</w:t>
      </w:r>
    </w:p>
    <w:p>
      <w:pPr>
        <w:pStyle w:val="ListBullet"/>
        <w:spacing w:after="40"/>
      </w:pPr>
      <w:r>
        <w:rPr>
          <w:sz w:val="18"/>
        </w:rPr>
        <w:t>APS Rate Schedule XHLF, A.C.C. No. 6067, Rev 3 (Decision No. 79293), effective March 8, 2024.</w:t>
      </w:r>
    </w:p>
    <w:p>
      <w:pPr>
        <w:pStyle w:val="ListBullet"/>
        <w:spacing w:after="40"/>
      </w:pPr>
      <w:r>
        <w:rPr>
          <w:sz w:val="18"/>
        </w:rPr>
        <w:t>APS Service Schedule 3 (Extensions of Electric Distribution Lines and Services), A.C.C. No. 6217, Rev 16, effective March 8, 2024 — §27.1 study/design, Economic Feasibility, allowances.</w:t>
      </w:r>
    </w:p>
    <w:p>
      <w:pPr>
        <w:pStyle w:val="ListBullet"/>
        <w:spacing w:after="40"/>
      </w:pPr>
      <w:r>
        <w:rPr>
          <w:sz w:val="18"/>
        </w:rPr>
        <w:t>APS Service Schedule 6 (Interconnection Study, Non-FERC Generation) and APS LGIP/queue-reform filings — source of the generation deposit figures.</w:t>
      </w:r>
    </w:p>
    <w:p>
      <w:pPr>
        <w:pStyle w:val="ListBullet"/>
        <w:spacing w:after="40"/>
      </w:pPr>
      <w:r>
        <w:rPr>
          <w:sz w:val="18"/>
        </w:rPr>
        <w:t>APS — “Data Centers: How We’re Protecting Customers While Planning for Big Energy Needs.”</w:t>
      </w:r>
    </w:p>
    <w:p>
      <w:pPr>
        <w:pStyle w:val="ListBullet"/>
        <w:spacing w:after="40"/>
      </w:pPr>
      <w:r>
        <w:rPr>
          <w:sz w:val="18"/>
        </w:rPr>
        <w:t>Arizona Corporation Commission — Data Center/Large Load Workshop Highlights (April 2026).</w:t>
      </w:r>
    </w:p>
    <w:p>
      <w:pPr>
        <w:pStyle w:val="ListBullet"/>
        <w:spacing w:after="40"/>
      </w:pPr>
      <w:r>
        <w:rPr>
          <w:sz w:val="18"/>
        </w:rPr>
        <w:t>APS 2025 Rate Case (ACC docket E-01345A-25-0105).</w:t>
      </w:r>
    </w:p>
    <w:p>
      <w:pPr>
        <w:pStyle w:val="ListBullet"/>
        <w:spacing w:after="40"/>
      </w:pPr>
      <w:r>
        <w:rPr>
          <w:sz w:val="18"/>
        </w:rPr>
        <w:t>ACC data-center inquiry (docket E-00000A-25-0069).</w:t>
      </w:r>
    </w:p>
    <w:p>
      <w:pPr>
        <w:pStyle w:val="ListBullet"/>
        <w:spacing w:after="40"/>
      </w:pPr>
      <w:r>
        <w:rPr>
          <w:sz w:val="18"/>
        </w:rPr>
        <w:t>EUCI — Utilities adopt large load tariffs (Tri-State evaluation-fee comparable).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