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0E6E7C"/>
          <w:spacing w:val="80"/>
          <w:sz w:val="22"/>
          <w:szCs w:val="22"/>
        </w:rPr>
        <w:t xml:space="preserve">ASK HAVA</w:t>
      </w:r>
    </w:p>
    <w:p>
      <w:pPr>
        <w:spacing w:after="200" w:before="0"/>
      </w:pPr>
      <w:r>
        <w:rPr>
          <w:rFonts w:ascii="Georgia" w:cs="Georgia" w:eastAsia="Georgia" w:hAnsi="Georgia"/>
          <w:i/>
          <w:iCs/>
          <w:sz w:val="56"/>
          <w:szCs w:val="56"/>
        </w:rPr>
        <w:t xml:space="preserve">A Detailed Plan for Optimization &amp; Monetization</w:t>
      </w:r>
    </w:p>
    <w:p>
      <w:pPr>
        <w:spacing w:after="320" w:before="0"/>
      </w:pPr>
      <w:r>
        <w:rPr>
          <w:rFonts w:ascii="Arial" w:cs="Arial" w:eastAsia="Arial" w:hAnsi="Arial"/>
          <w:color w:val="666666"/>
          <w:sz w:val="20"/>
          <w:szCs w:val="20"/>
        </w:rPr>
        <w:t xml:space="preserve">Prepared for Casey · Lake Havasu City · May 2026</w:t>
      </w:r>
    </w:p>
    <w:p>
      <w:pPr>
        <w:pBdr>
          <w:bottom w:val="single" w:color="CCCCCC" w:sz="6" w:space="1"/>
        </w:pBdr>
        <w:spacing w:after="200" w:before="200"/>
      </w:pPr>
      <w:r>
        <w:t xml:space="preserve"/>
      </w:r>
    </w:p>
    <w:p>
      <w:pPr>
        <w:pStyle w:val="Heading1"/>
        <w:spacing w:after="160" w:before="360"/>
      </w:pPr>
      <w:r>
        <w:rPr>
          <w:rFonts w:ascii="Arial" w:cs="Arial" w:eastAsia="Arial" w:hAnsi="Arial"/>
          <w:b/>
          <w:bCs/>
          <w:sz w:val="36"/>
          <w:szCs w:val="36"/>
        </w:rPr>
        <w:t xml:space="preserve">Executive Summary</w:t>
      </w:r>
    </w:p>
    <w:p>
      <w:pPr>
        <w:spacing w:after="160" w:before="80" w:line="320"/>
      </w:pPr>
      <w:r>
        <w:rPr>
          <w:rFonts w:ascii="Georgia" w:cs="Georgia" w:eastAsia="Georgia" w:hAnsi="Georgia"/>
          <w:i/>
          <w:iCs/>
          <w:color w:val="333333"/>
          <w:sz w:val="24"/>
          <w:szCs w:val="24"/>
        </w:rPr>
        <w:t xml:space="preserve">Hava is closer to a working concierge than the homepage suggests, and further from a defensible monetization surface than the cap table-style framing implies. The work that bridges those two facts is sequencing — and the sequencing is decided now, before any more inventory or surface area gets added.</w:t>
      </w:r>
    </w:p>
    <w:p>
      <w:pPr>
        <w:spacing w:after="100" w:before="100" w:line="300"/>
      </w:pPr>
      <w:r>
        <w:rPr>
          <w:rFonts w:ascii="Arial" w:cs="Arial" w:eastAsia="Arial" w:hAnsi="Arial"/>
          <w:sz w:val="22"/>
          <w:szCs w:val="22"/>
        </w:rPr>
        <w:t xml:space="preserve">This plan refines the prior strategy doc against the actual state of the codebase. Three things in the repo materially change the order of operations: the providers table is empty after the 2026 non–River-Scene cleanup, so Tier 1 templated lookups have nothing to hit (Backlog #9); the intent classifier already exists and emits mode plus sub-intent, so audience instrumentation is a logging slice rather than a new system; and the deterministic Tier 2 event renderer (`tier2_catalog_render.py`) establishes the architectural pattern for any high-stakes chat surface, including paid placement.</w:t>
      </w:r>
    </w:p>
    <w:p>
      <w:pPr>
        <w:spacing w:after="100" w:before="100" w:line="300"/>
      </w:pPr>
      <w:r>
        <w:rPr>
          <w:rFonts w:ascii="Arial" w:cs="Arial" w:eastAsia="Arial" w:hAnsi="Arial"/>
          <w:sz w:val="22"/>
          <w:szCs w:val="22"/>
        </w:rPr>
        <w:t xml:space="preserve">The argument of this plan, in one sentence: </w:t>
      </w:r>
      <w:r>
        <w:rPr>
          <w:rFonts w:ascii="Arial" w:cs="Arial" w:eastAsia="Arial" w:hAnsi="Arial"/>
          <w:b/>
          <w:bCs/>
          <w:sz w:val="22"/>
          <w:szCs w:val="22"/>
        </w:rPr>
        <w:t xml:space="preserve">fix the content layer first, render high-stakes surfaces deterministically, instrument before you bifurcate, and price against market depth — not against ambition.</w:t>
      </w:r>
    </w:p>
    <w:p>
      <w:pPr>
        <w:spacing w:after="40" w:before="240"/>
      </w:pPr>
      <w:r>
        <w:rPr>
          <w:rFonts w:ascii="Arial" w:cs="Arial" w:eastAsia="Arial" w:hAnsi="Arial"/>
          <w:b/>
          <w:bCs/>
          <w:color w:val="888888"/>
          <w:spacing w:val="60"/>
          <w:sz w:val="18"/>
          <w:szCs w:val="18"/>
        </w:rPr>
        <w:t xml:space="preserve">SEQUENCING IN FIVE MOVES</w:t>
      </w:r>
    </w:p>
    <w:p>
      <w:pPr>
        <w:pStyle w:val="ListParagraph"/>
        <w:numPr>
          <w:ilvl w:val="0"/>
          <w:numId w:val="2"/>
        </w:numPr>
        <w:spacing w:after="40" w:before="40" w:line="280"/>
      </w:pPr>
      <w:r>
        <w:rPr>
          <w:rFonts w:ascii="Arial" w:cs="Arial" w:eastAsia="Arial" w:hAnsi="Arial"/>
          <w:b/>
          <w:bCs/>
          <w:sz w:val="22"/>
          <w:szCs w:val="22"/>
        </w:rPr>
        <w:t xml:space="preserve">Trust + content correctness.</w:t>
      </w:r>
      <w:r>
        <w:rPr>
          <w:rFonts w:ascii="Arial" w:cs="Arial" w:eastAsia="Arial" w:hAnsi="Arial"/>
          <w:sz w:val="22"/>
          <w:szCs w:val="22"/>
        </w:rPr>
        <w:t xml:space="preserve"> Close the HALT 3 / Tier 2 formatter work in flight; populate the providers table via a 50-business enrichment sprint; fix the homepage data-correctness bugs (raw enum slugs, wrong-time `Tonight` query, placeholder phone numbers) so users stop reading the product as unfinished.</w:t>
      </w:r>
    </w:p>
    <w:p>
      <w:pPr>
        <w:pStyle w:val="ListParagraph"/>
        <w:numPr>
          <w:ilvl w:val="0"/>
          <w:numId w:val="2"/>
        </w:numPr>
        <w:spacing w:after="40" w:before="40" w:line="280"/>
      </w:pPr>
      <w:r>
        <w:rPr>
          <w:rFonts w:ascii="Arial" w:cs="Arial" w:eastAsia="Arial" w:hAnsi="Arial"/>
          <w:b/>
          <w:bCs/>
          <w:sz w:val="22"/>
          <w:szCs w:val="22"/>
        </w:rPr>
        <w:t xml:space="preserve">Deterministic rendering on every high-stakes surface.</w:t>
      </w:r>
      <w:r>
        <w:rPr>
          <w:rFonts w:ascii="Arial" w:cs="Arial" w:eastAsia="Arial" w:hAnsi="Arial"/>
          <w:sz w:val="22"/>
          <w:szCs w:val="22"/>
        </w:rPr>
        <w:t xml:space="preserve"> The `tier2_catalog_render.py` pattern that solved formatter count drift becomes the pattern for sponsored disclosure, hours / open-now claims, and emergency-category recommendations. Render deterministically; grade for safety; don't trust the LLM with the rule.</w:t>
      </w:r>
    </w:p>
    <w:p>
      <w:pPr>
        <w:pStyle w:val="ListParagraph"/>
        <w:numPr>
          <w:ilvl w:val="0"/>
          <w:numId w:val="2"/>
        </w:numPr>
        <w:spacing w:after="40" w:before="40" w:line="280"/>
      </w:pPr>
      <w:r>
        <w:rPr>
          <w:rFonts w:ascii="Arial" w:cs="Arial" w:eastAsia="Arial" w:hAnsi="Arial"/>
          <w:b/>
          <w:bCs/>
          <w:sz w:val="22"/>
          <w:szCs w:val="22"/>
        </w:rPr>
        <w:t xml:space="preserve">Instrument the visitor-vs-local split before bifurcating UI.</w:t>
      </w:r>
      <w:r>
        <w:rPr>
          <w:rFonts w:ascii="Arial" w:cs="Arial" w:eastAsia="Arial" w:hAnsi="Arial"/>
          <w:sz w:val="22"/>
          <w:szCs w:val="22"/>
        </w:rPr>
        <w:t xml:space="preserve"> Audience signal is one logging slice on top of the existing intent classifier — not a new product mode. Eight to twelve weeks of mix data decides whether visitor mode is real.</w:t>
      </w:r>
    </w:p>
    <w:p>
      <w:pPr>
        <w:pStyle w:val="ListParagraph"/>
        <w:numPr>
          <w:ilvl w:val="0"/>
          <w:numId w:val="2"/>
        </w:numPr>
        <w:spacing w:after="40" w:before="40" w:line="280"/>
      </w:pPr>
      <w:r>
        <w:rPr>
          <w:rFonts w:ascii="Arial" w:cs="Arial" w:eastAsia="Arial" w:hAnsi="Arial"/>
          <w:b/>
          <w:bCs/>
          <w:sz w:val="22"/>
          <w:szCs w:val="22"/>
        </w:rPr>
        <w:t xml:space="preserve">Distribution as measured tests, one channel at a time.</w:t>
      </w:r>
      <w:r>
        <w:rPr>
          <w:rFonts w:ascii="Arial" w:cs="Arial" w:eastAsia="Arial" w:hAnsi="Arial"/>
          <w:sz w:val="22"/>
          <w:szCs w:val="22"/>
        </w:rPr>
        <w:t xml:space="preserve"> Airbnb host program first, with the conversion metric defined in SQL against `chat_logs` before any cards print.</w:t>
      </w:r>
    </w:p>
    <w:p>
      <w:pPr>
        <w:pStyle w:val="ListParagraph"/>
        <w:numPr>
          <w:ilvl w:val="0"/>
          <w:numId w:val="2"/>
        </w:numPr>
        <w:spacing w:after="40" w:before="40" w:line="280"/>
      </w:pPr>
      <w:r>
        <w:rPr>
          <w:rFonts w:ascii="Arial" w:cs="Arial" w:eastAsia="Arial" w:hAnsi="Arial"/>
          <w:b/>
          <w:bCs/>
          <w:sz w:val="22"/>
          <w:szCs w:val="22"/>
        </w:rPr>
        <w:t xml:space="preserve">Monetization in tier order, gated on the surface beneath each tier.</w:t>
      </w:r>
      <w:r>
        <w:rPr>
          <w:rFonts w:ascii="Arial" w:cs="Arial" w:eastAsia="Arial" w:hAnsi="Arial"/>
          <w:sz w:val="22"/>
          <w:szCs w:val="22"/>
        </w:rPr>
        <w:t xml:space="preserve"> Featured can ship now. Spotlight when content correctness lands. Premier only after the deterministic disclosure renderer is in production.</w:t>
      </w:r>
    </w:p>
    <w:p>
      <w:pPr>
        <w:spacing w:after="40" w:before="240"/>
      </w:pPr>
      <w:r>
        <w:rPr>
          <w:rFonts w:ascii="Arial" w:cs="Arial" w:eastAsia="Arial" w:hAnsi="Arial"/>
          <w:b/>
          <w:bCs/>
          <w:color w:val="888888"/>
          <w:spacing w:val="60"/>
          <w:sz w:val="18"/>
          <w:szCs w:val="18"/>
        </w:rPr>
        <w:t xml:space="preserve">ARR PLANNING BASELINE</w:t>
      </w:r>
    </w:p>
    <w:p>
      <w:pPr>
        <w:spacing w:after="100" w:before="100" w:line="300"/>
      </w:pPr>
      <w:r>
        <w:rPr>
          <w:rFonts w:ascii="Arial" w:cs="Arial" w:eastAsia="Arial" w:hAnsi="Arial"/>
          <w:sz w:val="22"/>
          <w:szCs w:val="22"/>
        </w:rPr>
        <w:t xml:space="preserve">Plan against </w:t>
      </w:r>
      <w:r>
        <w:rPr>
          <w:rFonts w:ascii="Arial" w:cs="Arial" w:eastAsia="Arial" w:hAnsi="Arial"/>
          <w:b/>
          <w:bCs/>
          <w:sz w:val="22"/>
          <w:szCs w:val="22"/>
        </w:rPr>
        <w:t xml:space="preserve">$240–280K ARR by year three</w:t>
      </w:r>
      <w:r>
        <w:rPr>
          <w:rFonts w:ascii="Arial" w:cs="Arial" w:eastAsia="Arial" w:hAnsi="Arial"/>
          <w:sz w:val="22"/>
          <w:szCs w:val="22"/>
        </w:rPr>
        <w:t xml:space="preserve"> as the operating baseline; treat </w:t>
      </w:r>
      <w:r>
        <w:rPr>
          <w:rFonts w:ascii="Arial" w:cs="Arial" w:eastAsia="Arial" w:hAnsi="Arial"/>
          <w:b/>
          <w:bCs/>
          <w:sz w:val="22"/>
          <w:szCs w:val="22"/>
        </w:rPr>
        <w:t xml:space="preserve">$360K</w:t>
      </w:r>
      <w:r>
        <w:rPr>
          <w:rFonts w:ascii="Arial" w:cs="Arial" w:eastAsia="Arial" w:hAnsi="Arial"/>
          <w:sz w:val="22"/>
          <w:szCs w:val="22"/>
        </w:rPr>
        <w:t xml:space="preserve"> as upside scenario where distribution outperforms and tourism affiliate exceeds expectations. Both numbers assume single-founder ops with no hires. The ceiling is set by market depth, not by ambition — pricing against a 57k-person town does not survive a Category Dominator pitch at $1,500/month, and hire-driven scenarios change the ceiling through partnership capacity, not through pricing.</w:t>
      </w:r>
    </w:p>
    <w:p>
      <w:pPr>
        <w:spacing w:after="40" w:before="240"/>
      </w:pPr>
      <w:r>
        <w:rPr>
          <w:rFonts w:ascii="Arial" w:cs="Arial" w:eastAsia="Arial" w:hAnsi="Arial"/>
          <w:b/>
          <w:bCs/>
          <w:color w:val="888888"/>
          <w:spacing w:val="60"/>
          <w:sz w:val="18"/>
          <w:szCs w:val="18"/>
        </w:rPr>
        <w:t xml:space="preserve">HIGHEST-LEVERAGE DECISION IN THE NEXT 90 DAYS</w:t>
      </w:r>
    </w:p>
    <w:p>
      <w:pPr>
        <w:pBdr>
          <w:left w:val="single" w:color="0E6E7C" w:sz="24" w:space="12"/>
        </w:pBdr>
        <w:spacing w:after="160" w:before="160" w:line="300"/>
        <w:ind w:left="240"/>
      </w:pPr>
      <w:r>
        <w:rPr>
          <w:rFonts w:ascii="Arial" w:cs="Arial" w:eastAsia="Arial" w:hAnsi="Arial"/>
          <w:sz w:val="22"/>
          <w:szCs w:val="22"/>
        </w:rPr>
        <w:t xml:space="preserve">Close the Phase 1 trust-and-correctness gate before any monetization or visitor-mode UX work begins. Specifically: the deterministic disclosure renderer is the keystone — it is the single piece of trust pipeline that does not yet exist in any form, and it gets harder to add once Premier inventory is sold.</w:t>
      </w:r>
    </w:p>
    <w:p>
      <w:pPr>
        <w:pStyle w:val="Heading1"/>
        <w:spacing w:after="160" w:before="360"/>
      </w:pPr>
      <w:r>
        <w:rPr>
          <w:rFonts w:ascii="Arial" w:cs="Arial" w:eastAsia="Arial" w:hAnsi="Arial"/>
          <w:b/>
          <w:bCs/>
          <w:sz w:val="36"/>
          <w:szCs w:val="36"/>
        </w:rPr>
        <w:t xml:space="preserve">Part I — Optimization Strategy</w:t>
      </w:r>
    </w:p>
    <w:p>
      <w:pPr>
        <w:spacing w:after="160" w:before="80" w:line="320"/>
      </w:pPr>
      <w:r>
        <w:rPr>
          <w:rFonts w:ascii="Georgia" w:cs="Georgia" w:eastAsia="Georgia" w:hAnsi="Georgia"/>
          <w:i/>
          <w:iCs/>
          <w:color w:val="333333"/>
          <w:sz w:val="24"/>
          <w:szCs w:val="24"/>
        </w:rPr>
        <w:t xml:space="preserve">Six subsystems. Trust pipeline is the moat; content correctness is what users actually see; everything else flows downstream of those two.</w:t>
      </w:r>
    </w:p>
    <w:p>
      <w:pPr>
        <w:pStyle w:val="Heading2"/>
        <w:spacing w:after="120" w:before="280"/>
      </w:pPr>
      <w:r>
        <w:rPr>
          <w:rFonts w:ascii="Arial" w:cs="Arial" w:eastAsia="Arial" w:hAnsi="Arial"/>
          <w:b/>
          <w:bCs/>
          <w:color w:val="0E6E7C"/>
          <w:sz w:val="28"/>
          <w:szCs w:val="28"/>
        </w:rPr>
        <w:t xml:space="preserve">1. Trust Pipeline (The Moat)</w:t>
      </w:r>
    </w:p>
    <w:p>
      <w:pPr>
        <w:spacing w:after="100" w:before="100" w:line="300"/>
      </w:pPr>
      <w:r>
        <w:rPr>
          <w:rFonts w:ascii="Arial" w:cs="Arial" w:eastAsia="Arial" w:hAnsi="Arial"/>
          <w:sz w:val="22"/>
          <w:szCs w:val="22"/>
        </w:rPr>
        <w:t xml:space="preserve">Hava promises 1–3 sentence answers. That format trades verbosity for confidence, which means every wrong answer is loud. The trust pipeline is the system that prevents wrong answers from reaching users — and when one slips through, ensures it is caught and corrected.</w:t>
      </w:r>
    </w:p>
    <w:p>
      <w:pPr>
        <w:pStyle w:val="Heading3"/>
        <w:spacing w:after="100" w:before="200"/>
      </w:pPr>
      <w:r>
        <w:rPr>
          <w:rFonts w:ascii="Arial" w:cs="Arial" w:eastAsia="Arial" w:hAnsi="Arial"/>
          <w:b/>
          <w:bCs/>
          <w:sz w:val="24"/>
          <w:szCs w:val="24"/>
        </w:rPr>
        <w:t xml:space="preserve">1.1 Hallucination prevention — extending HALT 3</w:t>
      </w:r>
    </w:p>
    <w:p>
      <w:pPr>
        <w:spacing w:after="100" w:before="100" w:line="300"/>
      </w:pPr>
      <w:r>
        <w:rPr>
          <w:rFonts w:ascii="Arial" w:cs="Arial" w:eastAsia="Arial" w:hAnsi="Arial"/>
          <w:sz w:val="22"/>
          <w:szCs w:val="22"/>
        </w:rPr>
        <w:t xml:space="preserve">HALT 3 / Tier 2 formatter / confabulation harness work continues to closure. Two extensions to scope now:</w:t>
      </w:r>
    </w:p>
    <w:p>
      <w:pPr>
        <w:pStyle w:val="ListParagraph"/>
        <w:numPr>
          <w:ilvl w:val="0"/>
          <w:numId w:val="3"/>
        </w:numPr>
        <w:spacing w:after="40" w:before="40" w:line="280"/>
      </w:pPr>
      <w:r>
        <w:rPr>
          <w:rFonts w:ascii="Arial" w:cs="Arial" w:eastAsia="Arial" w:hAnsi="Arial"/>
          <w:b/>
          <w:bCs/>
          <w:sz w:val="22"/>
          <w:szCs w:val="22"/>
        </w:rPr>
        <w:t xml:space="preserve">Negative-set evaluation.</w:t>
      </w:r>
      <w:r>
        <w:rPr>
          <w:rFonts w:ascii="Arial" w:cs="Arial" w:eastAsia="Arial" w:hAnsi="Arial"/>
          <w:sz w:val="22"/>
          <w:szCs w:val="22"/>
        </w:rPr>
        <w:t xml:space="preserve"> A curated set of queries whose correct answer is "I don't know" or "no current match" — closed businesses, cancelled events, services Havasu does not have. Confabulation rate on negative sets is a sharper signal than gating rate alone.</w:t>
      </w:r>
    </w:p>
    <w:p>
      <w:pPr>
        <w:pStyle w:val="ListParagraph"/>
        <w:numPr>
          <w:ilvl w:val="0"/>
          <w:numId w:val="3"/>
        </w:numPr>
        <w:spacing w:after="40" w:before="40" w:line="280"/>
      </w:pPr>
      <w:r>
        <w:rPr>
          <w:rFonts w:ascii="Arial" w:cs="Arial" w:eastAsia="Arial" w:hAnsi="Arial"/>
          <w:b/>
          <w:bCs/>
          <w:sz w:val="22"/>
          <w:szCs w:val="22"/>
        </w:rPr>
        <w:t xml:space="preserve">Per-category anchor regression with calibrated thresholds.</w:t>
      </w:r>
      <w:r>
        <w:rPr>
          <w:rFonts w:ascii="Arial" w:cs="Arial" w:eastAsia="Arial" w:hAnsi="Arial"/>
          <w:sz w:val="22"/>
          <w:szCs w:val="22"/>
        </w:rPr>
        <w:t xml:space="preserve"> A wrong restaurant recommendation is recoverable. A wrong emergency plumber recommendation at 11pm is not. Higher-stakes categories warrant tighter gating; this is a per-category band, not a global one.</w:t>
      </w:r>
    </w:p>
    <w:p>
      <w:pPr>
        <w:pBdr>
          <w:left w:val="single" w:color="0E6E7C" w:sz="24" w:space="12"/>
        </w:pBdr>
        <w:spacing w:after="160" w:before="160" w:line="300"/>
        <w:ind w:left="240"/>
      </w:pPr>
      <w:r>
        <w:rPr>
          <w:rFonts w:ascii="Arial" w:cs="Arial" w:eastAsia="Arial" w:hAnsi="Arial"/>
          <w:b/>
          <w:bCs/>
          <w:sz w:val="22"/>
          <w:szCs w:val="22"/>
        </w:rPr>
        <w:t xml:space="preserve">Sequencing constraint:</w:t>
      </w:r>
      <w:r>
        <w:rPr>
          <w:rFonts w:ascii="Arial" w:cs="Arial" w:eastAsia="Arial" w:hAnsi="Arial"/>
          <w:sz w:val="22"/>
          <w:szCs w:val="22"/>
        </w:rPr>
        <w:t xml:space="preserve"> anchor regression on an empty providers table grades the routing layer on a fictional load. Per-category bands cannot be calibrated until the enrichment sprint (§2.2) populates the table. Phase 1 close gates these together, not in parallel.</w:t>
      </w:r>
    </w:p>
    <w:p>
      <w:pPr>
        <w:pStyle w:val="Heading3"/>
        <w:spacing w:after="100" w:before="200"/>
      </w:pPr>
      <w:r>
        <w:rPr>
          <w:rFonts w:ascii="Arial" w:cs="Arial" w:eastAsia="Arial" w:hAnsi="Arial"/>
          <w:b/>
          <w:bCs/>
          <w:sz w:val="24"/>
          <w:szCs w:val="24"/>
        </w:rPr>
        <w:t xml:space="preserve">1.2 Stale-data detection at the record level</w:t>
      </w:r>
    </w:p>
    <w:p>
      <w:pPr>
        <w:spacing w:after="100" w:before="100" w:line="300"/>
      </w:pPr>
      <w:r>
        <w:rPr>
          <w:rFonts w:ascii="Arial" w:cs="Arial" w:eastAsia="Arial" w:hAnsi="Arial"/>
          <w:sz w:val="22"/>
          <w:szCs w:val="22"/>
        </w:rPr>
        <w:t xml:space="preserve">Every Provider, Event, and Program record carries a `last_verified_at` timestamp and a `verification_method` enum (manual / scraper / owner-confirmed). The formatter reads these at runtime and adjusts register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Confidence band</w:t>
            </w:r>
          </w:p>
        </w:tc>
        <w:tc>
          <w:tcPr>
            <w:tcW w:type="dxa" w:w="35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Source state</w:t>
            </w:r>
          </w:p>
        </w:tc>
        <w:tc>
          <w:tcPr>
            <w:tcW w:type="dxa" w:w="366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Formatter behavior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High</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Owner-verified within 30 days, or scraped within 7 days from primary source</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Speak plainly. No hedge.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Medium</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Scraped 7–30 days ago, or third-party source</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Soft hedge: "as of last week," "based on their listed hours."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Low</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Older than 30 days, or single unverified source</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Recommend calling ahead; surface phone number; no opinion claimed.</w:t>
            </w:r>
          </w:p>
        </w:tc>
      </w:tr>
    </w:tbl>
    <w:p>
      <w:pPr>
        <w:spacing w:after="100" w:before="100" w:line="300"/>
      </w:pPr>
      <w:r>
        <w:rPr>
          <w:rFonts w:ascii="Arial" w:cs="Arial" w:eastAsia="Arial" w:hAnsi="Arial"/>
          <w:sz w:val="22"/>
          <w:szCs w:val="22"/>
        </w:rPr>
        <w:t xml:space="preserve">This is not user-facing complexity. It is a runtime decision the formatter makes based on record metadata. Users see calibrated confidence, not raw scores.</w:t>
      </w:r>
    </w:p>
    <w:p>
      <w:pPr>
        <w:pStyle w:val="Heading3"/>
        <w:spacing w:after="100" w:before="200"/>
      </w:pPr>
      <w:r>
        <w:rPr>
          <w:rFonts w:ascii="Arial" w:cs="Arial" w:eastAsia="Arial" w:hAnsi="Arial"/>
          <w:b/>
          <w:bCs/>
          <w:sz w:val="24"/>
          <w:szCs w:val="24"/>
        </w:rPr>
        <w:t xml:space="preserve">1.3 Source attribution</w:t>
      </w:r>
    </w:p>
    <w:p>
      <w:pPr>
        <w:spacing w:after="100" w:before="100" w:line="300"/>
      </w:pPr>
      <w:r>
        <w:rPr>
          <w:rFonts w:ascii="Arial" w:cs="Arial" w:eastAsia="Arial" w:hAnsi="Arial"/>
          <w:sz w:val="22"/>
          <w:szCs w:val="22"/>
        </w:rPr>
        <w:t xml:space="preserve">When Hava states a fact (hours, price, event time), the underlying record carries its source. This need not surface in every reply, but must be auditable when a user reports an error and </w:t>
      </w:r>
      <w:r>
        <w:rPr>
          <w:rFonts w:ascii="Arial" w:cs="Arial" w:eastAsia="Arial" w:hAnsi="Arial"/>
          <w:b/>
          <w:bCs/>
          <w:sz w:val="22"/>
          <w:szCs w:val="22"/>
        </w:rPr>
        <w:t xml:space="preserve">must</w:t>
      </w:r>
      <w:r>
        <w:rPr>
          <w:rFonts w:ascii="Arial" w:cs="Arial" w:eastAsia="Arial" w:hAnsi="Arial"/>
          <w:sz w:val="22"/>
          <w:szCs w:val="22"/>
        </w:rPr>
        <w:t xml:space="preserve"> surface in chat for high-stakes claims ("according to their website as of Tuesday").</w:t>
      </w:r>
    </w:p>
    <w:p>
      <w:pPr>
        <w:pStyle w:val="Heading3"/>
        <w:spacing w:after="100" w:before="200"/>
      </w:pPr>
      <w:r>
        <w:rPr>
          <w:rFonts w:ascii="Arial" w:cs="Arial" w:eastAsia="Arial" w:hAnsi="Arial"/>
          <w:b/>
          <w:bCs/>
          <w:sz w:val="24"/>
          <w:szCs w:val="24"/>
        </w:rPr>
        <w:t xml:space="preserve">1.4 Graceful unknown — register matters as much as decline</w:t>
      </w:r>
    </w:p>
    <w:p>
      <w:pPr>
        <w:spacing w:after="100" w:before="100" w:line="300"/>
      </w:pPr>
      <w:r>
        <w:rPr>
          <w:rFonts w:ascii="Arial" w:cs="Arial" w:eastAsia="Arial" w:hAnsi="Arial"/>
          <w:sz w:val="22"/>
          <w:szCs w:val="22"/>
        </w:rPr>
        <w:t xml:space="preserve">"I don't have a verified answer for that" is a feature, not a failure. The current `OUT_OF_SCOPE` carve-out shows Hava already has a register problem — it can over-decline or over-commit on the same query class. The eval harness extension grades not just </w:t>
      </w:r>
      <w:r>
        <w:rPr>
          <w:rFonts w:ascii="Arial" w:cs="Arial" w:eastAsia="Arial" w:hAnsi="Arial"/>
          <w:b/>
          <w:bCs/>
          <w:sz w:val="22"/>
          <w:szCs w:val="22"/>
        </w:rPr>
        <w:t xml:space="preserve">whether</w:t>
      </w:r>
      <w:r>
        <w:rPr>
          <w:rFonts w:ascii="Arial" w:cs="Arial" w:eastAsia="Arial" w:hAnsi="Arial"/>
          <w:sz w:val="22"/>
          <w:szCs w:val="22"/>
        </w:rPr>
        <w:t xml:space="preserve"> the bot declines, but </w:t>
      </w:r>
      <w:r>
        <w:rPr>
          <w:rFonts w:ascii="Arial" w:cs="Arial" w:eastAsia="Arial" w:hAnsi="Arial"/>
          <w:b/>
          <w:bCs/>
          <w:sz w:val="22"/>
          <w:szCs w:val="22"/>
        </w:rPr>
        <w:t xml:space="preserve">which</w:t>
      </w:r>
      <w:r>
        <w:rPr>
          <w:rFonts w:ascii="Arial" w:cs="Arial" w:eastAsia="Arial" w:hAnsi="Arial"/>
          <w:sz w:val="22"/>
          <w:szCs w:val="22"/>
        </w:rPr>
        <w:t xml:space="preserve"> graceful unknown it picks:</w:t>
      </w:r>
    </w:p>
    <w:p>
      <w:pPr>
        <w:pStyle w:val="ListParagraph"/>
        <w:numPr>
          <w:ilvl w:val="0"/>
          <w:numId w:val="3"/>
        </w:numPr>
        <w:spacing w:after="40" w:before="40" w:line="280"/>
      </w:pPr>
      <w:r>
        <w:rPr>
          <w:rFonts w:ascii="Arial" w:cs="Arial" w:eastAsia="Arial" w:hAnsi="Arial"/>
          <w:sz w:val="22"/>
          <w:szCs w:val="22"/>
        </w:rPr>
        <w:t xml:space="preserve">"I don't have a current match for that — want me to widen the search to nearby categories?"</w:t>
      </w:r>
    </w:p>
    <w:p>
      <w:pPr>
        <w:pStyle w:val="ListParagraph"/>
        <w:numPr>
          <w:ilvl w:val="0"/>
          <w:numId w:val="3"/>
        </w:numPr>
        <w:spacing w:after="40" w:before="40" w:line="280"/>
      </w:pPr>
      <w:r>
        <w:rPr>
          <w:rFonts w:ascii="Arial" w:cs="Arial" w:eastAsia="Arial" w:hAnsi="Arial"/>
          <w:sz w:val="22"/>
          <w:szCs w:val="22"/>
        </w:rPr>
        <w:t xml:space="preserve">"That's not in my catalog yet. The Chamber of Commerce directory at [link] is the next-best source."</w:t>
      </w:r>
    </w:p>
    <w:p>
      <w:pPr>
        <w:pStyle w:val="ListParagraph"/>
        <w:numPr>
          <w:ilvl w:val="0"/>
          <w:numId w:val="3"/>
        </w:numPr>
        <w:spacing w:after="40" w:before="40" w:line="280"/>
      </w:pPr>
      <w:r>
        <w:rPr>
          <w:rFonts w:ascii="Arial" w:cs="Arial" w:eastAsia="Arial" w:hAnsi="Arial"/>
          <w:sz w:val="22"/>
          <w:szCs w:val="22"/>
        </w:rPr>
        <w:t xml:space="preserve">"I have outdated info on this one. Their listed number is [X] — recommend calling to confirm."</w:t>
      </w:r>
    </w:p>
    <w:p>
      <w:pPr>
        <w:spacing w:after="100" w:before="100" w:line="300"/>
      </w:pPr>
      <w:r>
        <w:rPr>
          <w:rFonts w:ascii="Arial" w:cs="Arial" w:eastAsia="Arial" w:hAnsi="Arial"/>
          <w:sz w:val="22"/>
          <w:szCs w:val="22"/>
        </w:rPr>
        <w:t xml:space="preserve">Mis-routed declines are nearly as bad as confabulations because they teach users the bot is a wall. Train the harness to reward the </w:t>
      </w:r>
      <w:r>
        <w:rPr>
          <w:rFonts w:ascii="Arial" w:cs="Arial" w:eastAsia="Arial" w:hAnsi="Arial"/>
          <w:b/>
          <w:bCs/>
          <w:sz w:val="22"/>
          <w:szCs w:val="22"/>
        </w:rPr>
        <w:t xml:space="preserve">right</w:t>
      </w:r>
      <w:r>
        <w:rPr>
          <w:rFonts w:ascii="Arial" w:cs="Arial" w:eastAsia="Arial" w:hAnsi="Arial"/>
          <w:sz w:val="22"/>
          <w:szCs w:val="22"/>
        </w:rPr>
        <w:t xml:space="preserve"> decline shape, not just any decline.</w:t>
      </w:r>
    </w:p>
    <w:p>
      <w:pPr>
        <w:pStyle w:val="Heading3"/>
        <w:spacing w:after="100" w:before="200"/>
      </w:pPr>
      <w:r>
        <w:rPr>
          <w:rFonts w:ascii="Arial" w:cs="Arial" w:eastAsia="Arial" w:hAnsi="Arial"/>
          <w:b/>
          <w:bCs/>
          <w:sz w:val="24"/>
          <w:szCs w:val="24"/>
        </w:rPr>
        <w:t xml:space="preserve">1.5 Deterministic rendering for high-stakes surfaces</w:t>
      </w:r>
    </w:p>
    <w:p>
      <w:pPr>
        <w:spacing w:after="100" w:before="100" w:line="300"/>
      </w:pPr>
      <w:r>
        <w:rPr>
          <w:rFonts w:ascii="Arial" w:cs="Arial" w:eastAsia="Arial" w:hAnsi="Arial"/>
          <w:sz w:val="22"/>
          <w:szCs w:val="22"/>
        </w:rPr>
        <w:t xml:space="preserve">The codebase already proved this pattern: when LLM-formatter count drift kept producing event lists that didn't match the SQL row count (Backlog #6), the fix was `tier2_catalog_render.py` — a deterministic Python renderer for events that the LLM never sees. Generalize that pattern.</w:t>
      </w:r>
    </w:p>
    <w:p>
      <w:pPr>
        <w:spacing w:after="100" w:before="100" w:line="300"/>
      </w:pPr>
      <w:r>
        <w:rPr>
          <w:rFonts w:ascii="Arial" w:cs="Arial" w:eastAsia="Arial" w:hAnsi="Arial"/>
          <w:sz w:val="22"/>
          <w:szCs w:val="22"/>
        </w:rPr>
        <w:t xml:space="preserve">The high-stakes surfaces that warrant the same treatment:</w:t>
      </w:r>
    </w:p>
    <w:p>
      <w:pPr>
        <w:pStyle w:val="ListParagraph"/>
        <w:numPr>
          <w:ilvl w:val="0"/>
          <w:numId w:val="2"/>
        </w:numPr>
        <w:spacing w:after="40" w:before="40" w:line="280"/>
      </w:pPr>
      <w:r>
        <w:rPr>
          <w:rFonts w:ascii="Arial" w:cs="Arial" w:eastAsia="Arial" w:hAnsi="Arial"/>
          <w:b/>
          <w:bCs/>
          <w:sz w:val="22"/>
          <w:szCs w:val="22"/>
        </w:rPr>
        <w:t xml:space="preserve">Sponsored disclosure renderer.</w:t>
      </w:r>
      <w:r>
        <w:rPr>
          <w:rFonts w:ascii="Arial" w:cs="Arial" w:eastAsia="Arial" w:hAnsi="Arial"/>
          <w:sz w:val="22"/>
          <w:szCs w:val="22"/>
        </w:rPr>
        <w:t xml:space="preserve"> Owns placement regime, disclosure word, tone constraints. Eval harness asserts on its outputs. Detail in §4.</w:t>
      </w:r>
    </w:p>
    <w:p>
      <w:pPr>
        <w:pStyle w:val="ListParagraph"/>
        <w:numPr>
          <w:ilvl w:val="0"/>
          <w:numId w:val="2"/>
        </w:numPr>
        <w:spacing w:after="40" w:before="40" w:line="280"/>
      </w:pPr>
      <w:r>
        <w:rPr>
          <w:rFonts w:ascii="Arial" w:cs="Arial" w:eastAsia="Arial" w:hAnsi="Arial"/>
          <w:b/>
          <w:bCs/>
          <w:sz w:val="22"/>
          <w:szCs w:val="22"/>
        </w:rPr>
        <w:t xml:space="preserve">Hours / open-now claims.</w:t>
      </w:r>
      <w:r>
        <w:rPr>
          <w:rFonts w:ascii="Arial" w:cs="Arial" w:eastAsia="Arial" w:hAnsi="Arial"/>
          <w:sz w:val="22"/>
          <w:szCs w:val="22"/>
        </w:rPr>
        <w:t xml:space="preserve"> Already partially Tier 1; the formatter wrapper around it should never have an LLM rephrase the time.</w:t>
      </w:r>
    </w:p>
    <w:p>
      <w:pPr>
        <w:pStyle w:val="ListParagraph"/>
        <w:numPr>
          <w:ilvl w:val="0"/>
          <w:numId w:val="2"/>
        </w:numPr>
        <w:spacing w:after="40" w:before="40" w:line="280"/>
      </w:pPr>
      <w:r>
        <w:rPr>
          <w:rFonts w:ascii="Arial" w:cs="Arial" w:eastAsia="Arial" w:hAnsi="Arial"/>
          <w:b/>
          <w:bCs/>
          <w:sz w:val="22"/>
          <w:szCs w:val="22"/>
        </w:rPr>
        <w:t xml:space="preserve">Emergency-category recommendations.</w:t>
      </w:r>
      <w:r>
        <w:rPr>
          <w:rFonts w:ascii="Arial" w:cs="Arial" w:eastAsia="Arial" w:hAnsi="Arial"/>
          <w:sz w:val="22"/>
          <w:szCs w:val="22"/>
        </w:rPr>
        <w:t xml:space="preserve"> Plumber-at-11pm, urgent care after hours. Reliability ranking deterministic; LLM only writes the framing sentence around a fixed shortlist.</w:t>
      </w:r>
    </w:p>
    <w:p>
      <w:pPr>
        <w:pStyle w:val="Heading2"/>
        <w:spacing w:after="120" w:before="280"/>
      </w:pPr>
      <w:r>
        <w:rPr>
          <w:rFonts w:ascii="Arial" w:cs="Arial" w:eastAsia="Arial" w:hAnsi="Arial"/>
          <w:b/>
          <w:bCs/>
          <w:color w:val="0E6E7C"/>
          <w:sz w:val="28"/>
          <w:szCs w:val="28"/>
        </w:rPr>
        <w:t xml:space="preserve">2. Content Correctness &amp; Catalog Density</w:t>
      </w:r>
    </w:p>
    <w:p>
      <w:pPr>
        <w:spacing w:after="100" w:before="100" w:line="300"/>
      </w:pPr>
      <w:r>
        <w:rPr>
          <w:rFonts w:ascii="Arial" w:cs="Arial" w:eastAsia="Arial" w:hAnsi="Arial"/>
          <w:sz w:val="22"/>
          <w:szCs w:val="22"/>
        </w:rPr>
        <w:t xml:space="preserve">Two distinct failure modes are currently entangled on /home: thin inventory (warm gradient placeholders, snake-case enum slugs, sponsor cards visually outranking editorial) and </w:t>
      </w:r>
      <w:r>
        <w:rPr>
          <w:rFonts w:ascii="Arial" w:cs="Arial" w:eastAsia="Arial" w:hAnsi="Arial"/>
          <w:b/>
          <w:bCs/>
          <w:sz w:val="22"/>
          <w:szCs w:val="22"/>
        </w:rPr>
        <w:t xml:space="preserve">wrong-data-from-correct-query</w:t>
      </w:r>
      <w:r>
        <w:rPr>
          <w:rFonts w:ascii="Arial" w:cs="Arial" w:eastAsia="Arial" w:hAnsi="Arial"/>
          <w:sz w:val="22"/>
          <w:szCs w:val="22"/>
        </w:rPr>
        <w:t xml:space="preserve"> (`Event.date == today` returns 5 AM lap swim under a `Tonight` label). The strategy doc treated both as downstream of inventory; really, one is, and one isn't. Different fixes.</w:t>
      </w:r>
    </w:p>
    <w:p>
      <w:pPr>
        <w:pStyle w:val="Heading3"/>
        <w:spacing w:after="100" w:before="200"/>
      </w:pPr>
      <w:r>
        <w:rPr>
          <w:rFonts w:ascii="Arial" w:cs="Arial" w:eastAsia="Arial" w:hAnsi="Arial"/>
          <w:b/>
          <w:bCs/>
          <w:sz w:val="24"/>
          <w:szCs w:val="24"/>
        </w:rPr>
        <w:t xml:space="preserve">2.1 Half-sprint UI-data-correctness pass</w:t>
      </w:r>
    </w:p>
    <w:p>
      <w:pPr>
        <w:spacing w:after="100" w:before="100" w:line="300"/>
      </w:pPr>
      <w:r>
        <w:rPr>
          <w:rFonts w:ascii="Arial" w:cs="Arial" w:eastAsia="Arial" w:hAnsi="Arial"/>
          <w:sz w:val="22"/>
          <w:szCs w:val="22"/>
        </w:rPr>
        <w:t xml:space="preserve">Independent of catalog growth, ship in week one of Phase 1:</w:t>
      </w:r>
    </w:p>
    <w:p>
      <w:pPr>
        <w:pStyle w:val="ListParagraph"/>
        <w:numPr>
          <w:ilvl w:val="0"/>
          <w:numId w:val="3"/>
        </w:numPr>
        <w:spacing w:after="40" w:before="40" w:line="280"/>
      </w:pPr>
      <w:r>
        <w:rPr>
          <w:rFonts w:ascii="Arial" w:cs="Arial" w:eastAsia="Arial" w:hAnsi="Arial"/>
          <w:b/>
          <w:bCs/>
          <w:sz w:val="22"/>
          <w:szCs w:val="22"/>
        </w:rPr>
        <w:t xml:space="preserve">`Tonight` query fix.</w:t>
      </w:r>
      <w:r>
        <w:rPr>
          <w:rFonts w:ascii="Arial" w:cs="Arial" w:eastAsia="Arial" w:hAnsi="Arial"/>
          <w:sz w:val="22"/>
          <w:szCs w:val="22"/>
        </w:rPr>
        <w:t xml:space="preserve"> `Event.date == today` becomes `start_time &gt;= now AND start_time &lt;= end_of_today` with a 4 PM threshold for the label switch (per `CRITIQUE_AND_REDESIGN.md` §B1).</w:t>
      </w:r>
    </w:p>
    <w:p>
      <w:pPr>
        <w:pStyle w:val="ListParagraph"/>
        <w:numPr>
          <w:ilvl w:val="0"/>
          <w:numId w:val="3"/>
        </w:numPr>
        <w:spacing w:after="40" w:before="40" w:line="280"/>
      </w:pPr>
      <w:r>
        <w:rPr>
          <w:rFonts w:ascii="Arial" w:cs="Arial" w:eastAsia="Arial" w:hAnsi="Arial"/>
          <w:b/>
          <w:bCs/>
          <w:sz w:val="22"/>
          <w:szCs w:val="22"/>
        </w:rPr>
        <w:t xml:space="preserve">Category label map.</w:t>
      </w:r>
      <w:r>
        <w:rPr>
          <w:rFonts w:ascii="Arial" w:cs="Arial" w:eastAsia="Arial" w:hAnsi="Arial"/>
          <w:sz w:val="22"/>
          <w:szCs w:val="22"/>
        </w:rPr>
        <w:t xml:space="preserve"> `CATEGORY_LABELS` dict in `app/home/queries.py` maps every Provider category enum to a sentence-case human label. Render path uses the map; raw slugs never reach the surface.</w:t>
      </w:r>
    </w:p>
    <w:p>
      <w:pPr>
        <w:pStyle w:val="ListParagraph"/>
        <w:numPr>
          <w:ilvl w:val="0"/>
          <w:numId w:val="3"/>
        </w:numPr>
        <w:spacing w:after="40" w:before="40" w:line="280"/>
      </w:pPr>
      <w:r>
        <w:rPr>
          <w:rFonts w:ascii="Arial" w:cs="Arial" w:eastAsia="Arial" w:hAnsi="Arial"/>
          <w:b/>
          <w:bCs/>
          <w:sz w:val="22"/>
          <w:szCs w:val="22"/>
        </w:rPr>
        <w:t xml:space="preserve">Placeholder phone numbers removed.</w:t>
      </w:r>
      <w:r>
        <w:rPr>
          <w:rFonts w:ascii="Arial" w:cs="Arial" w:eastAsia="Arial" w:hAnsi="Arial"/>
          <w:sz w:val="22"/>
          <w:szCs w:val="22"/>
        </w:rPr>
        <w:t xml:space="preserve"> All `(928) 555-01XX` strings replaced with either real verified numbers or the `unknown` confidence-band template ("Hours on profile" with no pill).</w:t>
      </w:r>
    </w:p>
    <w:p>
      <w:pPr>
        <w:pStyle w:val="ListParagraph"/>
        <w:numPr>
          <w:ilvl w:val="0"/>
          <w:numId w:val="3"/>
        </w:numPr>
        <w:spacing w:after="40" w:before="40" w:line="280"/>
      </w:pPr>
      <w:r>
        <w:rPr>
          <w:rFonts w:ascii="Arial" w:cs="Arial" w:eastAsia="Arial" w:hAnsi="Arial"/>
          <w:b/>
          <w:bCs/>
          <w:sz w:val="22"/>
          <w:szCs w:val="22"/>
        </w:rPr>
        <w:t xml:space="preserve">Event blurb truncation fix.</w:t>
      </w:r>
      <w:r>
        <w:rPr>
          <w:rFonts w:ascii="Arial" w:cs="Arial" w:eastAsia="Arial" w:hAnsi="Arial"/>
          <w:sz w:val="22"/>
          <w:szCs w:val="22"/>
        </w:rPr>
        <w:t xml:space="preserve"> Every event card stops printing the URL-truncated mid-character `description` slice; replace with a Hava-voiced 1-sentence blurb generated at ingestion time, not at render time.</w:t>
      </w:r>
    </w:p>
    <w:p>
      <w:pPr>
        <w:pBdr>
          <w:left w:val="single" w:color="0E6E7C" w:sz="24" w:space="12"/>
        </w:pBdr>
        <w:spacing w:after="160" w:before="160" w:line="300"/>
        <w:ind w:left="240"/>
      </w:pPr>
      <w:r>
        <w:rPr>
          <w:rFonts w:ascii="Arial" w:cs="Arial" w:eastAsia="Arial" w:hAnsi="Arial"/>
          <w:sz w:val="22"/>
          <w:szCs w:val="22"/>
        </w:rPr>
        <w:t xml:space="preserve">This is cheap, high-visibility, and removes the "this product isn't finished" tax that currently undercuts every other Phase 1 deliverable.</w:t>
      </w:r>
    </w:p>
    <w:p>
      <w:pPr>
        <w:pStyle w:val="Heading3"/>
        <w:spacing w:after="100" w:before="200"/>
      </w:pPr>
      <w:r>
        <w:rPr>
          <w:rFonts w:ascii="Arial" w:cs="Arial" w:eastAsia="Arial" w:hAnsi="Arial"/>
          <w:b/>
          <w:bCs/>
          <w:sz w:val="24"/>
          <w:szCs w:val="24"/>
        </w:rPr>
        <w:t xml:space="preserve">2.2 50-business enrichment sprint</w:t>
      </w:r>
    </w:p>
    <w:p>
      <w:pPr>
        <w:spacing w:after="100" w:before="100" w:line="300"/>
      </w:pPr>
      <w:r>
        <w:rPr>
          <w:rFonts w:ascii="Arial" w:cs="Arial" w:eastAsia="Arial" w:hAnsi="Arial"/>
          <w:sz w:val="22"/>
          <w:szCs w:val="22"/>
        </w:rPr>
        <w:t xml:space="preserve">Catalog depth matters less than catalog quality on the businesses users actually ask about. Target the most-queried categories: restaurants, plumbers, HVAC, pool service, boat repair, urgent care, auto repair. Each enriched record carries:</w:t>
      </w:r>
    </w:p>
    <w:p>
      <w:pPr>
        <w:pStyle w:val="ListParagraph"/>
        <w:numPr>
          <w:ilvl w:val="0"/>
          <w:numId w:val="3"/>
        </w:numPr>
        <w:spacing w:after="40" w:before="40" w:line="280"/>
      </w:pPr>
      <w:r>
        <w:rPr>
          <w:rFonts w:ascii="Arial" w:cs="Arial" w:eastAsia="Arial" w:hAnsi="Arial"/>
          <w:sz w:val="22"/>
          <w:szCs w:val="22"/>
        </w:rPr>
        <w:t xml:space="preserve">Verified phone number, current hours, current address</w:t>
      </w:r>
    </w:p>
    <w:p>
      <w:pPr>
        <w:pStyle w:val="ListParagraph"/>
        <w:numPr>
          <w:ilvl w:val="0"/>
          <w:numId w:val="3"/>
        </w:numPr>
        <w:spacing w:after="40" w:before="40" w:line="280"/>
      </w:pPr>
      <w:r>
        <w:rPr>
          <w:rFonts w:ascii="Arial" w:cs="Arial" w:eastAsia="Arial" w:hAnsi="Arial"/>
          <w:sz w:val="22"/>
          <w:szCs w:val="22"/>
        </w:rPr>
        <w:t xml:space="preserve">Two- to three-sentence description in Hava's voice (not scraped marketing copy)</w:t>
      </w:r>
    </w:p>
    <w:p>
      <w:pPr>
        <w:pStyle w:val="ListParagraph"/>
        <w:numPr>
          <w:ilvl w:val="0"/>
          <w:numId w:val="3"/>
        </w:numPr>
        <w:spacing w:after="40" w:before="40" w:line="280"/>
      </w:pPr>
      <w:r>
        <w:rPr>
          <w:rFonts w:ascii="Arial" w:cs="Arial" w:eastAsia="Arial" w:hAnsi="Arial"/>
          <w:sz w:val="22"/>
          <w:szCs w:val="22"/>
        </w:rPr>
        <w:t xml:space="preserve">Service area or specialty notes</w:t>
      </w:r>
    </w:p>
    <w:p>
      <w:pPr>
        <w:pStyle w:val="ListParagraph"/>
        <w:numPr>
          <w:ilvl w:val="0"/>
          <w:numId w:val="3"/>
        </w:numPr>
        <w:spacing w:after="40" w:before="40" w:line="280"/>
      </w:pPr>
      <w:r>
        <w:rPr>
          <w:rFonts w:ascii="Arial" w:cs="Arial" w:eastAsia="Arial" w:hAnsi="Arial"/>
          <w:sz w:val="22"/>
          <w:szCs w:val="22"/>
        </w:rPr>
        <w:t xml:space="preserve">Owner contact email for re-verification cadence</w:t>
      </w:r>
    </w:p>
    <w:p>
      <w:pPr>
        <w:pStyle w:val="ListParagraph"/>
        <w:numPr>
          <w:ilvl w:val="0"/>
          <w:numId w:val="3"/>
        </w:numPr>
        <w:spacing w:after="40" w:before="40" w:line="280"/>
      </w:pPr>
      <w:r>
        <w:rPr>
          <w:rFonts w:ascii="Arial" w:cs="Arial" w:eastAsia="Arial" w:hAnsi="Arial"/>
          <w:sz w:val="22"/>
          <w:szCs w:val="22"/>
        </w:rPr>
        <w:t xml:space="preserve">`last_verified_at` and `verification_method` timestamps</w:t>
      </w:r>
    </w:p>
    <w:p>
      <w:pPr>
        <w:pStyle w:val="Heading3"/>
        <w:spacing w:after="100" w:before="200"/>
      </w:pPr>
      <w:r>
        <w:rPr>
          <w:rFonts w:ascii="Arial" w:cs="Arial" w:eastAsia="Arial" w:hAnsi="Arial"/>
          <w:b/>
          <w:bCs/>
          <w:sz w:val="24"/>
          <w:szCs w:val="24"/>
        </w:rPr>
        <w:t xml:space="preserve">2.3 Event aggregation pipeline</w:t>
      </w:r>
    </w:p>
    <w:p>
      <w:pPr>
        <w:spacing w:after="100" w:before="100" w:line="300"/>
      </w:pPr>
      <w:r>
        <w:rPr>
          <w:rFonts w:ascii="Arial" w:cs="Arial" w:eastAsia="Arial" w:hAnsi="Arial"/>
          <w:sz w:val="22"/>
          <w:szCs w:val="22"/>
        </w:rPr>
        <w:t xml:space="preserve">Ship after the homepage data-correctness pass. Priority sources, in rough order:</w:t>
      </w:r>
    </w:p>
    <w:p>
      <w:pPr>
        <w:pStyle w:val="ListParagraph"/>
        <w:numPr>
          <w:ilvl w:val="0"/>
          <w:numId w:val="2"/>
        </w:numPr>
        <w:spacing w:after="40" w:before="40" w:line="280"/>
      </w:pPr>
      <w:r>
        <w:rPr>
          <w:rFonts w:ascii="Arial" w:cs="Arial" w:eastAsia="Arial" w:hAnsi="Arial"/>
          <w:sz w:val="22"/>
          <w:szCs w:val="22"/>
        </w:rPr>
        <w:t xml:space="preserve">Aquatic Center (already in catalog — but rebalance ranking so it isn't 60% of `Tonight`)</w:t>
      </w:r>
    </w:p>
    <w:p>
      <w:pPr>
        <w:pStyle w:val="ListParagraph"/>
        <w:numPr>
          <w:ilvl w:val="0"/>
          <w:numId w:val="2"/>
        </w:numPr>
        <w:spacing w:after="40" w:before="40" w:line="280"/>
      </w:pPr>
      <w:r>
        <w:rPr>
          <w:rFonts w:ascii="Arial" w:cs="Arial" w:eastAsia="Arial" w:hAnsi="Arial"/>
          <w:sz w:val="22"/>
          <w:szCs w:val="22"/>
        </w:rPr>
        <w:t xml:space="preserve">Lake Havasu City official events page</w:t>
      </w:r>
    </w:p>
    <w:p>
      <w:pPr>
        <w:pStyle w:val="ListParagraph"/>
        <w:numPr>
          <w:ilvl w:val="0"/>
          <w:numId w:val="2"/>
        </w:numPr>
        <w:spacing w:after="40" w:before="40" w:line="280"/>
      </w:pPr>
      <w:r>
        <w:rPr>
          <w:rFonts w:ascii="Arial" w:cs="Arial" w:eastAsia="Arial" w:hAnsi="Arial"/>
          <w:sz w:val="22"/>
          <w:szCs w:val="22"/>
        </w:rPr>
        <w:t xml:space="preserve">Chamber of Commerce calendar</w:t>
      </w:r>
    </w:p>
    <w:p>
      <w:pPr>
        <w:pStyle w:val="ListParagraph"/>
        <w:numPr>
          <w:ilvl w:val="0"/>
          <w:numId w:val="2"/>
        </w:numPr>
        <w:spacing w:after="40" w:before="40" w:line="280"/>
      </w:pPr>
      <w:r>
        <w:rPr>
          <w:rFonts w:ascii="Arial" w:cs="Arial" w:eastAsia="Arial" w:hAnsi="Arial"/>
          <w:sz w:val="22"/>
          <w:szCs w:val="22"/>
        </w:rPr>
        <w:t xml:space="preserve">Major venue calendars: London Bridge Resort, Nautical Beachfront, Shugrue's, BJ's</w:t>
      </w:r>
    </w:p>
    <w:p>
      <w:pPr>
        <w:pStyle w:val="ListParagraph"/>
        <w:numPr>
          <w:ilvl w:val="0"/>
          <w:numId w:val="2"/>
        </w:numPr>
        <w:spacing w:after="40" w:before="40" w:line="280"/>
      </w:pPr>
      <w:r>
        <w:rPr>
          <w:rFonts w:ascii="Arial" w:cs="Arial" w:eastAsia="Arial" w:hAnsi="Arial"/>
          <w:sz w:val="22"/>
          <w:szCs w:val="22"/>
        </w:rPr>
        <w:t xml:space="preserve">Eventbrite Havasu searches</w:t>
      </w:r>
    </w:p>
    <w:p>
      <w:pPr>
        <w:pStyle w:val="ListParagraph"/>
        <w:numPr>
          <w:ilvl w:val="0"/>
          <w:numId w:val="2"/>
        </w:numPr>
        <w:spacing w:after="40" w:before="40" w:line="280"/>
      </w:pPr>
      <w:r>
        <w:rPr>
          <w:rFonts w:ascii="Arial" w:cs="Arial" w:eastAsia="Arial" w:hAnsi="Arial"/>
          <w:sz w:val="22"/>
          <w:szCs w:val="22"/>
        </w:rPr>
        <w:t xml:space="preserve">Tournament and festival calendars (Desert Storm, Bluewater Jet Ski Race, Boat Show, Balloon Festival)</w:t>
      </w:r>
    </w:p>
    <w:p>
      <w:pPr>
        <w:pStyle w:val="ListParagraph"/>
        <w:numPr>
          <w:ilvl w:val="0"/>
          <w:numId w:val="2"/>
        </w:numPr>
        <w:spacing w:after="40" w:before="40" w:line="280"/>
      </w:pPr>
      <w:r>
        <w:rPr>
          <w:rFonts w:ascii="Arial" w:cs="Arial" w:eastAsia="Arial" w:hAnsi="Arial"/>
          <w:sz w:val="22"/>
          <w:szCs w:val="22"/>
        </w:rPr>
        <w:t xml:space="preserve">Facebook Events for known organizers — legally fraught, prefer organizer outreach over scraping</w:t>
      </w:r>
    </w:p>
    <w:p>
      <w:pPr>
        <w:pStyle w:val="Heading3"/>
        <w:spacing w:after="100" w:before="200"/>
      </w:pPr>
      <w:r>
        <w:rPr>
          <w:rFonts w:ascii="Arial" w:cs="Arial" w:eastAsia="Arial" w:hAnsi="Arial"/>
          <w:b/>
          <w:bCs/>
          <w:sz w:val="24"/>
          <w:szCs w:val="24"/>
        </w:rPr>
        <w:t xml:space="preserve">2.4 Tourism inventory (separate priority)</w:t>
      </w:r>
    </w:p>
    <w:p>
      <w:pPr>
        <w:spacing w:after="100" w:before="100" w:line="300"/>
      </w:pPr>
      <w:r>
        <w:rPr>
          <w:rFonts w:ascii="Arial" w:cs="Arial" w:eastAsia="Arial" w:hAnsi="Arial"/>
          <w:sz w:val="22"/>
          <w:szCs w:val="22"/>
        </w:rPr>
        <w:t xml:space="preserve">Structurally different from local services and deserves its own pass. Target: 30 highest-priority operators verified before any visitor-mode UI work begins.</w:t>
      </w:r>
    </w:p>
    <w:p>
      <w:pPr>
        <w:pStyle w:val="ListParagraph"/>
        <w:numPr>
          <w:ilvl w:val="0"/>
          <w:numId w:val="3"/>
        </w:numPr>
        <w:spacing w:after="40" w:before="40" w:line="280"/>
      </w:pPr>
      <w:r>
        <w:rPr>
          <w:rFonts w:ascii="Arial" w:cs="Arial" w:eastAsia="Arial" w:hAnsi="Arial"/>
          <w:sz w:val="22"/>
          <w:szCs w:val="22"/>
        </w:rPr>
        <w:t xml:space="preserve">Boat rentals and watercraft (jet ski, pontoon, deck, paddleboard)</w:t>
      </w:r>
    </w:p>
    <w:p>
      <w:pPr>
        <w:pStyle w:val="ListParagraph"/>
        <w:numPr>
          <w:ilvl w:val="0"/>
          <w:numId w:val="3"/>
        </w:numPr>
        <w:spacing w:after="40" w:before="40" w:line="280"/>
      </w:pPr>
      <w:r>
        <w:rPr>
          <w:rFonts w:ascii="Arial" w:cs="Arial" w:eastAsia="Arial" w:hAnsi="Arial"/>
          <w:sz w:val="22"/>
          <w:szCs w:val="22"/>
        </w:rPr>
        <w:t xml:space="preserve">Tour operators (lake tours, sunset cruises, fishing charters)</w:t>
      </w:r>
    </w:p>
    <w:p>
      <w:pPr>
        <w:pStyle w:val="ListParagraph"/>
        <w:numPr>
          <w:ilvl w:val="0"/>
          <w:numId w:val="3"/>
        </w:numPr>
        <w:spacing w:after="40" w:before="40" w:line="280"/>
      </w:pPr>
      <w:r>
        <w:rPr>
          <w:rFonts w:ascii="Arial" w:cs="Arial" w:eastAsia="Arial" w:hAnsi="Arial"/>
          <w:sz w:val="22"/>
          <w:szCs w:val="22"/>
        </w:rPr>
        <w:t xml:space="preserve">Lakeside dining with parking and access notes</w:t>
      </w:r>
    </w:p>
    <w:p>
      <w:pPr>
        <w:pStyle w:val="ListParagraph"/>
        <w:numPr>
          <w:ilvl w:val="0"/>
          <w:numId w:val="3"/>
        </w:numPr>
        <w:spacing w:after="40" w:before="40" w:line="280"/>
      </w:pPr>
      <w:r>
        <w:rPr>
          <w:rFonts w:ascii="Arial" w:cs="Arial" w:eastAsia="Arial" w:hAnsi="Arial"/>
          <w:sz w:val="22"/>
          <w:szCs w:val="22"/>
        </w:rPr>
        <w:t xml:space="preserve">Beach access points (public vs resort-only, parking, fees)</w:t>
      </w:r>
    </w:p>
    <w:p>
      <w:pPr>
        <w:pStyle w:val="ListParagraph"/>
        <w:numPr>
          <w:ilvl w:val="0"/>
          <w:numId w:val="3"/>
        </w:numPr>
        <w:spacing w:after="40" w:before="40" w:line="280"/>
      </w:pPr>
      <w:r>
        <w:rPr>
          <w:rFonts w:ascii="Arial" w:cs="Arial" w:eastAsia="Arial" w:hAnsi="Arial"/>
          <w:sz w:val="22"/>
          <w:szCs w:val="22"/>
        </w:rPr>
        <w:t xml:space="preserve">Bridge viewing and photo spots</w:t>
      </w:r>
    </w:p>
    <w:p>
      <w:pPr>
        <w:pStyle w:val="ListParagraph"/>
        <w:numPr>
          <w:ilvl w:val="0"/>
          <w:numId w:val="3"/>
        </w:numPr>
        <w:spacing w:after="40" w:before="40" w:line="280"/>
      </w:pPr>
      <w:r>
        <w:rPr>
          <w:rFonts w:ascii="Arial" w:cs="Arial" w:eastAsia="Arial" w:hAnsi="Arial"/>
          <w:sz w:val="22"/>
          <w:szCs w:val="22"/>
        </w:rPr>
        <w:t xml:space="preserve">Family activities (mini golf, arcades, parks)</w:t>
      </w:r>
    </w:p>
    <w:p>
      <w:pPr>
        <w:pStyle w:val="ListParagraph"/>
        <w:numPr>
          <w:ilvl w:val="0"/>
          <w:numId w:val="3"/>
        </w:numPr>
        <w:spacing w:after="40" w:before="40" w:line="280"/>
      </w:pPr>
      <w:r>
        <w:rPr>
          <w:rFonts w:ascii="Arial" w:cs="Arial" w:eastAsia="Arial" w:hAnsi="Arial"/>
          <w:sz w:val="22"/>
          <w:szCs w:val="22"/>
        </w:rPr>
        <w:t xml:space="preserve">ATV / off-road rentals</w:t>
      </w:r>
    </w:p>
    <w:p>
      <w:pPr>
        <w:pStyle w:val="ListParagraph"/>
        <w:numPr>
          <w:ilvl w:val="0"/>
          <w:numId w:val="3"/>
        </w:numPr>
        <w:spacing w:after="40" w:before="40" w:line="280"/>
      </w:pPr>
      <w:r>
        <w:rPr>
          <w:rFonts w:ascii="Arial" w:cs="Arial" w:eastAsia="Arial" w:hAnsi="Arial"/>
          <w:sz w:val="22"/>
          <w:szCs w:val="22"/>
        </w:rPr>
        <w:t xml:space="preserve">Lodging that hosts repeat visitors (Airbnb partnership surface)</w:t>
      </w:r>
    </w:p>
    <w:p>
      <w:pPr>
        <w:pStyle w:val="Heading3"/>
        <w:spacing w:after="100" w:before="200"/>
      </w:pPr>
      <w:r>
        <w:rPr>
          <w:rFonts w:ascii="Arial" w:cs="Arial" w:eastAsia="Arial" w:hAnsi="Arial"/>
          <w:b/>
          <w:bCs/>
          <w:sz w:val="24"/>
          <w:szCs w:val="24"/>
        </w:rPr>
        <w:t xml:space="preserve">2.5 Refresh cadence</w:t>
      </w:r>
    </w:p>
    <w:p>
      <w:pPr>
        <w:spacing w:after="100" w:before="100" w:line="300"/>
      </w:pPr>
      <w:r>
        <w:rPr>
          <w:rFonts w:ascii="Arial" w:cs="Arial" w:eastAsia="Arial" w:hAnsi="Arial"/>
          <w:sz w:val="22"/>
          <w:szCs w:val="22"/>
        </w:rPr>
        <w:t xml:space="preserve">Different data has different decay rates. Bake into the system, not into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880"/>
        <w:gridCol w:w="2680"/>
      </w:tblGrid>
      <w:tr>
        <w:trPr>
          <w:tblHeader/>
        </w:trPr>
        <w:tc>
          <w:tcPr>
            <w:tcW w:type="dxa" w:w="19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Data type</w:t>
            </w:r>
          </w:p>
        </w:tc>
        <w:tc>
          <w:tcPr>
            <w:tcW w:type="dxa" w:w="19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Refresh cadence</w:t>
            </w:r>
          </w:p>
        </w:tc>
        <w:tc>
          <w:tcPr>
            <w:tcW w:type="dxa" w:w="288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Method</w:t>
            </w:r>
          </w:p>
        </w:tc>
        <w:tc>
          <w:tcPr>
            <w:tcW w:type="dxa" w:w="268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Stale threshold</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Event listings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Daily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Scraper + organizer feed</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24 hours</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Business hours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Weekly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Scraper + spot-check</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30 days</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Phone, address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Quarterly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Scraper + owner email</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180 days</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Tourism operators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Monthly (peak)</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Manual during season</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60 days peak / 180 off</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Sponsored placements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On contract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Owner-managed</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Tied to billing cycle</w:t>
            </w:r>
          </w:p>
        </w:tc>
      </w:tr>
    </w:tbl>
    <w:p>
      <w:pPr>
        <w:pStyle w:val="Heading2"/>
        <w:spacing w:after="120" w:before="280"/>
      </w:pPr>
      <w:r>
        <w:rPr>
          <w:rFonts w:ascii="Arial" w:cs="Arial" w:eastAsia="Arial" w:hAnsi="Arial"/>
          <w:b/>
          <w:bCs/>
          <w:color w:val="0E6E7C"/>
          <w:sz w:val="28"/>
          <w:szCs w:val="28"/>
        </w:rPr>
        <w:t xml:space="preserve">3. Two-Market Architecture (Locals + Visitors)</w:t>
      </w:r>
    </w:p>
    <w:p>
      <w:pPr>
        <w:spacing w:after="100" w:before="100" w:line="300"/>
      </w:pPr>
      <w:r>
        <w:rPr>
          <w:rFonts w:ascii="Arial" w:cs="Arial" w:eastAsia="Arial" w:hAnsi="Arial"/>
          <w:sz w:val="22"/>
          <w:szCs w:val="22"/>
        </w:rPr>
        <w:t xml:space="preserve">Locals and visitors are functionally different products that share the same chat surface. A local asking "plumber" wants the one who picks up the phone. A visitor asking "where to eat" wants curated, ranked, opinionated answers with photos and a booking link. Trying to serve both with one ranking model produces compromised results for both.</w:t>
      </w:r>
    </w:p>
    <w:p>
      <w:pPr>
        <w:pStyle w:val="Heading3"/>
        <w:spacing w:after="100" w:before="200"/>
      </w:pPr>
      <w:r>
        <w:rPr>
          <w:rFonts w:ascii="Arial" w:cs="Arial" w:eastAsia="Arial" w:hAnsi="Arial"/>
          <w:b/>
          <w:bCs/>
          <w:sz w:val="24"/>
          <w:szCs w:val="24"/>
        </w:rPr>
        <w:t xml:space="preserve">3.1 Don't bifurcate the UI yet — instrument first</w:t>
      </w:r>
    </w:p>
    <w:p>
      <w:pPr>
        <w:spacing w:after="100" w:before="100" w:line="300"/>
      </w:pPr>
      <w:r>
        <w:rPr>
          <w:rFonts w:ascii="Arial" w:cs="Arial" w:eastAsia="Arial" w:hAnsi="Arial"/>
          <w:sz w:val="22"/>
          <w:szCs w:val="22"/>
        </w:rPr>
        <w:t xml:space="preserve">`app/chat/intent_classifier.py` already returns mode and sub-intent. The missing layer is </w:t>
      </w:r>
      <w:r>
        <w:rPr>
          <w:rFonts w:ascii="Arial" w:cs="Arial" w:eastAsia="Arial" w:hAnsi="Arial"/>
          <w:b/>
          <w:bCs/>
          <w:sz w:val="22"/>
          <w:szCs w:val="22"/>
        </w:rPr>
        <w:t xml:space="preserve">audience signal</w:t>
      </w:r>
      <w:r>
        <w:rPr>
          <w:rFonts w:ascii="Arial" w:cs="Arial" w:eastAsia="Arial" w:hAnsi="Arial"/>
          <w:sz w:val="22"/>
          <w:szCs w:val="22"/>
        </w:rPr>
        <w:t xml:space="preserve"> — orthogonal to intent, computed cheaply at request time, joined onto every chat log:</w:t>
      </w:r>
    </w:p>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1800"/>
        <w:gridCol w:w="1700"/>
      </w:tblGrid>
      <w:tr>
        <w:trPr>
          <w:tblHeader/>
        </w:trPr>
        <w:tc>
          <w:tcPr>
            <w:tcW w:type="dxa" w:w="22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Signal</w:t>
            </w:r>
          </w:p>
        </w:tc>
        <w:tc>
          <w:tcPr>
            <w:tcW w:type="dxa" w:w="268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Source</w:t>
            </w:r>
          </w:p>
        </w:tc>
        <w:tc>
          <w:tcPr>
            <w:tcW w:type="dxa" w:w="18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Cost</w:t>
            </w:r>
          </w:p>
        </w:tc>
        <w:tc>
          <w:tcPr>
            <w:tcW w:type="dxa" w:w="17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Stored 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IP geolocation bucket</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MaxMind GeoIP / CDN headers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Effectively free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ChatLog row</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Time-of-day</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Already on `chat_logs.created_at`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Free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Existing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Day-of-week / season</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Derived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Free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Derived at query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Query shape</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Existing intent classifier output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Already computed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Existing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Predicted audience</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Composite of above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Single rule pass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ChatLog row (new column)</w:t>
            </w:r>
          </w:p>
        </w:tc>
      </w:tr>
    </w:tbl>
    <w:p>
      <w:pPr>
        <w:spacing w:after="100" w:before="100" w:line="300"/>
      </w:pPr>
      <w:r>
        <w:rPr>
          <w:rFonts w:ascii="Arial" w:cs="Arial" w:eastAsia="Arial" w:hAnsi="Arial"/>
          <w:sz w:val="22"/>
          <w:szCs w:val="22"/>
        </w:rPr>
        <w:t xml:space="preserve">This is a logging slice — one or two days of work — not a Phase 2 epic. </w:t>
      </w:r>
      <w:r>
        <w:rPr>
          <w:rFonts w:ascii="Arial" w:cs="Arial" w:eastAsia="Arial" w:hAnsi="Arial"/>
          <w:b/>
          <w:bCs/>
          <w:sz w:val="22"/>
          <w:szCs w:val="22"/>
        </w:rPr>
        <w:t xml:space="preserve">Pull forward into Phase 1</w:t>
      </w:r>
      <w:r>
        <w:rPr>
          <w:rFonts w:ascii="Arial" w:cs="Arial" w:eastAsia="Arial" w:hAnsi="Arial"/>
          <w:sz w:val="22"/>
          <w:szCs w:val="22"/>
        </w:rPr>
        <w:t xml:space="preserve"> so eight to twelve weeks of mix data are available when Phase 2 opens.</w:t>
      </w:r>
    </w:p>
    <w:p>
      <w:pPr>
        <w:pStyle w:val="Heading3"/>
        <w:spacing w:after="100" w:before="200"/>
      </w:pPr>
      <w:r>
        <w:rPr>
          <w:rFonts w:ascii="Arial" w:cs="Arial" w:eastAsia="Arial" w:hAnsi="Arial"/>
          <w:b/>
          <w:bCs/>
          <w:sz w:val="24"/>
          <w:szCs w:val="24"/>
        </w:rPr>
        <w:t xml:space="preserve">3.2 Ranking signals already differ pre-UI</w:t>
      </w:r>
    </w:p>
    <w:p>
      <w:pPr>
        <w:spacing w:after="100" w:before="100" w:line="300"/>
      </w:pPr>
      <w:r>
        <w:rPr>
          <w:rFonts w:ascii="Arial" w:cs="Arial" w:eastAsia="Arial" w:hAnsi="Arial"/>
          <w:sz w:val="22"/>
          <w:szCs w:val="22"/>
        </w:rPr>
        <w:t xml:space="preserve">Even before any UI mode exists, ranking inside chat weights differently for predicted-visitor queries: prefer high-rated tourism-relevant results, surface curation cues ("locals favorite," "good for groups"), bias toward operators with current photos and direct booking. For predicted-local queries: prefer proximity, current availability, operational reliability signals ("answers the phone," "same-week scheduling").</w:t>
      </w:r>
    </w:p>
    <w:p>
      <w:pPr>
        <w:pStyle w:val="Heading3"/>
        <w:spacing w:after="100" w:before="200"/>
      </w:pPr>
      <w:r>
        <w:rPr>
          <w:rFonts w:ascii="Arial" w:cs="Arial" w:eastAsia="Arial" w:hAnsi="Arial"/>
          <w:b/>
          <w:bCs/>
          <w:sz w:val="24"/>
          <w:szCs w:val="24"/>
        </w:rPr>
        <w:t xml:space="preserve">3.3 Decision gate for visitor mode UI</w:t>
      </w:r>
    </w:p>
    <w:p>
      <w:pPr>
        <w:spacing w:after="100" w:before="100" w:line="300"/>
      </w:pPr>
      <w:r>
        <w:rPr>
          <w:rFonts w:ascii="Arial" w:cs="Arial" w:eastAsia="Arial" w:hAnsi="Arial"/>
          <w:sz w:val="22"/>
          <w:szCs w:val="22"/>
        </w:rPr>
        <w:t xml:space="preserve">After 8–12 weeks of mix data:</w:t>
      </w:r>
    </w:p>
    <w:p>
      <w:pPr>
        <w:pStyle w:val="ListParagraph"/>
        <w:numPr>
          <w:ilvl w:val="0"/>
          <w:numId w:val="3"/>
        </w:numPr>
        <w:spacing w:after="40" w:before="40" w:line="280"/>
      </w:pPr>
      <w:r>
        <w:rPr>
          <w:rFonts w:ascii="Arial" w:cs="Arial" w:eastAsia="Arial" w:hAnsi="Arial"/>
          <w:b/>
          <w:bCs/>
          <w:sz w:val="22"/>
          <w:szCs w:val="22"/>
        </w:rPr>
        <w:t xml:space="preserve">80/20 local-leaning:</w:t>
      </w:r>
      <w:r>
        <w:rPr>
          <w:rFonts w:ascii="Arial" w:cs="Arial" w:eastAsia="Arial" w:hAnsi="Arial"/>
          <w:sz w:val="22"/>
          <w:szCs w:val="22"/>
        </w:rPr>
        <w:t xml:space="preserve"> visitor mode adds noise for marginal gain. Defer indefinitely; continue to weight ranking for predicted-visitor queries within the unified surface.</w:t>
      </w:r>
    </w:p>
    <w:p>
      <w:pPr>
        <w:pStyle w:val="ListParagraph"/>
        <w:numPr>
          <w:ilvl w:val="0"/>
          <w:numId w:val="3"/>
        </w:numPr>
        <w:spacing w:after="40" w:before="40" w:line="280"/>
      </w:pPr>
      <w:r>
        <w:rPr>
          <w:rFonts w:ascii="Arial" w:cs="Arial" w:eastAsia="Arial" w:hAnsi="Arial"/>
          <w:b/>
          <w:bCs/>
          <w:sz w:val="22"/>
          <w:szCs w:val="22"/>
        </w:rPr>
        <w:t xml:space="preserve">Closer to 50/50 or seasonal swing:</w:t>
      </w:r>
      <w:r>
        <w:rPr>
          <w:rFonts w:ascii="Arial" w:cs="Arial" w:eastAsia="Arial" w:hAnsi="Arial"/>
          <w:sz w:val="22"/>
          <w:szCs w:val="22"/>
        </w:rPr>
        <w:t xml:space="preserve"> explicit visitor mode UI is justified. Ship as a content surface (different ranking, different copy) on the </w:t>
      </w:r>
      <w:r>
        <w:rPr>
          <w:rFonts w:ascii="Arial" w:cs="Arial" w:eastAsia="Arial" w:hAnsi="Arial"/>
          <w:b/>
          <w:bCs/>
          <w:sz w:val="22"/>
          <w:szCs w:val="22"/>
        </w:rPr>
        <w:t xml:space="preserve">same</w:t>
      </w:r>
      <w:r>
        <w:rPr>
          <w:rFonts w:ascii="Arial" w:cs="Arial" w:eastAsia="Arial" w:hAnsi="Arial"/>
          <w:sz w:val="22"/>
          <w:szCs w:val="22"/>
        </w:rPr>
        <w:t xml:space="preserve"> chat composer, not as a separate product.</w:t>
      </w:r>
    </w:p>
    <w:p>
      <w:pPr>
        <w:pBdr>
          <w:left w:val="single" w:color="0E6E7C" w:sz="24" w:space="12"/>
        </w:pBdr>
        <w:spacing w:after="160" w:before="160" w:line="300"/>
        <w:ind w:left="240"/>
      </w:pPr>
      <w:r>
        <w:rPr>
          <w:rFonts w:ascii="Arial" w:cs="Arial" w:eastAsia="Arial" w:hAnsi="Arial"/>
          <w:sz w:val="22"/>
          <w:szCs w:val="22"/>
        </w:rPr>
        <w:t xml:space="preserve">Phase 4 risk note: "separate product" framing is where "operating system for Lake Havasu" creep most likely re-enters. Hold the line on a single composer.</w:t>
      </w:r>
    </w:p>
    <w:p>
      <w:pPr>
        <w:pStyle w:val="Heading2"/>
        <w:spacing w:after="120" w:before="280"/>
      </w:pPr>
      <w:r>
        <w:rPr>
          <w:rFonts w:ascii="Arial" w:cs="Arial" w:eastAsia="Arial" w:hAnsi="Arial"/>
          <w:b/>
          <w:bCs/>
          <w:color w:val="0E6E7C"/>
          <w:sz w:val="28"/>
          <w:szCs w:val="28"/>
        </w:rPr>
        <w:t xml:space="preserve">4. Recommendation Policy in Chat</w:t>
      </w:r>
    </w:p>
    <w:p>
      <w:pPr>
        <w:spacing w:after="100" w:before="100" w:line="300"/>
      </w:pPr>
      <w:r>
        <w:rPr>
          <w:rFonts w:ascii="Arial" w:cs="Arial" w:eastAsia="Arial" w:hAnsi="Arial"/>
          <w:sz w:val="22"/>
          <w:szCs w:val="22"/>
        </w:rPr>
        <w:t xml:space="preserve">Spotlight on /home works because the slot is visually separate and the "paid placement" label is unambiguous. In chat, the bot has to </w:t>
      </w:r>
      <w:r>
        <w:rPr>
          <w:rFonts w:ascii="Arial" w:cs="Arial" w:eastAsia="Arial" w:hAnsi="Arial"/>
          <w:b/>
          <w:bCs/>
          <w:sz w:val="22"/>
          <w:szCs w:val="22"/>
        </w:rPr>
        <w:t xml:space="preserve">actively choose</w:t>
      </w:r>
      <w:r>
        <w:rPr>
          <w:rFonts w:ascii="Arial" w:cs="Arial" w:eastAsia="Arial" w:hAnsi="Arial"/>
          <w:sz w:val="22"/>
          <w:szCs w:val="22"/>
        </w:rPr>
        <w:t xml:space="preserve"> what to surface. The policy must be explicit, deterministic, and tested in the eval harness — not improvised at runtime by an LLM.</w:t>
      </w:r>
    </w:p>
    <w:p>
      <w:pPr>
        <w:pStyle w:val="Heading3"/>
        <w:spacing w:after="100" w:before="200"/>
      </w:pPr>
      <w:r>
        <w:rPr>
          <w:rFonts w:ascii="Arial" w:cs="Arial" w:eastAsia="Arial" w:hAnsi="Arial"/>
          <w:b/>
          <w:bCs/>
          <w:sz w:val="24"/>
          <w:szCs w:val="24"/>
        </w:rPr>
        <w:t xml:space="preserve">4.1 Three placement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Query type</w:t>
            </w:r>
          </w:p>
        </w:tc>
        <w:tc>
          <w:tcPr>
            <w:tcW w:type="dxa" w:w="44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Placement rule</w:t>
            </w:r>
          </w:p>
        </w:tc>
        <w:tc>
          <w:tcPr>
            <w:tcW w:type="dxa" w:w="296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Example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Specific quality</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Organic ranking only. Sponsored not eligible.</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"Best mechanic for older Toyotas"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Generic category</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Sponsored slot eligible, must be labeled, organic alternatives shown.</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"I need a plumber"</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Emergency / urgent</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Organic by reliability signal first. Sponsored permitted only if it meets reliability bar.</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"Plumber, water leak right now"</w:t>
            </w:r>
          </w:p>
        </w:tc>
      </w:tr>
    </w:tbl>
    <w:p>
      <w:pPr>
        <w:pStyle w:val="Heading3"/>
        <w:spacing w:after="100" w:before="200"/>
      </w:pPr>
      <w:r>
        <w:rPr>
          <w:rFonts w:ascii="Arial" w:cs="Arial" w:eastAsia="Arial" w:hAnsi="Arial"/>
          <w:b/>
          <w:bCs/>
          <w:sz w:val="24"/>
          <w:szCs w:val="24"/>
        </w:rPr>
        <w:t xml:space="preserve">4.2 The deterministic disclosure renderer</w:t>
      </w:r>
    </w:p>
    <w:p>
      <w:pPr>
        <w:spacing w:after="100" w:before="100" w:line="300"/>
      </w:pPr>
      <w:r>
        <w:rPr>
          <w:rFonts w:ascii="Arial" w:cs="Arial" w:eastAsia="Arial" w:hAnsi="Arial"/>
          <w:sz w:val="22"/>
          <w:szCs w:val="22"/>
        </w:rPr>
        <w:t xml:space="preserve">Architecturally consistent with `tier2_catalog_render.py`. New module `app/chat/disclosure_render.py`. Owns:</w:t>
      </w:r>
    </w:p>
    <w:p>
      <w:pPr>
        <w:pStyle w:val="ListParagraph"/>
        <w:numPr>
          <w:ilvl w:val="0"/>
          <w:numId w:val="3"/>
        </w:numPr>
        <w:spacing w:after="40" w:before="40" w:line="280"/>
      </w:pPr>
      <w:r>
        <w:rPr>
          <w:rFonts w:ascii="Arial" w:cs="Arial" w:eastAsia="Arial" w:hAnsi="Arial"/>
          <w:b/>
          <w:bCs/>
          <w:sz w:val="22"/>
          <w:szCs w:val="22"/>
        </w:rPr>
        <w:t xml:space="preserve">Placement regime selection.</w:t>
      </w:r>
      <w:r>
        <w:rPr>
          <w:rFonts w:ascii="Arial" w:cs="Arial" w:eastAsia="Arial" w:hAnsi="Arial"/>
          <w:sz w:val="22"/>
          <w:szCs w:val="22"/>
        </w:rPr>
        <w:t xml:space="preserve"> Reads the query's intent classification + sub-intent and routes to one of the three regimes above. Pure function, fully testable.</w:t>
      </w:r>
    </w:p>
    <w:p>
      <w:pPr>
        <w:pStyle w:val="ListParagraph"/>
        <w:numPr>
          <w:ilvl w:val="0"/>
          <w:numId w:val="3"/>
        </w:numPr>
        <w:spacing w:after="40" w:before="40" w:line="280"/>
      </w:pPr>
      <w:r>
        <w:rPr>
          <w:rFonts w:ascii="Arial" w:cs="Arial" w:eastAsia="Arial" w:hAnsi="Arial"/>
          <w:b/>
          <w:bCs/>
          <w:sz w:val="22"/>
          <w:szCs w:val="22"/>
        </w:rPr>
        <w:t xml:space="preserve">Disclosure word.</w:t>
      </w:r>
      <w:r>
        <w:rPr>
          <w:rFonts w:ascii="Arial" w:cs="Arial" w:eastAsia="Arial" w:hAnsi="Arial"/>
          <w:sz w:val="22"/>
          <w:szCs w:val="22"/>
        </w:rPr>
        <w:t xml:space="preserve"> Always "Sponsored," never "Featured," never "Partner," never "Recommended." One token, baked into the template.</w:t>
      </w:r>
    </w:p>
    <w:p>
      <w:pPr>
        <w:pStyle w:val="ListParagraph"/>
        <w:numPr>
          <w:ilvl w:val="0"/>
          <w:numId w:val="3"/>
        </w:numPr>
        <w:spacing w:after="40" w:before="40" w:line="280"/>
      </w:pPr>
      <w:r>
        <w:rPr>
          <w:rFonts w:ascii="Arial" w:cs="Arial" w:eastAsia="Arial" w:hAnsi="Arial"/>
          <w:b/>
          <w:bCs/>
          <w:sz w:val="22"/>
          <w:szCs w:val="22"/>
        </w:rPr>
        <w:t xml:space="preserve">Tone allowlist.</w:t>
      </w:r>
      <w:r>
        <w:rPr>
          <w:rFonts w:ascii="Arial" w:cs="Arial" w:eastAsia="Arial" w:hAnsi="Arial"/>
          <w:sz w:val="22"/>
          <w:szCs w:val="22"/>
        </w:rPr>
        <w:t xml:space="preserve"> Allowed: factual descriptors drawn from the verified record ("Family-run since 2004. After-hours line through Saturday."). Disallowed: evaluative or superlative language not present in the record ("Best in town," "locals love them," "highly recommended") — never for paid placements unless the claim is sourced and verifiable.</w:t>
      </w:r>
    </w:p>
    <w:p>
      <w:pPr>
        <w:pStyle w:val="ListParagraph"/>
        <w:numPr>
          <w:ilvl w:val="0"/>
          <w:numId w:val="3"/>
        </w:numPr>
        <w:spacing w:after="40" w:before="40" w:line="280"/>
      </w:pPr>
      <w:r>
        <w:rPr>
          <w:rFonts w:ascii="Arial" w:cs="Arial" w:eastAsia="Arial" w:hAnsi="Arial"/>
          <w:b/>
          <w:bCs/>
          <w:sz w:val="22"/>
          <w:szCs w:val="22"/>
        </w:rPr>
        <w:t xml:space="preserve">Output shape.</w:t>
      </w:r>
      <w:r>
        <w:rPr>
          <w:rFonts w:ascii="Arial" w:cs="Arial" w:eastAsia="Arial" w:hAnsi="Arial"/>
          <w:sz w:val="22"/>
          <w:szCs w:val="22"/>
        </w:rPr>
        <w:t xml:space="preserve"> Returns a `SponsoredBlock` struct with fields `disclosure: str`, `body: str`, `cta: Optional[str]`, `attribution: str`. The Tier 2 / Tier 3 formatter receives this struct and emits it verbatim — no LLM rephrasing.</w:t>
      </w:r>
    </w:p>
    <w:p>
      <w:pPr>
        <w:pStyle w:val="Heading3"/>
        <w:spacing w:after="100" w:before="200"/>
      </w:pPr>
      <w:r>
        <w:rPr>
          <w:rFonts w:ascii="Arial" w:cs="Arial" w:eastAsia="Arial" w:hAnsi="Arial"/>
          <w:b/>
          <w:bCs/>
          <w:sz w:val="24"/>
          <w:szCs w:val="24"/>
        </w:rPr>
        <w:t xml:space="preserve">4.3 Eval harness extension</w:t>
      </w:r>
    </w:p>
    <w:p>
      <w:pPr>
        <w:spacing w:after="100" w:before="100" w:line="300"/>
      </w:pPr>
      <w:r>
        <w:rPr>
          <w:rFonts w:ascii="Arial" w:cs="Arial" w:eastAsia="Arial" w:hAnsi="Arial"/>
          <w:sz w:val="22"/>
          <w:szCs w:val="22"/>
        </w:rPr>
        <w:t xml:space="preserve">Confabulation is one axis. Disclosure compliance is another. Build a test set of queries that include sponsored-eligible categories and assert:</w:t>
      </w:r>
    </w:p>
    <w:p>
      <w:pPr>
        <w:pStyle w:val="ListParagraph"/>
        <w:numPr>
          <w:ilvl w:val="0"/>
          <w:numId w:val="2"/>
        </w:numPr>
        <w:spacing w:after="40" w:before="40" w:line="280"/>
      </w:pPr>
      <w:r>
        <w:rPr>
          <w:rFonts w:ascii="Arial" w:cs="Arial" w:eastAsia="Arial" w:hAnsi="Arial"/>
          <w:sz w:val="22"/>
          <w:szCs w:val="22"/>
        </w:rPr>
        <w:t xml:space="preserve">Every sponsored mention is labeled with the canonical disclosure word.</w:t>
      </w:r>
    </w:p>
    <w:p>
      <w:pPr>
        <w:pStyle w:val="ListParagraph"/>
        <w:numPr>
          <w:ilvl w:val="0"/>
          <w:numId w:val="2"/>
        </w:numPr>
        <w:spacing w:after="40" w:before="40" w:line="280"/>
      </w:pPr>
      <w:r>
        <w:rPr>
          <w:rFonts w:ascii="Arial" w:cs="Arial" w:eastAsia="Arial" w:hAnsi="Arial"/>
          <w:sz w:val="22"/>
          <w:szCs w:val="22"/>
        </w:rPr>
        <w:t xml:space="preserve">Tone-rule violations are zero.</w:t>
      </w:r>
    </w:p>
    <w:p>
      <w:pPr>
        <w:pStyle w:val="ListParagraph"/>
        <w:numPr>
          <w:ilvl w:val="0"/>
          <w:numId w:val="2"/>
        </w:numPr>
        <w:spacing w:after="40" w:before="40" w:line="280"/>
      </w:pPr>
      <w:r>
        <w:rPr>
          <w:rFonts w:ascii="Arial" w:cs="Arial" w:eastAsia="Arial" w:hAnsi="Arial"/>
          <w:sz w:val="22"/>
          <w:szCs w:val="22"/>
        </w:rPr>
        <w:t xml:space="preserve">Organic alternatives appear when the regime requires them.</w:t>
      </w:r>
    </w:p>
    <w:p>
      <w:pPr>
        <w:pStyle w:val="ListParagraph"/>
        <w:numPr>
          <w:ilvl w:val="0"/>
          <w:numId w:val="2"/>
        </w:numPr>
        <w:spacing w:after="40" w:before="40" w:line="280"/>
      </w:pPr>
      <w:r>
        <w:rPr>
          <w:rFonts w:ascii="Arial" w:cs="Arial" w:eastAsia="Arial" w:hAnsi="Arial"/>
          <w:sz w:val="22"/>
          <w:szCs w:val="22"/>
        </w:rPr>
        <w:t xml:space="preserve">Specific-quality queries return zero sponsored placements.</w:t>
      </w:r>
    </w:p>
    <w:p>
      <w:pPr>
        <w:pStyle w:val="ListParagraph"/>
        <w:numPr>
          <w:ilvl w:val="0"/>
          <w:numId w:val="2"/>
        </w:numPr>
        <w:spacing w:after="40" w:before="40" w:line="280"/>
      </w:pPr>
      <w:r>
        <w:rPr>
          <w:rFonts w:ascii="Arial" w:cs="Arial" w:eastAsia="Arial" w:hAnsi="Arial"/>
          <w:sz w:val="22"/>
          <w:szCs w:val="22"/>
        </w:rPr>
        <w:t xml:space="preserve">Emergency queries pass the reliability-bar gate before any sponsored placement appears.</w:t>
      </w:r>
    </w:p>
    <w:p>
      <w:pPr>
        <w:pBdr>
          <w:left w:val="single" w:color="0E6E7C" w:sz="24" w:space="12"/>
        </w:pBdr>
        <w:spacing w:after="160" w:before="160" w:line="300"/>
        <w:ind w:left="240"/>
      </w:pPr>
      <w:r>
        <w:rPr>
          <w:rFonts w:ascii="Arial" w:cs="Arial" w:eastAsia="Arial" w:hAnsi="Arial"/>
          <w:b/>
          <w:bCs/>
          <w:sz w:val="22"/>
          <w:szCs w:val="22"/>
        </w:rPr>
        <w:t xml:space="preserve">This is the keystone Phase 1 deliverable for monetization.</w:t>
      </w:r>
      <w:r>
        <w:rPr>
          <w:rFonts w:ascii="Arial" w:cs="Arial" w:eastAsia="Arial" w:hAnsi="Arial"/>
          <w:sz w:val="22"/>
          <w:szCs w:val="22"/>
        </w:rPr>
        <w:t xml:space="preserve"> Premier tier inventory does not open until this harness is green and the deterministic renderer is in production. Selling Premier under an LLM-improvised disclosure path is the single highest-risk shortcut available, and the one whose retrofit cost grows fastest.</w:t>
      </w:r>
    </w:p>
    <w:p>
      <w:pPr>
        <w:pStyle w:val="Heading2"/>
        <w:spacing w:after="120" w:before="280"/>
      </w:pPr>
      <w:r>
        <w:rPr>
          <w:rFonts w:ascii="Arial" w:cs="Arial" w:eastAsia="Arial" w:hAnsi="Arial"/>
          <w:b/>
          <w:bCs/>
          <w:color w:val="0E6E7C"/>
          <w:sz w:val="28"/>
          <w:szCs w:val="28"/>
        </w:rPr>
        <w:t xml:space="preserve">5. Distribution</w:t>
      </w:r>
    </w:p>
    <w:p>
      <w:pPr>
        <w:spacing w:after="100" w:before="100" w:line="300"/>
      </w:pPr>
      <w:r>
        <w:rPr>
          <w:rFonts w:ascii="Arial" w:cs="Arial" w:eastAsia="Arial" w:hAnsi="Arial"/>
          <w:sz w:val="22"/>
          <w:szCs w:val="22"/>
        </w:rPr>
        <w:t xml:space="preserve">The product can be excellent and still die from absence. Hyperlocal distribution has cheap, measurable physical channels that most digital startups overlook. The discipline is to not deploy all of them at once.</w:t>
      </w:r>
    </w:p>
    <w:p>
      <w:pPr>
        <w:pStyle w:val="Heading3"/>
        <w:spacing w:after="100" w:before="200"/>
      </w:pPr>
      <w:r>
        <w:rPr>
          <w:rFonts w:ascii="Arial" w:cs="Arial" w:eastAsia="Arial" w:hAnsi="Arial"/>
          <w:b/>
          <w:bCs/>
          <w:sz w:val="24"/>
          <w:szCs w:val="24"/>
        </w:rPr>
        <w:t xml:space="preserve">5.1 Define the metric in SQL before the channel launches</w:t>
      </w:r>
    </w:p>
    <w:p>
      <w:pPr>
        <w:spacing w:after="100" w:before="100" w:line="300"/>
      </w:pPr>
      <w:r>
        <w:rPr>
          <w:rFonts w:ascii="Arial" w:cs="Arial" w:eastAsia="Arial" w:hAnsi="Arial"/>
          <w:sz w:val="22"/>
          <w:szCs w:val="22"/>
        </w:rPr>
        <w:t xml:space="preserve">Every channel gets a unique URL with UTM parameters. The conversion metric, defined operationally:</w:t>
      </w:r>
    </w:p>
    <w:p>
      <w:pPr>
        <w:pBdr>
          <w:left w:val="single" w:color="0E6E7C" w:sz="24" w:space="12"/>
        </w:pBdr>
        <w:spacing w:after="160" w:before="160" w:line="300"/>
        <w:ind w:left="240"/>
      </w:pPr>
      <w:r>
        <w:rPr>
          <w:rFonts w:ascii="Arial" w:cs="Arial" w:eastAsia="Arial" w:hAnsi="Arial"/>
          <w:b/>
          <w:bCs/>
          <w:sz w:val="22"/>
          <w:szCs w:val="22"/>
        </w:rPr>
        <w:t xml:space="preserve">Returning user attributed to channel UTM</w:t>
      </w:r>
      <w:r>
        <w:rPr>
          <w:rFonts w:ascii="Arial" w:cs="Arial" w:eastAsia="Arial" w:hAnsi="Arial"/>
          <w:sz w:val="22"/>
          <w:szCs w:val="22"/>
        </w:rPr>
        <w:t xml:space="preserve"> = unique session whose first chat query carried the channel's UTM, </w:t>
      </w:r>
      <w:r>
        <w:rPr>
          <w:rFonts w:ascii="Arial" w:cs="Arial" w:eastAsia="Arial" w:hAnsi="Arial"/>
          <w:b/>
          <w:bCs/>
          <w:sz w:val="22"/>
          <w:szCs w:val="22"/>
        </w:rPr>
        <w:t xml:space="preserve">and</w:t>
      </w:r>
      <w:r>
        <w:rPr>
          <w:rFonts w:ascii="Arial" w:cs="Arial" w:eastAsia="Arial" w:hAnsi="Arial"/>
          <w:sz w:val="22"/>
          <w:szCs w:val="22"/>
        </w:rPr>
        <w:t xml:space="preserve"> at least one subsequent chat session occurs within 14 days from a non-UTM source. Computed against `chat_logs` joined to a UTM landing log table.</w:t>
      </w:r>
    </w:p>
    <w:p>
      <w:pPr>
        <w:spacing w:after="100" w:before="100" w:line="300"/>
      </w:pPr>
      <w:r>
        <w:rPr>
          <w:rFonts w:ascii="Arial" w:cs="Arial" w:eastAsia="Arial" w:hAnsi="Arial"/>
          <w:sz w:val="22"/>
          <w:szCs w:val="22"/>
        </w:rPr>
        <w:t xml:space="preserve">Specify this query before any cards print. The measurement debate happens in the codebase, not during rollout — otherwise the test signal is gone the moment results are ambiguous.</w:t>
      </w:r>
    </w:p>
    <w:p>
      <w:pPr>
        <w:pStyle w:val="Heading3"/>
        <w:spacing w:after="100" w:before="200"/>
      </w:pPr>
      <w:r>
        <w:rPr>
          <w:rFonts w:ascii="Arial" w:cs="Arial" w:eastAsia="Arial" w:hAnsi="Arial"/>
          <w:b/>
          <w:bCs/>
          <w:sz w:val="24"/>
          <w:szCs w:val="24"/>
        </w:rPr>
        <w:t xml:space="preserve">5.2 Channel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100"/>
        <w:gridCol w:w="4060"/>
      </w:tblGrid>
      <w:tr>
        <w:trPr>
          <w:tblHeader/>
        </w:trPr>
        <w:tc>
          <w:tcPr>
            <w:tcW w:type="dxa" w:w="8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Priority</w:t>
            </w:r>
          </w:p>
        </w:tc>
        <w:tc>
          <w:tcPr>
            <w:tcW w:type="dxa" w:w="24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Channel</w:t>
            </w:r>
          </w:p>
        </w:tc>
        <w:tc>
          <w:tcPr>
            <w:tcW w:type="dxa" w:w="21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Cost / friction</w:t>
            </w:r>
          </w:p>
        </w:tc>
        <w:tc>
          <w:tcPr>
            <w:tcW w:type="dxa" w:w="406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Why first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Airbnb / VRBO host welcome cards</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Low / outbound email + printable</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Highest leverage; visitors arrive in decision mode; clean N for measurement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Chamber of Commerce co-branded directory</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Medium / relationship</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Different timeline; runs in parallel</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Marina + launch ramp QR signage</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Low / city + marina ops</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Tourism-heavy, seasonal, contextually relevant at the decision point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Hotel + resort concierge partnerships</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High / B2B sales</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More guests per partnership; sequence after Airbnb data validates the welcome-card model</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Local SEO landing pages</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Low cash / high lead time</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Foundational but slow; start now, expect returns at month 6+</w:t>
            </w:r>
          </w:p>
        </w:tc>
      </w:tr>
    </w:tbl>
    <w:p>
      <w:pPr>
        <w:pStyle w:val="Heading3"/>
        <w:spacing w:after="100" w:before="200"/>
      </w:pPr>
      <w:r>
        <w:rPr>
          <w:rFonts w:ascii="Arial" w:cs="Arial" w:eastAsia="Arial" w:hAnsi="Arial"/>
          <w:b/>
          <w:bCs/>
          <w:sz w:val="24"/>
          <w:szCs w:val="24"/>
        </w:rPr>
        <w:t xml:space="preserve">5.3 Channel 1 specification — Airbnb hosts</w:t>
      </w:r>
    </w:p>
    <w:p>
      <w:pPr>
        <w:pStyle w:val="ListParagraph"/>
        <w:numPr>
          <w:ilvl w:val="0"/>
          <w:numId w:val="2"/>
        </w:numPr>
        <w:spacing w:after="40" w:before="40" w:line="280"/>
      </w:pPr>
      <w:r>
        <w:rPr>
          <w:rFonts w:ascii="Arial" w:cs="Arial" w:eastAsia="Arial" w:hAnsi="Arial"/>
          <w:sz w:val="22"/>
          <w:szCs w:val="22"/>
        </w:rPr>
        <w:t xml:space="preserve">Outbound email to 50 hosts. Free printable welcome card with a host-unique URL.</w:t>
      </w:r>
    </w:p>
    <w:p>
      <w:pPr>
        <w:pStyle w:val="ListParagraph"/>
        <w:numPr>
          <w:ilvl w:val="0"/>
          <w:numId w:val="2"/>
        </w:numPr>
        <w:spacing w:after="40" w:before="40" w:line="280"/>
      </w:pPr>
      <w:r>
        <w:rPr>
          <w:rFonts w:ascii="Arial" w:cs="Arial" w:eastAsia="Arial" w:hAnsi="Arial"/>
          <w:sz w:val="22"/>
          <w:szCs w:val="22"/>
        </w:rPr>
        <w:t xml:space="preserve">Each card carries a UTM that ties to the host (`utm_source=airbnb_host&amp;utm_campaign=welcome&amp;utm_content=&lt;host_id&gt;`).</w:t>
      </w:r>
    </w:p>
    <w:p>
      <w:pPr>
        <w:pStyle w:val="ListParagraph"/>
        <w:numPr>
          <w:ilvl w:val="0"/>
          <w:numId w:val="2"/>
        </w:numPr>
        <w:spacing w:after="40" w:before="40" w:line="280"/>
      </w:pPr>
      <w:r>
        <w:rPr>
          <w:rFonts w:ascii="Arial" w:cs="Arial" w:eastAsia="Arial" w:hAnsi="Arial"/>
          <w:sz w:val="22"/>
          <w:szCs w:val="22"/>
        </w:rPr>
        <w:t xml:space="preserve">Conversion target for scaling decision: 15% of stays produce a returning user within 14 days. Rationale: typical 4-night stay × 50 hosts × seasonal occupancy ≈ 200–400 stays / month — enough N to detect the effect.</w:t>
      </w:r>
    </w:p>
    <w:p>
      <w:pPr>
        <w:pStyle w:val="ListParagraph"/>
        <w:numPr>
          <w:ilvl w:val="0"/>
          <w:numId w:val="2"/>
        </w:numPr>
        <w:spacing w:after="40" w:before="40" w:line="280"/>
      </w:pPr>
      <w:r>
        <w:rPr>
          <w:rFonts w:ascii="Arial" w:cs="Arial" w:eastAsia="Arial" w:hAnsi="Arial"/>
          <w:sz w:val="22"/>
          <w:szCs w:val="22"/>
        </w:rPr>
        <w:t xml:space="preserve">If exceeded, scale to 200 hosts. If under by half, attribute to either card design or host engagement (track which) and iterate.</w:t>
      </w:r>
    </w:p>
    <w:p>
      <w:pPr>
        <w:pStyle w:val="Heading3"/>
        <w:spacing w:after="100" w:before="200"/>
      </w:pPr>
      <w:r>
        <w:rPr>
          <w:rFonts w:ascii="Arial" w:cs="Arial" w:eastAsia="Arial" w:hAnsi="Arial"/>
          <w:b/>
          <w:bCs/>
          <w:sz w:val="24"/>
          <w:szCs w:val="24"/>
        </w:rPr>
        <w:t xml:space="preserve">5.4 Channels worth deferring</w:t>
      </w:r>
    </w:p>
    <w:p>
      <w:pPr>
        <w:pStyle w:val="ListParagraph"/>
        <w:numPr>
          <w:ilvl w:val="0"/>
          <w:numId w:val="3"/>
        </w:numPr>
        <w:spacing w:after="40" w:before="40" w:line="280"/>
      </w:pPr>
      <w:r>
        <w:rPr>
          <w:rFonts w:ascii="Arial" w:cs="Arial" w:eastAsia="Arial" w:hAnsi="Arial"/>
          <w:sz w:val="22"/>
          <w:szCs w:val="22"/>
        </w:rPr>
        <w:t xml:space="preserve">Influencers and social ads — high cost, low signal-to-noise in a market this size.</w:t>
      </w:r>
    </w:p>
    <w:p>
      <w:pPr>
        <w:pStyle w:val="ListParagraph"/>
        <w:numPr>
          <w:ilvl w:val="0"/>
          <w:numId w:val="3"/>
        </w:numPr>
        <w:spacing w:after="40" w:before="40" w:line="280"/>
      </w:pPr>
      <w:r>
        <w:rPr>
          <w:rFonts w:ascii="Arial" w:cs="Arial" w:eastAsia="Arial" w:hAnsi="Arial"/>
          <w:sz w:val="22"/>
          <w:szCs w:val="22"/>
        </w:rPr>
        <w:t xml:space="preserve">Paid search — expensive without conversion infrastructure already in place.</w:t>
      </w:r>
    </w:p>
    <w:p>
      <w:pPr>
        <w:pStyle w:val="ListParagraph"/>
        <w:numPr>
          <w:ilvl w:val="0"/>
          <w:numId w:val="3"/>
        </w:numPr>
        <w:spacing w:after="40" w:before="40" w:line="280"/>
      </w:pPr>
      <w:r>
        <w:rPr>
          <w:rFonts w:ascii="Arial" w:cs="Arial" w:eastAsia="Arial" w:hAnsi="Arial"/>
          <w:sz w:val="22"/>
          <w:szCs w:val="22"/>
        </w:rPr>
        <w:t xml:space="preserve">Branded merch — low ROI for a product that lives in a phone browser.</w:t>
      </w:r>
    </w:p>
    <w:p>
      <w:pPr>
        <w:pStyle w:val="ListParagraph"/>
        <w:numPr>
          <w:ilvl w:val="0"/>
          <w:numId w:val="3"/>
        </w:numPr>
        <w:spacing w:after="40" w:before="40" w:line="280"/>
      </w:pPr>
      <w:r>
        <w:rPr>
          <w:rFonts w:ascii="Arial" w:cs="Arial" w:eastAsia="Arial" w:hAnsi="Arial"/>
          <w:sz w:val="22"/>
          <w:szCs w:val="22"/>
        </w:rPr>
        <w:t xml:space="preserve">Event sponsorships — only if a partner brings the inventory (Desert Storm, Bluewater) and there's a measurable surface for visitors mid-event.</w:t>
      </w:r>
    </w:p>
    <w:p>
      <w:pPr>
        <w:pStyle w:val="Heading2"/>
        <w:spacing w:after="120" w:before="280"/>
      </w:pPr>
      <w:r>
        <w:rPr>
          <w:rFonts w:ascii="Arial" w:cs="Arial" w:eastAsia="Arial" w:hAnsi="Arial"/>
          <w:b/>
          <w:bCs/>
          <w:color w:val="0E6E7C"/>
          <w:sz w:val="28"/>
          <w:szCs w:val="28"/>
        </w:rPr>
        <w:t xml:space="preserve">6. UI Surface Correctness</w:t>
      </w:r>
    </w:p>
    <w:p>
      <w:pPr>
        <w:spacing w:after="100" w:before="100" w:line="300"/>
      </w:pPr>
      <w:r>
        <w:rPr>
          <w:rFonts w:ascii="Arial" w:cs="Arial" w:eastAsia="Arial" w:hAnsi="Arial"/>
          <w:sz w:val="22"/>
          <w:szCs w:val="22"/>
        </w:rPr>
        <w:t xml:space="preserve">Phase 1 inherits the redesign direction in `CRITIQUE_AND_REDESIGN.md` (Ocean Tide palette, magazine-paced grid, three card families, deterministic placeholder cycling, four-tier ad inventory). Two cross-cutting product rules reinforced from there:</w:t>
      </w:r>
    </w:p>
    <w:p>
      <w:pPr>
        <w:pStyle w:val="Heading3"/>
        <w:spacing w:after="100" w:before="200"/>
      </w:pPr>
      <w:r>
        <w:rPr>
          <w:rFonts w:ascii="Arial" w:cs="Arial" w:eastAsia="Arial" w:hAnsi="Arial"/>
          <w:b/>
          <w:bCs/>
          <w:sz w:val="24"/>
          <w:szCs w:val="24"/>
        </w:rPr>
        <w:t xml:space="preserve">6.1 Editorial outranks sponsor visually</w:t>
      </w:r>
    </w:p>
    <w:p>
      <w:pPr>
        <w:spacing w:after="100" w:before="100" w:line="300"/>
      </w:pPr>
      <w:r>
        <w:rPr>
          <w:rFonts w:ascii="Arial" w:cs="Arial" w:eastAsia="Arial" w:hAnsi="Arial"/>
          <w:sz w:val="22"/>
          <w:szCs w:val="22"/>
        </w:rPr>
        <w:t xml:space="preserve">Same shape, different weight. Editorial cards: 1px water-tone left edge, lifted shadow. Sponsored cards in the same row: 1px clay left edge, flat shadow. Two cards side by side, the editorial one wins the eye. This is real differentiation, not just a badge swap.</w:t>
      </w:r>
    </w:p>
    <w:p>
      <w:pPr>
        <w:pStyle w:val="Heading3"/>
        <w:spacing w:after="100" w:before="200"/>
      </w:pPr>
      <w:r>
        <w:rPr>
          <w:rFonts w:ascii="Arial" w:cs="Arial" w:eastAsia="Arial" w:hAnsi="Arial"/>
          <w:b/>
          <w:bCs/>
          <w:sz w:val="24"/>
          <w:szCs w:val="24"/>
        </w:rPr>
        <w:t xml:space="preserve">6.2 One promoted card per page, not per row</w:t>
      </w:r>
    </w:p>
    <w:p>
      <w:pPr>
        <w:spacing w:after="100" w:before="100" w:line="300"/>
      </w:pPr>
      <w:r>
        <w:rPr>
          <w:rFonts w:ascii="Arial" w:cs="Arial" w:eastAsia="Arial" w:hAnsi="Arial"/>
          <w:sz w:val="22"/>
          <w:szCs w:val="22"/>
        </w:rPr>
        <w:t xml:space="preserve">If two are sold for the same week, alternate days. Saturating editorial sections breaks trust faster than missing a slot breaks revenue.</w:t>
      </w:r>
    </w:p>
    <w:p>
      <w:pPr>
        <w:pStyle w:val="Heading3"/>
        <w:spacing w:after="100" w:before="200"/>
      </w:pPr>
      <w:r>
        <w:rPr>
          <w:rFonts w:ascii="Arial" w:cs="Arial" w:eastAsia="Arial" w:hAnsi="Arial"/>
          <w:b/>
          <w:bCs/>
          <w:sz w:val="24"/>
          <w:szCs w:val="24"/>
        </w:rPr>
        <w:t xml:space="preserve">6.3 AI content policy</w:t>
      </w:r>
    </w:p>
    <w:p>
      <w:pPr>
        <w:spacing w:after="100" w:before="100" w:line="300"/>
      </w:pPr>
      <w:r>
        <w:rPr>
          <w:rFonts w:ascii="Arial" w:cs="Arial" w:eastAsia="Arial" w:hAnsi="Arial"/>
          <w:sz w:val="22"/>
          <w:szCs w:val="22"/>
        </w:rPr>
        <w:t xml:space="preserve">AI summarization of factual content (event titles, hours, locations, schedules) is acceptable. AI editorializing (opinions, picks, mood pieces, taglines) is not. Anywhere "Hava's pick," "editor's choice," or similar curatorial language appears, the underlying call must be a human, not an LLM. `tier3_postprocess` is permitted because it summarizes factual descriptions; it must not be repurposed for opinions.</w:t>
      </w:r>
    </w:p>
    <w:p>
      <w:pPr>
        <w:pStyle w:val="Heading1"/>
        <w:spacing w:after="160" w:before="360"/>
      </w:pPr>
      <w:r>
        <w:rPr>
          <w:rFonts w:ascii="Arial" w:cs="Arial" w:eastAsia="Arial" w:hAnsi="Arial"/>
          <w:b/>
          <w:bCs/>
          <w:sz w:val="36"/>
          <w:szCs w:val="36"/>
        </w:rPr>
        <w:t xml:space="preserve">Part II — Monetization Strategy</w:t>
      </w:r>
    </w:p>
    <w:p>
      <w:pPr>
        <w:spacing w:after="160" w:before="80" w:line="320"/>
      </w:pPr>
      <w:r>
        <w:rPr>
          <w:rFonts w:ascii="Georgia" w:cs="Georgia" w:eastAsia="Georgia" w:hAnsi="Georgia"/>
          <w:i/>
          <w:iCs/>
          <w:color w:val="333333"/>
          <w:sz w:val="24"/>
          <w:szCs w:val="24"/>
        </w:rPr>
        <w:t xml:space="preserve">Pricing is a function of market depth, not ambition. The category math sets the ceiling; the trust pipeline determines whether premium tiers retain or churn.</w:t>
      </w:r>
    </w:p>
    <w:p>
      <w:pPr>
        <w:pStyle w:val="Heading2"/>
        <w:spacing w:after="120" w:before="280"/>
      </w:pPr>
      <w:r>
        <w:rPr>
          <w:rFonts w:ascii="Arial" w:cs="Arial" w:eastAsia="Arial" w:hAnsi="Arial"/>
          <w:b/>
          <w:bCs/>
          <w:color w:val="0E6E7C"/>
          <w:sz w:val="28"/>
          <w:szCs w:val="28"/>
        </w:rPr>
        <w:t xml:space="preserve">7. Market Sizing Reality</w:t>
      </w:r>
    </w:p>
    <w:p>
      <w:pPr>
        <w:spacing w:after="100" w:before="100" w:line="300"/>
      </w:pPr>
      <w:r>
        <w:rPr>
          <w:rFonts w:ascii="Arial" w:cs="Arial" w:eastAsia="Arial" w:hAnsi="Arial"/>
          <w:sz w:val="22"/>
          <w:szCs w:val="22"/>
        </w:rPr>
        <w:t xml:space="preserve">Lake Havasu City has roughly 57,000 residents plus a seasonal visitor population that swells by tens of thousands during peak windows (snowbird season, spring break, summer lake season, balloon festival, boat shows). The monetization model has to work against this specific market — not a generic urban SaaS template.</w:t>
      </w:r>
    </w:p>
    <w:p>
      <w:pPr>
        <w:pStyle w:val="Heading3"/>
        <w:spacing w:after="100" w:before="200"/>
      </w:pPr>
      <w:r>
        <w:rPr>
          <w:rFonts w:ascii="Arial" w:cs="Arial" w:eastAsia="Arial" w:hAnsi="Arial"/>
          <w:b/>
          <w:bCs/>
          <w:sz w:val="24"/>
          <w:szCs w:val="24"/>
        </w:rPr>
        <w:t xml:space="preserve">7.1 Honest category math</w:t>
      </w:r>
    </w:p>
    <w:p>
      <w:pPr>
        <w:spacing w:after="100" w:before="100" w:line="300"/>
      </w:pPr>
      <w:r>
        <w:rPr>
          <w:rFonts w:ascii="Arial" w:cs="Arial" w:eastAsia="Arial" w:hAnsi="Arial"/>
          <w:sz w:val="22"/>
          <w:szCs w:val="22"/>
        </w:rPr>
        <w:t xml:space="preserve">Approximate count of paying-eligible businesses by category (estimates; refine with own data as it accrues):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0"/>
        <w:gridCol w:w="1700"/>
        <w:gridCol w:w="2200"/>
        <w:gridCol w:w="2080"/>
      </w:tblGrid>
      <w:tr>
        <w:trPr>
          <w:tblHeader/>
        </w:trPr>
        <w:tc>
          <w:tcPr>
            <w:tcW w:type="dxa" w:w="338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Category</w:t>
            </w:r>
          </w:p>
        </w:tc>
        <w:tc>
          <w:tcPr>
            <w:tcW w:type="dxa" w:w="17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Total in town</w:t>
            </w:r>
          </w:p>
        </w:tc>
        <w:tc>
          <w:tcPr>
            <w:tcW w:type="dxa" w:w="22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Plausibly payers</w:t>
            </w:r>
          </w:p>
        </w:tc>
        <w:tc>
          <w:tcPr>
            <w:tcW w:type="dxa" w:w="208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Premium-tier slots</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HVAC / plumbing / electrical</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20–30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8–12</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2–3 per sub-cat</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Restaurants (worth featuring)</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~50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20–30</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3–5</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Pool / spa service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10–15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5–8</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Auto / boat repair</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25–40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10–15</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2–3</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Real estate (agents/teams)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100+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10–15</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3</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Medical / dental / urgent care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30–50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5–10</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Tourism operators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30–50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10–20</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Affiliate model</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Beauty / fitness / personal</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60–80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10–15</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w:t>
            </w:r>
          </w:p>
        </w:tc>
      </w:tr>
    </w:tbl>
    <w:p>
      <w:pPr>
        <w:spacing w:after="100" w:before="100" w:line="300"/>
      </w:pPr>
      <w:r>
        <w:rPr>
          <w:rFonts w:ascii="Arial" w:cs="Arial" w:eastAsia="Arial" w:hAnsi="Arial"/>
          <w:sz w:val="22"/>
          <w:szCs w:val="22"/>
        </w:rPr>
        <w:t xml:space="preserve">The realistic ceiling on Premier-tier slots across all categories is 25–35. Featured-tier has more room — 80–120 across the catalog. These numbers set pricing expectations, not the other way around.</w:t>
      </w:r>
    </w:p>
    <w:p>
      <w:pPr>
        <w:pStyle w:val="Heading2"/>
        <w:spacing w:after="120" w:before="280"/>
      </w:pPr>
      <w:r>
        <w:rPr>
          <w:rFonts w:ascii="Arial" w:cs="Arial" w:eastAsia="Arial" w:hAnsi="Arial"/>
          <w:b/>
          <w:bCs/>
          <w:color w:val="0E6E7C"/>
          <w:sz w:val="28"/>
          <w:szCs w:val="28"/>
        </w:rPr>
        <w:t xml:space="preserve">8. Tier Structure &amp; Sequencing</w:t>
      </w:r>
    </w:p>
    <w:p>
      <w:pPr>
        <w:pStyle w:val="Heading3"/>
        <w:spacing w:after="100" w:before="200"/>
      </w:pPr>
      <w:r>
        <w:rPr>
          <w:rFonts w:ascii="Arial" w:cs="Arial" w:eastAsia="Arial" w:hAnsi="Arial"/>
          <w:b/>
          <w:bCs/>
          <w:sz w:val="24"/>
          <w:szCs w:val="24"/>
        </w:rPr>
        <w:t xml:space="preserve">8.1 Recommended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500"/>
        <w:gridCol w:w="1660"/>
      </w:tblGrid>
      <w:tr>
        <w:trPr>
          <w:tblHeader/>
        </w:trPr>
        <w:tc>
          <w:tcPr>
            <w:tcW w:type="dxa" w:w="17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Tier</w:t>
            </w:r>
          </w:p>
        </w:tc>
        <w:tc>
          <w:tcPr>
            <w:tcW w:type="dxa" w:w="15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Price/mo</w:t>
            </w:r>
          </w:p>
        </w:tc>
        <w:tc>
          <w:tcPr>
            <w:tcW w:type="dxa" w:w="45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Includes</w:t>
            </w:r>
          </w:p>
        </w:tc>
        <w:tc>
          <w:tcPr>
            <w:tcW w:type="dxa" w:w="166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Target volume</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Free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$0</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Basic listing, claimable profile, organic recommendation eligibility</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Unlimited</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Featured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$59</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Enhanced profile, photos, custom blurb, contact-button analytics, priority over Free in organic ties</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60–120 businesses</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Spotlight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$179</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Homepage placement (rotated by category), eligible for chat sponsored slot under disclosure rules</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20–30 businesses</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Category Premier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$399</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Top sponsored slot in defined category, capped 1–2 per category, includes Featured + Spotlight benefits</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20–30 across all</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Tourism Affiliate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8–15% rev share</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No upfront fee; revenue share on bookings driven through Hava (boat rental, tour, lodging)</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10–25 operators</w:t>
            </w:r>
          </w:p>
        </w:tc>
      </w:tr>
    </w:tbl>
    <w:p>
      <w:pPr>
        <w:pBdr>
          <w:left w:val="single" w:color="0E6E7C" w:sz="24" w:space="12"/>
        </w:pBdr>
        <w:spacing w:after="160" w:before="160" w:line="300"/>
        <w:ind w:left="240"/>
      </w:pPr>
      <w:r>
        <w:rPr>
          <w:rFonts w:ascii="Arial" w:cs="Arial" w:eastAsia="Arial" w:hAnsi="Arial"/>
          <w:b/>
          <w:bCs/>
          <w:sz w:val="22"/>
          <w:szCs w:val="22"/>
        </w:rPr>
        <w:t xml:space="preserve">On Premier pricing.</w:t>
      </w:r>
      <w:r>
        <w:rPr>
          <w:rFonts w:ascii="Arial" w:cs="Arial" w:eastAsia="Arial" w:hAnsi="Arial"/>
          <w:sz w:val="22"/>
          <w:szCs w:val="22"/>
        </w:rPr>
        <w:t xml:space="preserve"> $399 replaces the "Category Dominator" $500–2000 framing from earlier analyses. $1,500/month does not survive contact with Havasu's market depth. $399 is achievable for a top HVAC company that genuinely converts leads through the platform; $1,500 produces zero customers. Treat Premier ARPU as a </w:t>
      </w:r>
      <w:r>
        <w:rPr>
          <w:rFonts w:ascii="Arial" w:cs="Arial" w:eastAsia="Arial" w:hAnsi="Arial"/>
          <w:b/>
          <w:bCs/>
          <w:sz w:val="22"/>
          <w:szCs w:val="22"/>
        </w:rPr>
        <w:t xml:space="preserve">measured output</w:t>
      </w:r>
      <w:r>
        <w:rPr>
          <w:rFonts w:ascii="Arial" w:cs="Arial" w:eastAsia="Arial" w:hAnsi="Arial"/>
          <w:sz w:val="22"/>
          <w:szCs w:val="22"/>
        </w:rPr>
        <w:t xml:space="preserve"> of Phase 3, not a pricing assumption — rebalance in Phase 4 based on twelve months of actual conversion data.</w:t>
      </w:r>
    </w:p>
    <w:p>
      <w:pPr>
        <w:pStyle w:val="Heading3"/>
        <w:spacing w:after="100" w:before="200"/>
      </w:pPr>
      <w:r>
        <w:rPr>
          <w:rFonts w:ascii="Arial" w:cs="Arial" w:eastAsia="Arial" w:hAnsi="Arial"/>
          <w:b/>
          <w:bCs/>
          <w:sz w:val="24"/>
          <w:szCs w:val="24"/>
        </w:rPr>
        <w:t xml:space="preserve">8.2 Sequencing constraints — what gates each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Tier</w:t>
            </w:r>
          </w:p>
        </w:tc>
        <w:tc>
          <w:tcPr>
            <w:tcW w:type="dxa" w:w="24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Ships when</w:t>
            </w:r>
          </w:p>
        </w:tc>
        <w:tc>
          <w:tcPr>
            <w:tcW w:type="dxa" w:w="456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Blocked by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Free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Live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Featured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Phase 1 close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Profile claim flow + analytics dashboard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Spotlight</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Phase 1 close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Homepage data correctness + rotation logic</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Category Premier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Phase 3 open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Deterministic disclosure renderer in production + §4 eval harness green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Tourism Affiliate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Phase 3 mid</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Booking attribution infrastructure + 30-operator tourism inventory</w:t>
            </w:r>
          </w:p>
        </w:tc>
      </w:tr>
    </w:tbl>
    <w:p>
      <w:pPr>
        <w:spacing w:after="100" w:before="100" w:line="300"/>
      </w:pPr>
      <w:r>
        <w:rPr>
          <w:rFonts w:ascii="Arial" w:cs="Arial" w:eastAsia="Arial" w:hAnsi="Arial"/>
          <w:sz w:val="22"/>
          <w:szCs w:val="22"/>
        </w:rPr>
        <w:t xml:space="preserve">The structural point: </w:t>
      </w:r>
      <w:r>
        <w:rPr>
          <w:rFonts w:ascii="Arial" w:cs="Arial" w:eastAsia="Arial" w:hAnsi="Arial"/>
          <w:b/>
          <w:bCs/>
          <w:sz w:val="22"/>
          <w:szCs w:val="22"/>
        </w:rPr>
        <w:t xml:space="preserve">Featured and Spotlight are display tier upgrades.</w:t>
      </w:r>
      <w:r>
        <w:rPr>
          <w:rFonts w:ascii="Arial" w:cs="Arial" w:eastAsia="Arial" w:hAnsi="Arial"/>
          <w:sz w:val="22"/>
          <w:szCs w:val="22"/>
        </w:rPr>
        <w:t xml:space="preserve"> They don't gate the chat layer. Premier gates the chat layer — and that's the one that requires Phase 1 trust work to be solid before inventory opens.</w:t>
      </w:r>
    </w:p>
    <w:p>
      <w:pPr>
        <w:pStyle w:val="Heading2"/>
        <w:spacing w:after="120" w:before="280"/>
      </w:pPr>
      <w:r>
        <w:rPr>
          <w:rFonts w:ascii="Arial" w:cs="Arial" w:eastAsia="Arial" w:hAnsi="Arial"/>
          <w:b/>
          <w:bCs/>
          <w:color w:val="0E6E7C"/>
          <w:sz w:val="28"/>
          <w:szCs w:val="28"/>
        </w:rPr>
        <w:t xml:space="preserve">9. Revenue Streams &amp; Year-3 Projection</w:t>
      </w:r>
    </w:p>
    <w:p>
      <w:pPr>
        <w:pStyle w:val="Heading3"/>
        <w:spacing w:after="100" w:before="200"/>
      </w:pPr>
      <w:r>
        <w:rPr>
          <w:rFonts w:ascii="Arial" w:cs="Arial" w:eastAsia="Arial" w:hAnsi="Arial"/>
          <w:b/>
          <w:bCs/>
          <w:sz w:val="24"/>
          <w:szCs w:val="24"/>
        </w:rPr>
        <w:t xml:space="preserve">9.1 Stream priority</w:t>
      </w:r>
    </w:p>
    <w:p>
      <w:pPr>
        <w:pStyle w:val="ListParagraph"/>
        <w:numPr>
          <w:ilvl w:val="0"/>
          <w:numId w:val="2"/>
        </w:numPr>
        <w:spacing w:after="40" w:before="40" w:line="280"/>
      </w:pPr>
      <w:r>
        <w:rPr>
          <w:rFonts w:ascii="Arial" w:cs="Arial" w:eastAsia="Arial" w:hAnsi="Arial"/>
          <w:b/>
          <w:bCs/>
          <w:sz w:val="22"/>
          <w:szCs w:val="22"/>
        </w:rPr>
        <w:t xml:space="preserve">Subscription tiers for service businesses</w:t>
      </w:r>
      <w:r>
        <w:rPr>
          <w:rFonts w:ascii="Arial" w:cs="Arial" w:eastAsia="Arial" w:hAnsi="Arial"/>
          <w:sz w:val="22"/>
          <w:szCs w:val="22"/>
        </w:rPr>
        <w:t xml:space="preserve"> — year-round, predictable, anchor revenue.</w:t>
      </w:r>
    </w:p>
    <w:p>
      <w:pPr>
        <w:pStyle w:val="ListParagraph"/>
        <w:numPr>
          <w:ilvl w:val="0"/>
          <w:numId w:val="2"/>
        </w:numPr>
        <w:spacing w:after="40" w:before="40" w:line="280"/>
      </w:pPr>
      <w:r>
        <w:rPr>
          <w:rFonts w:ascii="Arial" w:cs="Arial" w:eastAsia="Arial" w:hAnsi="Arial"/>
          <w:b/>
          <w:bCs/>
          <w:sz w:val="22"/>
          <w:szCs w:val="22"/>
        </w:rPr>
        <w:t xml:space="preserve">Spotlight homepage placement</w:t>
      </w:r>
      <w:r>
        <w:rPr>
          <w:rFonts w:ascii="Arial" w:cs="Arial" w:eastAsia="Arial" w:hAnsi="Arial"/>
          <w:sz w:val="22"/>
          <w:szCs w:val="22"/>
        </w:rPr>
        <w:t xml:space="preserve"> — already live, formalize pricing and rotation.</w:t>
      </w:r>
    </w:p>
    <w:p>
      <w:pPr>
        <w:pStyle w:val="ListParagraph"/>
        <w:numPr>
          <w:ilvl w:val="0"/>
          <w:numId w:val="2"/>
        </w:numPr>
        <w:spacing w:after="40" w:before="40" w:line="280"/>
      </w:pPr>
      <w:r>
        <w:rPr>
          <w:rFonts w:ascii="Arial" w:cs="Arial" w:eastAsia="Arial" w:hAnsi="Arial"/>
          <w:b/>
          <w:bCs/>
          <w:sz w:val="22"/>
          <w:szCs w:val="22"/>
        </w:rPr>
        <w:t xml:space="preserve">Premium chat-recommendation eligibility</w:t>
      </w:r>
      <w:r>
        <w:rPr>
          <w:rFonts w:ascii="Arial" w:cs="Arial" w:eastAsia="Arial" w:hAnsi="Arial"/>
          <w:sz w:val="22"/>
          <w:szCs w:val="22"/>
        </w:rPr>
        <w:t xml:space="preserve"> — high-margin, requires Part I trust work to be solid.</w:t>
      </w:r>
    </w:p>
    <w:p>
      <w:pPr>
        <w:pStyle w:val="ListParagraph"/>
        <w:numPr>
          <w:ilvl w:val="0"/>
          <w:numId w:val="2"/>
        </w:numPr>
        <w:spacing w:after="40" w:before="40" w:line="280"/>
      </w:pPr>
      <w:r>
        <w:rPr>
          <w:rFonts w:ascii="Arial" w:cs="Arial" w:eastAsia="Arial" w:hAnsi="Arial"/>
          <w:b/>
          <w:bCs/>
          <w:sz w:val="22"/>
          <w:szCs w:val="22"/>
        </w:rPr>
        <w:t xml:space="preserve">Tourism affiliate revenue</w:t>
      </w:r>
      <w:r>
        <w:rPr>
          <w:rFonts w:ascii="Arial" w:cs="Arial" w:eastAsia="Arial" w:hAnsi="Arial"/>
          <w:sz w:val="22"/>
          <w:szCs w:val="22"/>
        </w:rPr>
        <w:t xml:space="preserve"> — booking commissions on rentals, tours, lodging. High margin, seasonal.</w:t>
      </w:r>
    </w:p>
    <w:p>
      <w:pPr>
        <w:pStyle w:val="ListParagraph"/>
        <w:numPr>
          <w:ilvl w:val="0"/>
          <w:numId w:val="2"/>
        </w:numPr>
        <w:spacing w:after="40" w:before="40" w:line="280"/>
      </w:pPr>
      <w:r>
        <w:rPr>
          <w:rFonts w:ascii="Arial" w:cs="Arial" w:eastAsia="Arial" w:hAnsi="Arial"/>
          <w:b/>
          <w:bCs/>
          <w:sz w:val="22"/>
          <w:szCs w:val="22"/>
        </w:rPr>
        <w:t xml:space="preserve">Event promotion</w:t>
      </w:r>
      <w:r>
        <w:rPr>
          <w:rFonts w:ascii="Arial" w:cs="Arial" w:eastAsia="Arial" w:hAnsi="Arial"/>
          <w:sz w:val="22"/>
          <w:szCs w:val="22"/>
        </w:rPr>
        <w:t xml:space="preserve"> — modest, organizer-funded boost on visibility.</w:t>
      </w:r>
    </w:p>
    <w:p>
      <w:pPr>
        <w:pStyle w:val="ListParagraph"/>
        <w:numPr>
          <w:ilvl w:val="0"/>
          <w:numId w:val="2"/>
        </w:numPr>
        <w:spacing w:after="40" w:before="40" w:line="280"/>
      </w:pPr>
      <w:r>
        <w:rPr>
          <w:rFonts w:ascii="Arial" w:cs="Arial" w:eastAsia="Arial" w:hAnsi="Arial"/>
          <w:b/>
          <w:bCs/>
          <w:sz w:val="22"/>
          <w:szCs w:val="22"/>
        </w:rPr>
        <w:t xml:space="preserve">Local insights / data products</w:t>
      </w:r>
      <w:r>
        <w:rPr>
          <w:rFonts w:ascii="Arial" w:cs="Arial" w:eastAsia="Arial" w:hAnsi="Arial"/>
          <w:sz w:val="22"/>
          <w:szCs w:val="22"/>
        </w:rPr>
        <w:t xml:space="preserve"> — defer; only viable at scale.</w:t>
      </w:r>
    </w:p>
    <w:p>
      <w:pPr>
        <w:pStyle w:val="Heading3"/>
        <w:spacing w:after="100" w:before="200"/>
      </w:pPr>
      <w:r>
        <w:rPr>
          <w:rFonts w:ascii="Arial" w:cs="Arial" w:eastAsia="Arial" w:hAnsi="Arial"/>
          <w:b/>
          <w:bCs/>
          <w:sz w:val="24"/>
          <w:szCs w:val="24"/>
        </w:rPr>
        <w:t xml:space="preserve">9.2 Year-3 mature-state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0"/>
        <w:gridCol w:w="1500"/>
        <w:gridCol w:w="2300"/>
        <w:gridCol w:w="2720"/>
      </w:tblGrid>
      <w:tr>
        <w:trPr>
          <w:tblHeader/>
        </w:trPr>
        <w:tc>
          <w:tcPr>
            <w:tcW w:type="dxa" w:w="284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Stream</w:t>
            </w:r>
          </w:p>
        </w:tc>
        <w:tc>
          <w:tcPr>
            <w:tcW w:type="dxa" w:w="15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Volume</w:t>
            </w:r>
          </w:p>
        </w:tc>
        <w:tc>
          <w:tcPr>
            <w:tcW w:type="dxa" w:w="230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Avg revenue</w:t>
            </w:r>
          </w:p>
        </w:tc>
        <w:tc>
          <w:tcPr>
            <w:tcW w:type="dxa" w:w="2720"/>
            <w:tcBorders>
              <w:top w:val="single" w:color="CCCCCC" w:sz="4"/>
              <w:left w:val="single" w:color="CCCCCC" w:sz="4"/>
              <w:bottom w:val="single" w:color="CCCCCC" w:sz="4"/>
              <w:right w:val="single" w:color="CCCCCC" w:sz="4"/>
            </w:tcBorders>
            <w:shd w:fill="0E6E7C" w:val="clear"/>
            <w:tcMar>
              <w:top w:type="dxa" w:w="100"/>
              <w:left w:type="dxa" w:w="140"/>
              <w:bottom w:type="dxa" w:w="100"/>
              <w:right w:type="dxa" w:w="140"/>
            </w:tcMar>
          </w:tcPr>
          <w:p>
            <w:pPr>
              <w:spacing w:after="0" w:before="0" w:line="260"/>
            </w:pPr>
            <w:r>
              <w:rPr>
                <w:rFonts w:ascii="Arial" w:cs="Arial" w:eastAsia="Arial" w:hAnsi="Arial"/>
                <w:b/>
                <w:bCs/>
                <w:color w:val="FFFFFF"/>
                <w:sz w:val="20"/>
                <w:szCs w:val="20"/>
              </w:rPr>
              <w:t xml:space="preserve">Monthly contribution</w:t>
            </w:r>
          </w:p>
        </w:tc>
      </w:tr>
      <w:tr>
        <w:tc>
          <w:tcPr>
            <w:tcW w:type="dxa" w:w="2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Featured tier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75</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$59</w:t>
            </w:r>
          </w:p>
        </w:tc>
        <w:tc>
          <w:tcPr>
            <w:tcW w:type="dxa" w:w="2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$4,425</w:t>
            </w:r>
          </w:p>
        </w:tc>
      </w:tr>
      <w:tr>
        <w:tc>
          <w:tcPr>
            <w:tcW w:type="dxa" w:w="2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Spotlight tier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22</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$179</w:t>
            </w:r>
          </w:p>
        </w:tc>
        <w:tc>
          <w:tcPr>
            <w:tcW w:type="dxa" w:w="2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$3,938</w:t>
            </w:r>
          </w:p>
        </w:tc>
      </w:tr>
      <w:tr>
        <w:tc>
          <w:tcPr>
            <w:tcW w:type="dxa" w:w="2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Category Premier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25</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$399</w:t>
            </w:r>
          </w:p>
        </w:tc>
        <w:tc>
          <w:tcPr>
            <w:tcW w:type="dxa" w:w="2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$9,975</w:t>
            </w:r>
          </w:p>
        </w:tc>
      </w:tr>
      <w:tr>
        <w:tc>
          <w:tcPr>
            <w:tcW w:type="dxa" w:w="2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Tourism affiliate (peak)</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15 ops</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~$300/mo avg</w:t>
            </w:r>
          </w:p>
        </w:tc>
        <w:tc>
          <w:tcPr>
            <w:tcW w:type="dxa" w:w="2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$4,500</w:t>
            </w:r>
          </w:p>
        </w:tc>
      </w:tr>
      <w:tr>
        <w:tc>
          <w:tcPr>
            <w:tcW w:type="dxa" w:w="2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Tourism affiliate (off-peak)</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t>
            </w:r>
          </w:p>
        </w:tc>
        <w:tc>
          <w:tcPr>
            <w:tcW w:type="dxa" w:w="2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$1,200</w:t>
            </w:r>
          </w:p>
        </w:tc>
      </w:tr>
      <w:tr>
        <w:tc>
          <w:tcPr>
            <w:tcW w:type="dxa" w:w="2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Event promotion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occasional</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t>
            </w:r>
          </w:p>
        </w:tc>
        <w:tc>
          <w:tcPr>
            <w:tcW w:type="dxa" w:w="2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$500</w:t>
            </w:r>
          </w:p>
        </w:tc>
      </w:tr>
      <w:tr>
        <w:tc>
          <w:tcPr>
            <w:tcW w:type="dxa" w:w="2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Total (peak month)</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t>
            </w:r>
          </w:p>
        </w:tc>
        <w:tc>
          <w:tcPr>
            <w:tcW w:type="dxa" w:w="2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~$23,300</w:t>
            </w:r>
          </w:p>
        </w:tc>
      </w:tr>
      <w:tr>
        <w:tc>
          <w:tcPr>
            <w:tcW w:type="dxa" w:w="2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Total (annualized blend)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t>
            </w:r>
          </w:p>
        </w:tc>
        <w:tc>
          <w:tcPr>
            <w:tcW w:type="dxa" w:w="2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~$20,000/mo</w:t>
            </w:r>
          </w:p>
        </w:tc>
      </w:tr>
      <w:tr>
        <w:tc>
          <w:tcPr>
            <w:tcW w:type="dxa" w:w="2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ARR (mature)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w:t>
            </w:r>
          </w:p>
        </w:tc>
        <w:tc>
          <w:tcPr>
            <w:tcW w:type="dxa" w:w="2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Arial" w:cs="Arial" w:eastAsia="Arial" w:hAnsi="Arial"/>
                <w:sz w:val="20"/>
                <w:szCs w:val="20"/>
              </w:rPr>
              <w:t xml:space="preserve">~$240–280K</w:t>
            </w:r>
          </w:p>
        </w:tc>
      </w:tr>
    </w:tbl>
    <w:p>
      <w:pPr>
        <w:spacing w:after="100" w:before="100" w:line="300"/>
      </w:pPr>
      <w:r>
        <w:rPr>
          <w:rFonts w:ascii="Arial" w:cs="Arial" w:eastAsia="Arial" w:hAnsi="Arial"/>
          <w:sz w:val="22"/>
          <w:szCs w:val="22"/>
        </w:rPr>
        <w:t xml:space="preserve">Sober projection assuming the trust pipeline holds, distribution converts at modest rates, and seasonality is managed. The </w:t>
      </w:r>
      <w:r>
        <w:rPr>
          <w:rFonts w:ascii="Arial" w:cs="Arial" w:eastAsia="Arial" w:hAnsi="Arial"/>
          <w:b/>
          <w:bCs/>
          <w:sz w:val="22"/>
          <w:szCs w:val="22"/>
        </w:rPr>
        <w:t xml:space="preserve">$300–360K</w:t>
      </w:r>
      <w:r>
        <w:rPr>
          <w:rFonts w:ascii="Arial" w:cs="Arial" w:eastAsia="Arial" w:hAnsi="Arial"/>
          <w:sz w:val="22"/>
          <w:szCs w:val="22"/>
        </w:rPr>
        <w:t xml:space="preserve"> upper-bound scenario requires distribution to outperform and tourism affiliate to exceed expectations. Plan against $240–280K. Celebrate $360K.</w:t>
      </w:r>
    </w:p>
    <w:p>
      <w:pPr>
        <w:pStyle w:val="Heading2"/>
        <w:spacing w:after="120" w:before="280"/>
      </w:pPr>
      <w:r>
        <w:rPr>
          <w:rFonts w:ascii="Arial" w:cs="Arial" w:eastAsia="Arial" w:hAnsi="Arial"/>
          <w:b/>
          <w:bCs/>
          <w:color w:val="0E6E7C"/>
          <w:sz w:val="28"/>
          <w:szCs w:val="28"/>
        </w:rPr>
        <w:t xml:space="preserve">10. Year-Round vs Seasonal Mix</w:t>
      </w:r>
    </w:p>
    <w:p>
      <w:pPr>
        <w:spacing w:after="100" w:before="100" w:line="300"/>
      </w:pPr>
      <w:r>
        <w:rPr>
          <w:rFonts w:ascii="Arial" w:cs="Arial" w:eastAsia="Arial" w:hAnsi="Arial"/>
          <w:sz w:val="22"/>
          <w:szCs w:val="22"/>
        </w:rPr>
        <w:t xml:space="preserve">Havasu's revenue is structurally lumpy. The monetization architecture has to acknowledge this:</w:t>
      </w:r>
    </w:p>
    <w:p>
      <w:pPr>
        <w:pStyle w:val="ListParagraph"/>
        <w:numPr>
          <w:ilvl w:val="0"/>
          <w:numId w:val="3"/>
        </w:numPr>
        <w:spacing w:after="40" w:before="40" w:line="280"/>
      </w:pPr>
      <w:r>
        <w:rPr>
          <w:rFonts w:ascii="Arial" w:cs="Arial" w:eastAsia="Arial" w:hAnsi="Arial"/>
          <w:b/>
          <w:bCs/>
          <w:sz w:val="22"/>
          <w:szCs w:val="22"/>
        </w:rPr>
        <w:t xml:space="preserve">Year-round anchor (~70% of revenue):</w:t>
      </w:r>
      <w:r>
        <w:rPr>
          <w:rFonts w:ascii="Arial" w:cs="Arial" w:eastAsia="Arial" w:hAnsi="Arial"/>
          <w:sz w:val="22"/>
          <w:szCs w:val="22"/>
        </w:rPr>
        <w:t xml:space="preserve"> service-business subscriptions. Plumbers, HVAC, electrical, medical, real estate, auto. These categories transact on local need, not seasonality. They underwrite the off-season.</w:t>
      </w:r>
    </w:p>
    <w:p>
      <w:pPr>
        <w:pStyle w:val="ListParagraph"/>
        <w:numPr>
          <w:ilvl w:val="0"/>
          <w:numId w:val="3"/>
        </w:numPr>
        <w:spacing w:after="40" w:before="40" w:line="280"/>
      </w:pPr>
      <w:r>
        <w:rPr>
          <w:rFonts w:ascii="Arial" w:cs="Arial" w:eastAsia="Arial" w:hAnsi="Arial"/>
          <w:b/>
          <w:bCs/>
          <w:sz w:val="22"/>
          <w:szCs w:val="22"/>
        </w:rPr>
        <w:t xml:space="preserve">Seasonal layer (~30% of revenue):</w:t>
      </w:r>
      <w:r>
        <w:rPr>
          <w:rFonts w:ascii="Arial" w:cs="Arial" w:eastAsia="Arial" w:hAnsi="Arial"/>
          <w:sz w:val="22"/>
          <w:szCs w:val="22"/>
        </w:rPr>
        <w:t xml:space="preserve"> tourism affiliate, restaurant Featured tier upgrades during peak, event promotion. This is the upside — it cannot be the foundation. Plan operating costs against the year-round number.</w:t>
      </w:r>
    </w:p>
    <w:p>
      <w:pPr>
        <w:pBdr>
          <w:left w:val="single" w:color="0E6E7C" w:sz="24" w:space="12"/>
        </w:pBdr>
        <w:spacing w:after="160" w:before="160" w:line="300"/>
        <w:ind w:left="240"/>
      </w:pPr>
      <w:r>
        <w:rPr>
          <w:rFonts w:ascii="Arial" w:cs="Arial" w:eastAsia="Arial" w:hAnsi="Arial"/>
          <w:b/>
          <w:bCs/>
          <w:sz w:val="22"/>
          <w:szCs w:val="22"/>
        </w:rPr>
        <w:t xml:space="preserve">Practical implication:</w:t>
      </w:r>
      <w:r>
        <w:rPr>
          <w:rFonts w:ascii="Arial" w:cs="Arial" w:eastAsia="Arial" w:hAnsi="Arial"/>
          <w:sz w:val="22"/>
          <w:szCs w:val="22"/>
        </w:rPr>
        <w:t xml:space="preserve"> the first paying customers come from year-round service categories, not tourism. Sales targets HVAC, plumbing, and pool service before chasing boat-rental affiliate deals. The tourism layer gets added once the base subscription revenue covers infrastructure and the founder's time.</w:t>
      </w:r>
    </w:p>
    <w:p>
      <w:pPr>
        <w:pStyle w:val="Heading2"/>
        <w:spacing w:after="120" w:before="280"/>
      </w:pPr>
      <w:r>
        <w:rPr>
          <w:rFonts w:ascii="Arial" w:cs="Arial" w:eastAsia="Arial" w:hAnsi="Arial"/>
          <w:b/>
          <w:bCs/>
          <w:color w:val="0E6E7C"/>
          <w:sz w:val="28"/>
          <w:szCs w:val="28"/>
        </w:rPr>
        <w:t xml:space="preserve">11. Anti-Patterns to Avoid</w:t>
      </w:r>
    </w:p>
    <w:p>
      <w:pPr>
        <w:pStyle w:val="ListParagraph"/>
        <w:numPr>
          <w:ilvl w:val="0"/>
          <w:numId w:val="3"/>
        </w:numPr>
        <w:spacing w:after="40" w:before="40" w:line="280"/>
      </w:pPr>
      <w:r>
        <w:rPr>
          <w:rFonts w:ascii="Arial" w:cs="Arial" w:eastAsia="Arial" w:hAnsi="Arial"/>
          <w:b/>
          <w:bCs/>
          <w:sz w:val="22"/>
          <w:szCs w:val="22"/>
        </w:rPr>
        <w:t xml:space="preserve">Banner ads, sidebar ads, interstitials.</w:t>
      </w:r>
      <w:r>
        <w:rPr>
          <w:rFonts w:ascii="Arial" w:cs="Arial" w:eastAsia="Arial" w:hAnsi="Arial"/>
          <w:sz w:val="22"/>
          <w:szCs w:val="22"/>
        </w:rPr>
        <w:t xml:space="preserve"> Erode trust faster than they generate revenue at this scale. The Spotlight model is correct; do not regress.</w:t>
      </w:r>
    </w:p>
    <w:p>
      <w:pPr>
        <w:pStyle w:val="ListParagraph"/>
        <w:numPr>
          <w:ilvl w:val="0"/>
          <w:numId w:val="3"/>
        </w:numPr>
        <w:spacing w:after="40" w:before="40" w:line="280"/>
      </w:pPr>
      <w:r>
        <w:rPr>
          <w:rFonts w:ascii="Arial" w:cs="Arial" w:eastAsia="Arial" w:hAnsi="Arial"/>
          <w:b/>
          <w:bCs/>
          <w:sz w:val="22"/>
          <w:szCs w:val="22"/>
        </w:rPr>
        <w:t xml:space="preserve">Over-pricing premium tiers.</w:t>
      </w:r>
      <w:r>
        <w:rPr>
          <w:rFonts w:ascii="Arial" w:cs="Arial" w:eastAsia="Arial" w:hAnsi="Arial"/>
          <w:sz w:val="22"/>
          <w:szCs w:val="22"/>
        </w:rPr>
        <w:t xml:space="preserve"> $500–2000/month tiers attract zero customers in a 57k-person market. Stay calibrated.</w:t>
      </w:r>
    </w:p>
    <w:p>
      <w:pPr>
        <w:pStyle w:val="ListParagraph"/>
        <w:numPr>
          <w:ilvl w:val="0"/>
          <w:numId w:val="3"/>
        </w:numPr>
        <w:spacing w:after="40" w:before="40" w:line="280"/>
      </w:pPr>
      <w:r>
        <w:rPr>
          <w:rFonts w:ascii="Arial" w:cs="Arial" w:eastAsia="Arial" w:hAnsi="Arial"/>
          <w:b/>
          <w:bCs/>
          <w:sz w:val="22"/>
          <w:szCs w:val="22"/>
        </w:rPr>
        <w:t xml:space="preserve">Selling placement before catalog density is solved.</w:t>
      </w:r>
      <w:r>
        <w:rPr>
          <w:rFonts w:ascii="Arial" w:cs="Arial" w:eastAsia="Arial" w:hAnsi="Arial"/>
          <w:sz w:val="22"/>
          <w:szCs w:val="22"/>
        </w:rPr>
        <w:t xml:space="preserve"> Premium placement on a thin or stale catalog produces churn within 60–90 days. Sequencing matters.</w:t>
      </w:r>
    </w:p>
    <w:p>
      <w:pPr>
        <w:pStyle w:val="ListParagraph"/>
        <w:numPr>
          <w:ilvl w:val="0"/>
          <w:numId w:val="3"/>
        </w:numPr>
        <w:spacing w:after="40" w:before="40" w:line="280"/>
      </w:pPr>
      <w:r>
        <w:rPr>
          <w:rFonts w:ascii="Arial" w:cs="Arial" w:eastAsia="Arial" w:hAnsi="Arial"/>
          <w:b/>
          <w:bCs/>
          <w:sz w:val="22"/>
          <w:szCs w:val="22"/>
        </w:rPr>
        <w:t xml:space="preserve">Selling Premier before the deterministic disclosure renderer is in production.</w:t>
      </w:r>
      <w:r>
        <w:rPr>
          <w:rFonts w:ascii="Arial" w:cs="Arial" w:eastAsia="Arial" w:hAnsi="Arial"/>
          <w:sz w:val="22"/>
          <w:szCs w:val="22"/>
        </w:rPr>
        <w:t xml:space="preserve"> Retrofit cost grows fastest on this one — every Premier customer signed under an LLM-improvised disclosure is a future trust regression.</w:t>
      </w:r>
    </w:p>
    <w:p>
      <w:pPr>
        <w:pStyle w:val="ListParagraph"/>
        <w:numPr>
          <w:ilvl w:val="0"/>
          <w:numId w:val="3"/>
        </w:numPr>
        <w:spacing w:after="40" w:before="40" w:line="280"/>
      </w:pPr>
      <w:r>
        <w:rPr>
          <w:rFonts w:ascii="Arial" w:cs="Arial" w:eastAsia="Arial" w:hAnsi="Arial"/>
          <w:b/>
          <w:bCs/>
          <w:sz w:val="22"/>
          <w:szCs w:val="22"/>
        </w:rPr>
        <w:t xml:space="preserve">"Operating system" / "economy layer" framing.</w:t>
      </w:r>
      <w:r>
        <w:rPr>
          <w:rFonts w:ascii="Arial" w:cs="Arial" w:eastAsia="Arial" w:hAnsi="Arial"/>
          <w:sz w:val="22"/>
          <w:szCs w:val="22"/>
        </w:rPr>
        <w:t xml:space="preserve"> Hype creep that pulls the roadmap toward platform features the market does not support. Stay focused on the chat front door, the catalog, and the recommendation policy.</w:t>
      </w:r>
    </w:p>
    <w:p>
      <w:pPr>
        <w:pStyle w:val="ListParagraph"/>
        <w:numPr>
          <w:ilvl w:val="0"/>
          <w:numId w:val="3"/>
        </w:numPr>
        <w:spacing w:after="40" w:before="40" w:line="280"/>
      </w:pPr>
      <w:r>
        <w:rPr>
          <w:rFonts w:ascii="Arial" w:cs="Arial" w:eastAsia="Arial" w:hAnsi="Arial"/>
          <w:b/>
          <w:bCs/>
          <w:sz w:val="22"/>
          <w:szCs w:val="22"/>
        </w:rPr>
        <w:t xml:space="preserve">Letting the bot write enthusiastic copy for paid placements.</w:t>
      </w:r>
      <w:r>
        <w:rPr>
          <w:rFonts w:ascii="Arial" w:cs="Arial" w:eastAsia="Arial" w:hAnsi="Arial"/>
          <w:sz w:val="22"/>
          <w:szCs w:val="22"/>
        </w:rPr>
        <w:t xml:space="preserve"> Once users discover the bot is a salesman, it is permanently a salesman. The eval harness must enforce this.</w:t>
      </w:r>
    </w:p>
    <w:p>
      <w:pPr>
        <w:pStyle w:val="ListParagraph"/>
        <w:numPr>
          <w:ilvl w:val="0"/>
          <w:numId w:val="3"/>
        </w:numPr>
        <w:spacing w:after="40" w:before="40" w:line="280"/>
      </w:pPr>
      <w:r>
        <w:rPr>
          <w:rFonts w:ascii="Arial" w:cs="Arial" w:eastAsia="Arial" w:hAnsi="Arial"/>
          <w:b/>
          <w:bCs/>
          <w:sz w:val="22"/>
          <w:szCs w:val="22"/>
        </w:rPr>
        <w:t xml:space="preserve">Building visitor mode UI before instrumenting query intent.</w:t>
      </w:r>
      <w:r>
        <w:rPr>
          <w:rFonts w:ascii="Arial" w:cs="Arial" w:eastAsia="Arial" w:hAnsi="Arial"/>
          <w:sz w:val="22"/>
          <w:szCs w:val="22"/>
        </w:rPr>
        <w:t xml:space="preserve"> Likely a premature bifurcation. Measure first.</w:t>
      </w:r>
    </w:p>
    <w:p>
      <w:pPr>
        <w:pStyle w:val="ListParagraph"/>
        <w:numPr>
          <w:ilvl w:val="0"/>
          <w:numId w:val="3"/>
        </w:numPr>
        <w:spacing w:after="40" w:before="40" w:line="280"/>
      </w:pPr>
      <w:r>
        <w:rPr>
          <w:rFonts w:ascii="Arial" w:cs="Arial" w:eastAsia="Arial" w:hAnsi="Arial"/>
          <w:b/>
          <w:bCs/>
          <w:sz w:val="22"/>
          <w:szCs w:val="22"/>
        </w:rPr>
        <w:t xml:space="preserve">Deploying twelve distribution channels at once.</w:t>
      </w:r>
      <w:r>
        <w:rPr>
          <w:rFonts w:ascii="Arial" w:cs="Arial" w:eastAsia="Arial" w:hAnsi="Arial"/>
          <w:sz w:val="22"/>
          <w:szCs w:val="22"/>
        </w:rPr>
        <w:t xml:space="preserve"> Run measurable tests on one or two. Scale what works.</w:t>
      </w:r>
    </w:p>
    <w:p>
      <w:pPr>
        <w:pStyle w:val="Heading1"/>
        <w:spacing w:after="160" w:before="360"/>
      </w:pPr>
      <w:r>
        <w:rPr>
          <w:rFonts w:ascii="Arial" w:cs="Arial" w:eastAsia="Arial" w:hAnsi="Arial"/>
          <w:b/>
          <w:bCs/>
          <w:sz w:val="36"/>
          <w:szCs w:val="36"/>
        </w:rPr>
        <w:t xml:space="preserve">Part III — Execution Roadmap</w:t>
      </w:r>
    </w:p>
    <w:p>
      <w:pPr>
        <w:spacing w:after="160" w:before="80" w:line="320"/>
      </w:pPr>
      <w:r>
        <w:rPr>
          <w:rFonts w:ascii="Georgia" w:cs="Georgia" w:eastAsia="Georgia" w:hAnsi="Georgia"/>
          <w:i/>
          <w:iCs/>
          <w:color w:val="333333"/>
          <w:sz w:val="24"/>
          <w:szCs w:val="24"/>
        </w:rPr>
        <w:t xml:space="preserve">Four phases. HALT-style gates. Each phase has explicit close criteria; the next phase does not begin until the prior phase's gate is closed and reviewed. Matches the discipline already in place around Tier 2 formatter work.</w:t>
      </w:r>
    </w:p>
    <w:p>
      <w:pPr>
        <w:pStyle w:val="Heading2"/>
        <w:spacing w:after="120" w:before="280"/>
      </w:pPr>
      <w:r>
        <w:rPr>
          <w:rFonts w:ascii="Arial" w:cs="Arial" w:eastAsia="Arial" w:hAnsi="Arial"/>
          <w:b/>
          <w:bCs/>
          <w:color w:val="0E6E7C"/>
          <w:sz w:val="28"/>
          <w:szCs w:val="28"/>
        </w:rPr>
        <w:t xml:space="preserve">Phase 1 — Trust + Content Correctness (Months 0–3)</w:t>
      </w:r>
    </w:p>
    <w:p>
      <w:pPr>
        <w:pStyle w:val="Heading3"/>
        <w:spacing w:after="100" w:before="200"/>
      </w:pPr>
      <w:r>
        <w:rPr>
          <w:rFonts w:ascii="Arial" w:cs="Arial" w:eastAsia="Arial" w:hAnsi="Arial"/>
          <w:b/>
          <w:bCs/>
          <w:sz w:val="24"/>
          <w:szCs w:val="24"/>
        </w:rPr>
        <w:t xml:space="preserve">Phase 1 goals</w:t>
      </w:r>
    </w:p>
    <w:p>
      <w:pPr>
        <w:pStyle w:val="ListParagraph"/>
        <w:numPr>
          <w:ilvl w:val="0"/>
          <w:numId w:val="3"/>
        </w:numPr>
        <w:spacing w:after="40" w:before="40" w:line="280"/>
      </w:pPr>
      <w:r>
        <w:rPr>
          <w:rFonts w:ascii="Arial" w:cs="Arial" w:eastAsia="Arial" w:hAnsi="Arial"/>
          <w:sz w:val="22"/>
          <w:szCs w:val="22"/>
        </w:rPr>
        <w:t xml:space="preserve">Close HALT 3 with documented gating-rate, anchor-regression, catalog-flagging bands.</w:t>
      </w:r>
    </w:p>
    <w:p>
      <w:pPr>
        <w:pStyle w:val="ListParagraph"/>
        <w:numPr>
          <w:ilvl w:val="0"/>
          <w:numId w:val="3"/>
        </w:numPr>
        <w:spacing w:after="40" w:before="40" w:line="280"/>
      </w:pPr>
      <w:r>
        <w:rPr>
          <w:rFonts w:ascii="Arial" w:cs="Arial" w:eastAsia="Arial" w:hAnsi="Arial"/>
          <w:b/>
          <w:bCs/>
          <w:sz w:val="22"/>
          <w:szCs w:val="22"/>
        </w:rPr>
        <w:t xml:space="preserve">Half-sprint UI-data-correctness pass</w:t>
      </w:r>
      <w:r>
        <w:rPr>
          <w:rFonts w:ascii="Arial" w:cs="Arial" w:eastAsia="Arial" w:hAnsi="Arial"/>
          <w:sz w:val="22"/>
          <w:szCs w:val="22"/>
        </w:rPr>
        <w:t xml:space="preserve"> ships in week one (`Tonight` query, category labels, placeholder phone numbers, event blurb fixes).</w:t>
      </w:r>
    </w:p>
    <w:p>
      <w:pPr>
        <w:pStyle w:val="ListParagraph"/>
        <w:numPr>
          <w:ilvl w:val="0"/>
          <w:numId w:val="3"/>
        </w:numPr>
        <w:spacing w:after="40" w:before="40" w:line="280"/>
      </w:pPr>
      <w:r>
        <w:rPr>
          <w:rFonts w:ascii="Arial" w:cs="Arial" w:eastAsia="Arial" w:hAnsi="Arial"/>
          <w:sz w:val="22"/>
          <w:szCs w:val="22"/>
        </w:rPr>
        <w:t xml:space="preserve">Implement `last_verified_at` + `verification_method` on Provider, Event, Program records.</w:t>
      </w:r>
    </w:p>
    <w:p>
      <w:pPr>
        <w:pStyle w:val="ListParagraph"/>
        <w:numPr>
          <w:ilvl w:val="0"/>
          <w:numId w:val="3"/>
        </w:numPr>
        <w:spacing w:after="40" w:before="40" w:line="280"/>
      </w:pPr>
      <w:r>
        <w:rPr>
          <w:rFonts w:ascii="Arial" w:cs="Arial" w:eastAsia="Arial" w:hAnsi="Arial"/>
          <w:sz w:val="22"/>
          <w:szCs w:val="22"/>
        </w:rPr>
        <w:t xml:space="preserve">Confidence-tiered formatter behavior live in production.</w:t>
      </w:r>
    </w:p>
    <w:p>
      <w:pPr>
        <w:pStyle w:val="ListParagraph"/>
        <w:numPr>
          <w:ilvl w:val="0"/>
          <w:numId w:val="3"/>
        </w:numPr>
        <w:spacing w:after="40" w:before="40" w:line="280"/>
      </w:pPr>
      <w:r>
        <w:rPr>
          <w:rFonts w:ascii="Arial" w:cs="Arial" w:eastAsia="Arial" w:hAnsi="Arial"/>
          <w:b/>
          <w:bCs/>
          <w:sz w:val="22"/>
          <w:szCs w:val="22"/>
        </w:rPr>
        <w:t xml:space="preserve">Audience signal logging</w:t>
      </w:r>
      <w:r>
        <w:rPr>
          <w:rFonts w:ascii="Arial" w:cs="Arial" w:eastAsia="Arial" w:hAnsi="Arial"/>
          <w:sz w:val="22"/>
          <w:szCs w:val="22"/>
        </w:rPr>
        <w:t xml:space="preserve"> added to `chat_logs` (one-day slice; pulled forward from prior Phase 2 plan).</w:t>
      </w:r>
    </w:p>
    <w:p>
      <w:pPr>
        <w:pStyle w:val="ListParagraph"/>
        <w:numPr>
          <w:ilvl w:val="0"/>
          <w:numId w:val="3"/>
        </w:numPr>
        <w:spacing w:after="40" w:before="40" w:line="280"/>
      </w:pPr>
      <w:r>
        <w:rPr>
          <w:rFonts w:ascii="Arial" w:cs="Arial" w:eastAsia="Arial" w:hAnsi="Arial"/>
          <w:b/>
          <w:bCs/>
          <w:sz w:val="22"/>
          <w:szCs w:val="22"/>
        </w:rPr>
        <w:t xml:space="preserve">Deterministic disclosure renderer</w:t>
      </w:r>
      <w:r>
        <w:rPr>
          <w:rFonts w:ascii="Arial" w:cs="Arial" w:eastAsia="Arial" w:hAnsi="Arial"/>
          <w:sz w:val="22"/>
          <w:szCs w:val="22"/>
        </w:rPr>
        <w:t xml:space="preserve"> (`app/chat/disclosure_render.py`) shipped to production with §4 eval harness green.</w:t>
      </w:r>
    </w:p>
    <w:p>
      <w:pPr>
        <w:pStyle w:val="ListParagraph"/>
        <w:numPr>
          <w:ilvl w:val="0"/>
          <w:numId w:val="3"/>
        </w:numPr>
        <w:spacing w:after="40" w:before="40" w:line="280"/>
      </w:pPr>
      <w:r>
        <w:rPr>
          <w:rFonts w:ascii="Arial" w:cs="Arial" w:eastAsia="Arial" w:hAnsi="Arial"/>
          <w:sz w:val="22"/>
          <w:szCs w:val="22"/>
        </w:rPr>
        <w:t xml:space="preserve">Event aggregation pipeline shipped for top 6–8 sources.</w:t>
      </w:r>
    </w:p>
    <w:p>
      <w:pPr>
        <w:pStyle w:val="ListParagraph"/>
        <w:numPr>
          <w:ilvl w:val="0"/>
          <w:numId w:val="3"/>
        </w:numPr>
        <w:spacing w:after="40" w:before="40" w:line="280"/>
      </w:pPr>
      <w:r>
        <w:rPr>
          <w:rFonts w:ascii="Arial" w:cs="Arial" w:eastAsia="Arial" w:hAnsi="Arial"/>
          <w:b/>
          <w:bCs/>
          <w:sz w:val="22"/>
          <w:szCs w:val="22"/>
        </w:rPr>
        <w:t xml:space="preserve">50-business enrichment sprint</w:t>
      </w:r>
      <w:r>
        <w:rPr>
          <w:rFonts w:ascii="Arial" w:cs="Arial" w:eastAsia="Arial" w:hAnsi="Arial"/>
          <w:sz w:val="22"/>
          <w:szCs w:val="22"/>
        </w:rPr>
        <w:t xml:space="preserve"> completed for top-queried categories (gates per-category anchor regression).</w:t>
      </w:r>
    </w:p>
    <w:p>
      <w:pPr>
        <w:pStyle w:val="ListParagraph"/>
        <w:numPr>
          <w:ilvl w:val="0"/>
          <w:numId w:val="3"/>
        </w:numPr>
        <w:spacing w:after="40" w:before="40" w:line="280"/>
      </w:pPr>
      <w:r>
        <w:rPr>
          <w:rFonts w:ascii="Arial" w:cs="Arial" w:eastAsia="Arial" w:hAnsi="Arial"/>
          <w:sz w:val="22"/>
          <w:szCs w:val="22"/>
        </w:rPr>
        <w:t xml:space="preserve">30-operator tourism inventory pass completed.</w:t>
      </w:r>
    </w:p>
    <w:p>
      <w:pPr>
        <w:pStyle w:val="Heading3"/>
        <w:spacing w:after="100" w:before="200"/>
      </w:pPr>
      <w:r>
        <w:rPr>
          <w:rFonts w:ascii="Arial" w:cs="Arial" w:eastAsia="Arial" w:hAnsi="Arial"/>
          <w:b/>
          <w:bCs/>
          <w:sz w:val="24"/>
          <w:szCs w:val="24"/>
        </w:rPr>
        <w:t xml:space="preserve">Phase 1 close criteria (HALT-style)</w:t>
      </w:r>
    </w:p>
    <w:p>
      <w:pPr>
        <w:pStyle w:val="ListParagraph"/>
        <w:numPr>
          <w:ilvl w:val="0"/>
          <w:numId w:val="3"/>
        </w:numPr>
        <w:spacing w:after="40" w:before="40" w:line="280"/>
      </w:pPr>
      <w:r>
        <w:rPr>
          <w:rFonts w:ascii="Arial" w:cs="Arial" w:eastAsia="Arial" w:hAnsi="Arial"/>
          <w:sz w:val="22"/>
          <w:szCs w:val="22"/>
        </w:rPr>
        <w:t xml:space="preserve">Confabulation rate on negative-set evals below threshold (set during HALT 3 close).</w:t>
      </w:r>
    </w:p>
    <w:p>
      <w:pPr>
        <w:pStyle w:val="ListParagraph"/>
        <w:numPr>
          <w:ilvl w:val="0"/>
          <w:numId w:val="3"/>
        </w:numPr>
        <w:spacing w:after="40" w:before="40" w:line="280"/>
      </w:pPr>
      <w:r>
        <w:rPr>
          <w:rFonts w:ascii="Arial" w:cs="Arial" w:eastAsia="Arial" w:hAnsi="Arial"/>
          <w:sz w:val="22"/>
          <w:szCs w:val="22"/>
        </w:rPr>
        <w:t xml:space="preserve">Disclosure compliance 100% on sponsored-eligible eval queries.</w:t>
      </w:r>
    </w:p>
    <w:p>
      <w:pPr>
        <w:pStyle w:val="ListParagraph"/>
        <w:numPr>
          <w:ilvl w:val="0"/>
          <w:numId w:val="3"/>
        </w:numPr>
        <w:spacing w:after="40" w:before="40" w:line="280"/>
      </w:pPr>
      <w:r>
        <w:rPr>
          <w:rFonts w:ascii="Arial" w:cs="Arial" w:eastAsia="Arial" w:hAnsi="Arial"/>
          <w:sz w:val="22"/>
          <w:szCs w:val="22"/>
        </w:rPr>
        <w:t xml:space="preserve">Tone-rule violations zero on sponsored-eligible eval queries.</w:t>
      </w:r>
    </w:p>
    <w:p>
      <w:pPr>
        <w:pStyle w:val="ListParagraph"/>
        <w:numPr>
          <w:ilvl w:val="0"/>
          <w:numId w:val="3"/>
        </w:numPr>
        <w:spacing w:after="40" w:before="40" w:line="280"/>
      </w:pPr>
      <w:r>
        <w:rPr>
          <w:rFonts w:ascii="Arial" w:cs="Arial" w:eastAsia="Arial" w:hAnsi="Arial"/>
          <w:sz w:val="22"/>
          <w:szCs w:val="22"/>
        </w:rPr>
        <w:t xml:space="preserve">Catalog data-quality flag rate below acceptable band on top-50 enriched businesses.</w:t>
      </w:r>
    </w:p>
    <w:p>
      <w:pPr>
        <w:pStyle w:val="ListParagraph"/>
        <w:numPr>
          <w:ilvl w:val="0"/>
          <w:numId w:val="3"/>
        </w:numPr>
        <w:spacing w:after="40" w:before="40" w:line="280"/>
      </w:pPr>
      <w:r>
        <w:rPr>
          <w:rFonts w:ascii="Arial" w:cs="Arial" w:eastAsia="Arial" w:hAnsi="Arial"/>
          <w:sz w:val="22"/>
          <w:szCs w:val="22"/>
        </w:rPr>
        <w:t xml:space="preserve">Event catalog has at least 5 active sources contributing weekly.</w:t>
      </w:r>
    </w:p>
    <w:p>
      <w:pPr>
        <w:pStyle w:val="ListParagraph"/>
        <w:numPr>
          <w:ilvl w:val="0"/>
          <w:numId w:val="3"/>
        </w:numPr>
        <w:spacing w:after="40" w:before="40" w:line="280"/>
      </w:pPr>
      <w:r>
        <w:rPr>
          <w:rFonts w:ascii="Arial" w:cs="Arial" w:eastAsia="Arial" w:hAnsi="Arial"/>
          <w:b/>
          <w:bCs/>
          <w:sz w:val="22"/>
          <w:szCs w:val="22"/>
        </w:rPr>
        <w:t xml:space="preserve">Tier 1 hit rate</w:t>
      </w:r>
      <w:r>
        <w:rPr>
          <w:rFonts w:ascii="Arial" w:cs="Arial" w:eastAsia="Arial" w:hAnsi="Arial"/>
          <w:sz w:val="22"/>
          <w:szCs w:val="22"/>
        </w:rPr>
        <w:t xml:space="preserve"> rises above 25% on representative chat traffic over a 7-day window post-enrichment. </w:t>
      </w:r>
      <w:r>
        <w:rPr>
          <w:rFonts w:ascii="Arial" w:cs="Arial" w:eastAsia="Arial" w:hAnsi="Arial"/>
          <w:b/>
          <w:bCs/>
          <w:sz w:val="22"/>
          <w:szCs w:val="22"/>
        </w:rPr>
        <w:t xml:space="preserve">If it doesn't, the gap is routing/classifier, not catalog</w:t>
      </w:r>
      <w:r>
        <w:rPr>
          <w:rFonts w:ascii="Arial" w:cs="Arial" w:eastAsia="Arial" w:hAnsi="Arial"/>
          <w:sz w:val="22"/>
          <w:szCs w:val="22"/>
        </w:rPr>
        <w:t xml:space="preserve"> — open a new investigation rather than treating Phase 1 as closed.</w:t>
      </w:r>
    </w:p>
    <w:p>
      <w:pPr>
        <w:pStyle w:val="ListParagraph"/>
        <w:numPr>
          <w:ilvl w:val="0"/>
          <w:numId w:val="3"/>
        </w:numPr>
        <w:spacing w:after="40" w:before="40" w:line="280"/>
      </w:pPr>
      <w:r>
        <w:rPr>
          <w:rFonts w:ascii="Arial" w:cs="Arial" w:eastAsia="Arial" w:hAnsi="Arial"/>
          <w:sz w:val="22"/>
          <w:szCs w:val="22"/>
        </w:rPr>
        <w:t xml:space="preserve">UI-data-correctness audit shows zero raw enum slugs, zero placeholder phone numbers, zero pre-dawn events under `Tonight` label.</w:t>
      </w:r>
    </w:p>
    <w:p>
      <w:pPr>
        <w:pStyle w:val="Heading3"/>
        <w:spacing w:after="100" w:before="200"/>
      </w:pPr>
      <w:r>
        <w:rPr>
          <w:rFonts w:ascii="Arial" w:cs="Arial" w:eastAsia="Arial" w:hAnsi="Arial"/>
          <w:b/>
          <w:bCs/>
          <w:sz w:val="24"/>
          <w:szCs w:val="24"/>
        </w:rPr>
        <w:t xml:space="preserve">Phase 1 deliverables</w:t>
      </w:r>
    </w:p>
    <w:p>
      <w:pPr>
        <w:pStyle w:val="ListParagraph"/>
        <w:numPr>
          <w:ilvl w:val="0"/>
          <w:numId w:val="3"/>
        </w:numPr>
        <w:spacing w:after="40" w:before="40" w:line="280"/>
      </w:pPr>
      <w:r>
        <w:rPr>
          <w:rFonts w:ascii="Arial" w:cs="Arial" w:eastAsia="Arial" w:hAnsi="Arial"/>
          <w:sz w:val="22"/>
          <w:szCs w:val="22"/>
        </w:rPr>
        <w:t xml:space="preserve">HALT 3 review artifact (already in flight).</w:t>
      </w:r>
    </w:p>
    <w:p>
      <w:pPr>
        <w:pStyle w:val="ListParagraph"/>
        <w:numPr>
          <w:ilvl w:val="0"/>
          <w:numId w:val="3"/>
        </w:numPr>
        <w:spacing w:after="40" w:before="40" w:line="280"/>
      </w:pPr>
      <w:r>
        <w:rPr>
          <w:rFonts w:ascii="Arial" w:cs="Arial" w:eastAsia="Arial" w:hAnsi="Arial"/>
          <w:sz w:val="22"/>
          <w:szCs w:val="22"/>
        </w:rPr>
        <w:t xml:space="preserve">Disclosure-policy eval harness extension and v1 results.</w:t>
      </w:r>
    </w:p>
    <w:p>
      <w:pPr>
        <w:pStyle w:val="ListParagraph"/>
        <w:numPr>
          <w:ilvl w:val="0"/>
          <w:numId w:val="3"/>
        </w:numPr>
        <w:spacing w:after="40" w:before="40" w:line="280"/>
      </w:pPr>
      <w:r>
        <w:rPr>
          <w:rFonts w:ascii="Arial" w:cs="Arial" w:eastAsia="Arial" w:hAnsi="Arial"/>
          <w:sz w:val="22"/>
          <w:szCs w:val="22"/>
        </w:rPr>
        <w:t xml:space="preserve">Confidence-tier formatter spec + production rollout.</w:t>
      </w:r>
    </w:p>
    <w:p>
      <w:pPr>
        <w:pStyle w:val="ListParagraph"/>
        <w:numPr>
          <w:ilvl w:val="0"/>
          <w:numId w:val="3"/>
        </w:numPr>
        <w:spacing w:after="40" w:before="40" w:line="280"/>
      </w:pPr>
      <w:r>
        <w:rPr>
          <w:rFonts w:ascii="Arial" w:cs="Arial" w:eastAsia="Arial" w:hAnsi="Arial"/>
          <w:sz w:val="22"/>
          <w:szCs w:val="22"/>
        </w:rPr>
        <w:t xml:space="preserve">Stale-data detection rules document.</w:t>
      </w:r>
    </w:p>
    <w:p>
      <w:pPr>
        <w:pStyle w:val="ListParagraph"/>
        <w:numPr>
          <w:ilvl w:val="0"/>
          <w:numId w:val="3"/>
        </w:numPr>
        <w:spacing w:after="40" w:before="40" w:line="280"/>
      </w:pPr>
      <w:r>
        <w:rPr>
          <w:rFonts w:ascii="Arial" w:cs="Arial" w:eastAsia="Arial" w:hAnsi="Arial"/>
          <w:sz w:val="22"/>
          <w:szCs w:val="22"/>
        </w:rPr>
        <w:t xml:space="preserve">Event aggregation pipeline build.</w:t>
      </w:r>
    </w:p>
    <w:p>
      <w:pPr>
        <w:pStyle w:val="ListParagraph"/>
        <w:numPr>
          <w:ilvl w:val="0"/>
          <w:numId w:val="3"/>
        </w:numPr>
        <w:spacing w:after="40" w:before="40" w:line="280"/>
      </w:pPr>
      <w:r>
        <w:rPr>
          <w:rFonts w:ascii="Arial" w:cs="Arial" w:eastAsia="Arial" w:hAnsi="Arial"/>
          <w:sz w:val="22"/>
          <w:szCs w:val="22"/>
        </w:rPr>
        <w:t xml:space="preserve">Catalog enrichment SOP for ongoing additions.</w:t>
      </w:r>
    </w:p>
    <w:p>
      <w:pPr>
        <w:pStyle w:val="ListParagraph"/>
        <w:numPr>
          <w:ilvl w:val="0"/>
          <w:numId w:val="3"/>
        </w:numPr>
        <w:spacing w:after="40" w:before="40" w:line="280"/>
      </w:pPr>
      <w:r>
        <w:rPr>
          <w:rFonts w:ascii="Arial" w:cs="Arial" w:eastAsia="Arial" w:hAnsi="Arial"/>
          <w:sz w:val="22"/>
          <w:szCs w:val="22"/>
        </w:rPr>
        <w:t xml:space="preserve">`disclosure_render.py` module + test suite.</w:t>
      </w:r>
    </w:p>
    <w:p>
      <w:pPr>
        <w:pStyle w:val="ListParagraph"/>
        <w:numPr>
          <w:ilvl w:val="0"/>
          <w:numId w:val="3"/>
        </w:numPr>
        <w:spacing w:after="40" w:before="40" w:line="280"/>
      </w:pPr>
      <w:r>
        <w:rPr>
          <w:rFonts w:ascii="Arial" w:cs="Arial" w:eastAsia="Arial" w:hAnsi="Arial"/>
          <w:sz w:val="22"/>
          <w:szCs w:val="22"/>
        </w:rPr>
        <w:t xml:space="preserve">Audience signal column on `chat_logs` + dashboard.</w:t>
      </w:r>
    </w:p>
    <w:p>
      <w:pPr>
        <w:pStyle w:val="Heading2"/>
        <w:spacing w:after="120" w:before="280"/>
      </w:pPr>
      <w:r>
        <w:rPr>
          <w:rFonts w:ascii="Arial" w:cs="Arial" w:eastAsia="Arial" w:hAnsi="Arial"/>
          <w:b/>
          <w:bCs/>
          <w:color w:val="0E6E7C"/>
          <w:sz w:val="28"/>
          <w:szCs w:val="28"/>
        </w:rPr>
        <w:t xml:space="preserve">Phase 2 — Distribution + Audience Signal Review (Months 3–6)</w:t>
      </w:r>
    </w:p>
    <w:p>
      <w:pPr>
        <w:pStyle w:val="Heading3"/>
        <w:spacing w:after="100" w:before="200"/>
      </w:pPr>
      <w:r>
        <w:rPr>
          <w:rFonts w:ascii="Arial" w:cs="Arial" w:eastAsia="Arial" w:hAnsi="Arial"/>
          <w:b/>
          <w:bCs/>
          <w:sz w:val="24"/>
          <w:szCs w:val="24"/>
        </w:rPr>
        <w:t xml:space="preserve">Phase 2 goals</w:t>
      </w:r>
    </w:p>
    <w:p>
      <w:pPr>
        <w:pStyle w:val="ListParagraph"/>
        <w:numPr>
          <w:ilvl w:val="0"/>
          <w:numId w:val="3"/>
        </w:numPr>
        <w:spacing w:after="40" w:before="40" w:line="280"/>
      </w:pPr>
      <w:r>
        <w:rPr>
          <w:rFonts w:ascii="Arial" w:cs="Arial" w:eastAsia="Arial" w:hAnsi="Arial"/>
          <w:sz w:val="22"/>
          <w:szCs w:val="22"/>
        </w:rPr>
        <w:t xml:space="preserve">Eight to twelve weeks of audience-signal data reviewed; visitor-mode decision documented.</w:t>
      </w:r>
    </w:p>
    <w:p>
      <w:pPr>
        <w:pStyle w:val="ListParagraph"/>
        <w:numPr>
          <w:ilvl w:val="0"/>
          <w:numId w:val="3"/>
        </w:numPr>
        <w:spacing w:after="40" w:before="40" w:line="280"/>
      </w:pPr>
      <w:r>
        <w:rPr>
          <w:rFonts w:ascii="Arial" w:cs="Arial" w:eastAsia="Arial" w:hAnsi="Arial"/>
          <w:sz w:val="22"/>
          <w:szCs w:val="22"/>
        </w:rPr>
        <w:t xml:space="preserve">Airbnb host distribution test launched (50 hosts, unique URLs, conversion metric defined in SQL pre-launch).</w:t>
      </w:r>
    </w:p>
    <w:p>
      <w:pPr>
        <w:pStyle w:val="ListParagraph"/>
        <w:numPr>
          <w:ilvl w:val="0"/>
          <w:numId w:val="3"/>
        </w:numPr>
        <w:spacing w:after="40" w:before="40" w:line="280"/>
      </w:pPr>
      <w:r>
        <w:rPr>
          <w:rFonts w:ascii="Arial" w:cs="Arial" w:eastAsia="Arial" w:hAnsi="Arial"/>
          <w:sz w:val="22"/>
          <w:szCs w:val="22"/>
        </w:rPr>
        <w:t xml:space="preserve">Chamber of Commerce relationship initiated.</w:t>
      </w:r>
    </w:p>
    <w:p>
      <w:pPr>
        <w:pStyle w:val="ListParagraph"/>
        <w:numPr>
          <w:ilvl w:val="0"/>
          <w:numId w:val="3"/>
        </w:numPr>
        <w:spacing w:after="40" w:before="40" w:line="280"/>
      </w:pPr>
      <w:r>
        <w:rPr>
          <w:rFonts w:ascii="Arial" w:cs="Arial" w:eastAsia="Arial" w:hAnsi="Arial"/>
          <w:sz w:val="22"/>
          <w:szCs w:val="22"/>
        </w:rPr>
        <w:t xml:space="preserve">Local SEO landing pages for top 20 query themes deployed.</w:t>
      </w:r>
    </w:p>
    <w:p>
      <w:pPr>
        <w:pStyle w:val="ListParagraph"/>
        <w:numPr>
          <w:ilvl w:val="0"/>
          <w:numId w:val="3"/>
        </w:numPr>
        <w:spacing w:after="40" w:before="40" w:line="280"/>
      </w:pPr>
      <w:r>
        <w:rPr>
          <w:rFonts w:ascii="Arial" w:cs="Arial" w:eastAsia="Arial" w:hAnsi="Arial"/>
          <w:sz w:val="22"/>
          <w:szCs w:val="22"/>
        </w:rPr>
        <w:t xml:space="preserve">First measurable returning-user data from at least one physical channel.</w:t>
      </w:r>
    </w:p>
    <w:p>
      <w:pPr>
        <w:pStyle w:val="Heading3"/>
        <w:spacing w:after="100" w:before="200"/>
      </w:pPr>
      <w:r>
        <w:rPr>
          <w:rFonts w:ascii="Arial" w:cs="Arial" w:eastAsia="Arial" w:hAnsi="Arial"/>
          <w:b/>
          <w:bCs/>
          <w:sz w:val="24"/>
          <w:szCs w:val="24"/>
        </w:rPr>
        <w:t xml:space="preserve">Phase 2 close criteria</w:t>
      </w:r>
    </w:p>
    <w:p>
      <w:pPr>
        <w:pStyle w:val="ListParagraph"/>
        <w:numPr>
          <w:ilvl w:val="0"/>
          <w:numId w:val="3"/>
        </w:numPr>
        <w:spacing w:after="40" w:before="40" w:line="280"/>
      </w:pPr>
      <w:r>
        <w:rPr>
          <w:rFonts w:ascii="Arial" w:cs="Arial" w:eastAsia="Arial" w:hAnsi="Arial"/>
          <w:sz w:val="22"/>
          <w:szCs w:val="22"/>
        </w:rPr>
        <w:t xml:space="preserve">Audience-signal data reviewed; decision documented on whether visitor mode UI is justified (and if so, how it ships as a content surface within the unified composer).</w:t>
      </w:r>
    </w:p>
    <w:p>
      <w:pPr>
        <w:pStyle w:val="ListParagraph"/>
        <w:numPr>
          <w:ilvl w:val="0"/>
          <w:numId w:val="3"/>
        </w:numPr>
        <w:spacing w:after="40" w:before="40" w:line="280"/>
      </w:pPr>
      <w:r>
        <w:rPr>
          <w:rFonts w:ascii="Arial" w:cs="Arial" w:eastAsia="Arial" w:hAnsi="Arial"/>
          <w:sz w:val="22"/>
          <w:szCs w:val="22"/>
        </w:rPr>
        <w:t xml:space="preserve">At least one distribution channel demonstrates returning-user conversion above defined threshold.</w:t>
      </w:r>
    </w:p>
    <w:p>
      <w:pPr>
        <w:pStyle w:val="ListParagraph"/>
        <w:numPr>
          <w:ilvl w:val="0"/>
          <w:numId w:val="3"/>
        </w:numPr>
        <w:spacing w:after="40" w:before="40" w:line="280"/>
      </w:pPr>
      <w:r>
        <w:rPr>
          <w:rFonts w:ascii="Arial" w:cs="Arial" w:eastAsia="Arial" w:hAnsi="Arial"/>
          <w:sz w:val="22"/>
          <w:szCs w:val="22"/>
        </w:rPr>
        <w:t xml:space="preserve">Catalog density continues to improve (no regression on Phase 1 quality bands).</w:t>
      </w:r>
    </w:p>
    <w:p>
      <w:pPr>
        <w:pStyle w:val="Heading3"/>
        <w:spacing w:after="100" w:before="200"/>
      </w:pPr>
      <w:r>
        <w:rPr>
          <w:rFonts w:ascii="Arial" w:cs="Arial" w:eastAsia="Arial" w:hAnsi="Arial"/>
          <w:b/>
          <w:bCs/>
          <w:sz w:val="24"/>
          <w:szCs w:val="24"/>
        </w:rPr>
        <w:t xml:space="preserve">Phase 2 deliverables</w:t>
      </w:r>
    </w:p>
    <w:p>
      <w:pPr>
        <w:pStyle w:val="ListParagraph"/>
        <w:numPr>
          <w:ilvl w:val="0"/>
          <w:numId w:val="3"/>
        </w:numPr>
        <w:spacing w:after="40" w:before="40" w:line="280"/>
      </w:pPr>
      <w:r>
        <w:rPr>
          <w:rFonts w:ascii="Arial" w:cs="Arial" w:eastAsia="Arial" w:hAnsi="Arial"/>
          <w:sz w:val="22"/>
          <w:szCs w:val="22"/>
        </w:rPr>
        <w:t xml:space="preserve">Visitor / local mix dashboard + decision memo.</w:t>
      </w:r>
    </w:p>
    <w:p>
      <w:pPr>
        <w:pStyle w:val="ListParagraph"/>
        <w:numPr>
          <w:ilvl w:val="0"/>
          <w:numId w:val="3"/>
        </w:numPr>
        <w:spacing w:after="40" w:before="40" w:line="280"/>
      </w:pPr>
      <w:r>
        <w:rPr>
          <w:rFonts w:ascii="Arial" w:cs="Arial" w:eastAsia="Arial" w:hAnsi="Arial"/>
          <w:sz w:val="22"/>
          <w:szCs w:val="22"/>
        </w:rPr>
        <w:t xml:space="preserve">Airbnb host welcome-card asset and host outreach sequence.</w:t>
      </w:r>
    </w:p>
    <w:p>
      <w:pPr>
        <w:pStyle w:val="ListParagraph"/>
        <w:numPr>
          <w:ilvl w:val="0"/>
          <w:numId w:val="3"/>
        </w:numPr>
        <w:spacing w:after="40" w:before="40" w:line="280"/>
      </w:pPr>
      <w:r>
        <w:rPr>
          <w:rFonts w:ascii="Arial" w:cs="Arial" w:eastAsia="Arial" w:hAnsi="Arial"/>
          <w:sz w:val="22"/>
          <w:szCs w:val="22"/>
        </w:rPr>
        <w:t xml:space="preserve">Chamber partnership memo and follow-up cadence.</w:t>
      </w:r>
    </w:p>
    <w:p>
      <w:pPr>
        <w:pStyle w:val="ListParagraph"/>
        <w:numPr>
          <w:ilvl w:val="0"/>
          <w:numId w:val="3"/>
        </w:numPr>
        <w:spacing w:after="40" w:before="40" w:line="280"/>
      </w:pPr>
      <w:r>
        <w:rPr>
          <w:rFonts w:ascii="Arial" w:cs="Arial" w:eastAsia="Arial" w:hAnsi="Arial"/>
          <w:sz w:val="22"/>
          <w:szCs w:val="22"/>
        </w:rPr>
        <w:t xml:space="preserve">SEO landing-page template and content batch.</w:t>
      </w:r>
    </w:p>
    <w:p>
      <w:pPr>
        <w:pStyle w:val="ListParagraph"/>
        <w:numPr>
          <w:ilvl w:val="0"/>
          <w:numId w:val="3"/>
        </w:numPr>
        <w:spacing w:after="40" w:before="40" w:line="280"/>
      </w:pPr>
      <w:r>
        <w:rPr>
          <w:rFonts w:ascii="Arial" w:cs="Arial" w:eastAsia="Arial" w:hAnsi="Arial"/>
          <w:sz w:val="22"/>
          <w:szCs w:val="22"/>
        </w:rPr>
        <w:t xml:space="preserve">Distribution measurement dashboard wired to `chat_logs` + UTM landing log.</w:t>
      </w:r>
    </w:p>
    <w:p>
      <w:pPr>
        <w:pStyle w:val="Heading2"/>
        <w:spacing w:after="120" w:before="280"/>
      </w:pPr>
      <w:r>
        <w:rPr>
          <w:rFonts w:ascii="Arial" w:cs="Arial" w:eastAsia="Arial" w:hAnsi="Arial"/>
          <w:b/>
          <w:bCs/>
          <w:color w:val="0E6E7C"/>
          <w:sz w:val="28"/>
          <w:szCs w:val="28"/>
        </w:rPr>
        <w:t xml:space="preserve">Phase 3 — Monetization Scale (Months 6–12)</w:t>
      </w:r>
    </w:p>
    <w:p>
      <w:pPr>
        <w:pStyle w:val="Heading3"/>
        <w:spacing w:after="100" w:before="200"/>
      </w:pPr>
      <w:r>
        <w:rPr>
          <w:rFonts w:ascii="Arial" w:cs="Arial" w:eastAsia="Arial" w:hAnsi="Arial"/>
          <w:b/>
          <w:bCs/>
          <w:sz w:val="24"/>
          <w:szCs w:val="24"/>
        </w:rPr>
        <w:t xml:space="preserve">Phase 3 goals</w:t>
      </w:r>
    </w:p>
    <w:p>
      <w:pPr>
        <w:pStyle w:val="ListParagraph"/>
        <w:numPr>
          <w:ilvl w:val="0"/>
          <w:numId w:val="3"/>
        </w:numPr>
        <w:spacing w:after="40" w:before="40" w:line="280"/>
      </w:pPr>
      <w:r>
        <w:rPr>
          <w:rFonts w:ascii="Arial" w:cs="Arial" w:eastAsia="Arial" w:hAnsi="Arial"/>
          <w:sz w:val="22"/>
          <w:szCs w:val="22"/>
        </w:rPr>
        <w:t xml:space="preserve">Featured tier launched and onboarded — target: 25 paying customers by month 9, 50 by month 12.</w:t>
      </w:r>
    </w:p>
    <w:p>
      <w:pPr>
        <w:pStyle w:val="ListParagraph"/>
        <w:numPr>
          <w:ilvl w:val="0"/>
          <w:numId w:val="3"/>
        </w:numPr>
        <w:spacing w:after="40" w:before="40" w:line="280"/>
      </w:pPr>
      <w:r>
        <w:rPr>
          <w:rFonts w:ascii="Arial" w:cs="Arial" w:eastAsia="Arial" w:hAnsi="Arial"/>
          <w:sz w:val="22"/>
          <w:szCs w:val="22"/>
        </w:rPr>
        <w:t xml:space="preserve">Spotlight tier formalized with rotation logic and analytics dashboard.</w:t>
      </w:r>
    </w:p>
    <w:p>
      <w:pPr>
        <w:pStyle w:val="ListParagraph"/>
        <w:numPr>
          <w:ilvl w:val="0"/>
          <w:numId w:val="3"/>
        </w:numPr>
        <w:spacing w:after="40" w:before="40" w:line="280"/>
      </w:pPr>
      <w:r>
        <w:rPr>
          <w:rFonts w:ascii="Arial" w:cs="Arial" w:eastAsia="Arial" w:hAnsi="Arial"/>
          <w:sz w:val="22"/>
          <w:szCs w:val="22"/>
        </w:rPr>
        <w:t xml:space="preserve">Category Premier tier opened to 1–2 categories as pilot (HVAC, plumbing) — only on the post–Phase 1 deterministic renderer path.</w:t>
      </w:r>
    </w:p>
    <w:p>
      <w:pPr>
        <w:pStyle w:val="ListParagraph"/>
        <w:numPr>
          <w:ilvl w:val="0"/>
          <w:numId w:val="3"/>
        </w:numPr>
        <w:spacing w:after="40" w:before="40" w:line="280"/>
      </w:pPr>
      <w:r>
        <w:rPr>
          <w:rFonts w:ascii="Arial" w:cs="Arial" w:eastAsia="Arial" w:hAnsi="Arial"/>
          <w:sz w:val="22"/>
          <w:szCs w:val="22"/>
        </w:rPr>
        <w:t xml:space="preserve">Outbound sales motion to top service businesses (founder-led, no hires).</w:t>
      </w:r>
    </w:p>
    <w:p>
      <w:pPr>
        <w:pStyle w:val="ListParagraph"/>
        <w:numPr>
          <w:ilvl w:val="0"/>
          <w:numId w:val="3"/>
        </w:numPr>
        <w:spacing w:after="40" w:before="40" w:line="280"/>
      </w:pPr>
      <w:r>
        <w:rPr>
          <w:rFonts w:ascii="Arial" w:cs="Arial" w:eastAsia="Arial" w:hAnsi="Arial"/>
          <w:sz w:val="22"/>
          <w:szCs w:val="22"/>
        </w:rPr>
        <w:t xml:space="preserve">Tourism affiliate model piloted with 3–5 operators.</w:t>
      </w:r>
    </w:p>
    <w:p>
      <w:pPr>
        <w:pStyle w:val="Heading3"/>
        <w:spacing w:after="100" w:before="200"/>
      </w:pPr>
      <w:r>
        <w:rPr>
          <w:rFonts w:ascii="Arial" w:cs="Arial" w:eastAsia="Arial" w:hAnsi="Arial"/>
          <w:b/>
          <w:bCs/>
          <w:sz w:val="24"/>
          <w:szCs w:val="24"/>
        </w:rPr>
        <w:t xml:space="preserve">Phase 3 close criteria</w:t>
      </w:r>
    </w:p>
    <w:p>
      <w:pPr>
        <w:pStyle w:val="ListParagraph"/>
        <w:numPr>
          <w:ilvl w:val="0"/>
          <w:numId w:val="3"/>
        </w:numPr>
        <w:spacing w:after="40" w:before="40" w:line="280"/>
      </w:pPr>
      <w:r>
        <w:rPr>
          <w:rFonts w:ascii="Arial" w:cs="Arial" w:eastAsia="Arial" w:hAnsi="Arial"/>
          <w:sz w:val="22"/>
          <w:szCs w:val="22"/>
        </w:rPr>
        <w:t xml:space="preserve">Combined MRR exceeds $5,000.</w:t>
      </w:r>
    </w:p>
    <w:p>
      <w:pPr>
        <w:pStyle w:val="ListParagraph"/>
        <w:numPr>
          <w:ilvl w:val="0"/>
          <w:numId w:val="3"/>
        </w:numPr>
        <w:spacing w:after="40" w:before="40" w:line="280"/>
      </w:pPr>
      <w:r>
        <w:rPr>
          <w:rFonts w:ascii="Arial" w:cs="Arial" w:eastAsia="Arial" w:hAnsi="Arial"/>
          <w:sz w:val="22"/>
          <w:szCs w:val="22"/>
        </w:rPr>
        <w:t xml:space="preserve">Subscription churn under 8% monthly.</w:t>
      </w:r>
    </w:p>
    <w:p>
      <w:pPr>
        <w:pStyle w:val="ListParagraph"/>
        <w:numPr>
          <w:ilvl w:val="0"/>
          <w:numId w:val="3"/>
        </w:numPr>
        <w:spacing w:after="40" w:before="40" w:line="280"/>
      </w:pPr>
      <w:r>
        <w:rPr>
          <w:rFonts w:ascii="Arial" w:cs="Arial" w:eastAsia="Arial" w:hAnsi="Arial"/>
          <w:sz w:val="22"/>
          <w:szCs w:val="22"/>
        </w:rPr>
        <w:t xml:space="preserve">No degradation in trust metrics from Phase 1.</w:t>
      </w:r>
    </w:p>
    <w:p>
      <w:pPr>
        <w:pStyle w:val="ListParagraph"/>
        <w:numPr>
          <w:ilvl w:val="0"/>
          <w:numId w:val="3"/>
        </w:numPr>
        <w:spacing w:after="40" w:before="40" w:line="280"/>
      </w:pPr>
      <w:r>
        <w:rPr>
          <w:rFonts w:ascii="Arial" w:cs="Arial" w:eastAsia="Arial" w:hAnsi="Arial"/>
          <w:sz w:val="22"/>
          <w:szCs w:val="22"/>
        </w:rPr>
        <w:t xml:space="preserve">Customer interviews with at least 10 paying businesses to validate value delivery.</w:t>
      </w:r>
    </w:p>
    <w:p>
      <w:pPr>
        <w:pStyle w:val="ListParagraph"/>
        <w:numPr>
          <w:ilvl w:val="0"/>
          <w:numId w:val="3"/>
        </w:numPr>
        <w:spacing w:after="40" w:before="40" w:line="280"/>
      </w:pPr>
      <w:r>
        <w:rPr>
          <w:rFonts w:ascii="Arial" w:cs="Arial" w:eastAsia="Arial" w:hAnsi="Arial"/>
          <w:sz w:val="22"/>
          <w:szCs w:val="22"/>
        </w:rPr>
        <w:t xml:space="preserve">Premier ARPU measured on actual conversions, not assumed — used as input to Phase 4 pricing review.</w:t>
      </w:r>
    </w:p>
    <w:p>
      <w:pPr>
        <w:pStyle w:val="Heading3"/>
        <w:spacing w:after="100" w:before="200"/>
      </w:pPr>
      <w:r>
        <w:rPr>
          <w:rFonts w:ascii="Arial" w:cs="Arial" w:eastAsia="Arial" w:hAnsi="Arial"/>
          <w:b/>
          <w:bCs/>
          <w:sz w:val="24"/>
          <w:szCs w:val="24"/>
        </w:rPr>
        <w:t xml:space="preserve">Phase 3 deliverables</w:t>
      </w:r>
    </w:p>
    <w:p>
      <w:pPr>
        <w:pStyle w:val="ListParagraph"/>
        <w:numPr>
          <w:ilvl w:val="0"/>
          <w:numId w:val="3"/>
        </w:numPr>
        <w:spacing w:after="40" w:before="40" w:line="280"/>
      </w:pPr>
      <w:r>
        <w:rPr>
          <w:rFonts w:ascii="Arial" w:cs="Arial" w:eastAsia="Arial" w:hAnsi="Arial"/>
          <w:sz w:val="22"/>
          <w:szCs w:val="22"/>
        </w:rPr>
        <w:t xml:space="preserve">Self-serve Featured tier signup flow.</w:t>
      </w:r>
    </w:p>
    <w:p>
      <w:pPr>
        <w:pStyle w:val="ListParagraph"/>
        <w:numPr>
          <w:ilvl w:val="0"/>
          <w:numId w:val="3"/>
        </w:numPr>
        <w:spacing w:after="40" w:before="40" w:line="280"/>
      </w:pPr>
      <w:r>
        <w:rPr>
          <w:rFonts w:ascii="Arial" w:cs="Arial" w:eastAsia="Arial" w:hAnsi="Arial"/>
          <w:sz w:val="22"/>
          <w:szCs w:val="22"/>
        </w:rPr>
        <w:t xml:space="preserve">Business owner dashboard (impressions, taps, contact actions).</w:t>
      </w:r>
    </w:p>
    <w:p>
      <w:pPr>
        <w:pStyle w:val="ListParagraph"/>
        <w:numPr>
          <w:ilvl w:val="0"/>
          <w:numId w:val="3"/>
        </w:numPr>
        <w:spacing w:after="40" w:before="40" w:line="280"/>
      </w:pPr>
      <w:r>
        <w:rPr>
          <w:rFonts w:ascii="Arial" w:cs="Arial" w:eastAsia="Arial" w:hAnsi="Arial"/>
          <w:sz w:val="22"/>
          <w:szCs w:val="22"/>
        </w:rPr>
        <w:t xml:space="preserve">Sales playbook and outreach sequences.</w:t>
      </w:r>
    </w:p>
    <w:p>
      <w:pPr>
        <w:pStyle w:val="ListParagraph"/>
        <w:numPr>
          <w:ilvl w:val="0"/>
          <w:numId w:val="3"/>
        </w:numPr>
        <w:spacing w:after="40" w:before="40" w:line="280"/>
      </w:pPr>
      <w:r>
        <w:rPr>
          <w:rFonts w:ascii="Arial" w:cs="Arial" w:eastAsia="Arial" w:hAnsi="Arial"/>
          <w:sz w:val="22"/>
          <w:szCs w:val="22"/>
        </w:rPr>
        <w:t xml:space="preserve">Tourism affiliate tracking infrastructure.</w:t>
      </w:r>
    </w:p>
    <w:p>
      <w:pPr>
        <w:pStyle w:val="ListParagraph"/>
        <w:numPr>
          <w:ilvl w:val="0"/>
          <w:numId w:val="3"/>
        </w:numPr>
        <w:spacing w:after="40" w:before="40" w:line="280"/>
      </w:pPr>
      <w:r>
        <w:rPr>
          <w:rFonts w:ascii="Arial" w:cs="Arial" w:eastAsia="Arial" w:hAnsi="Arial"/>
          <w:sz w:val="22"/>
          <w:szCs w:val="22"/>
        </w:rPr>
        <w:t xml:space="preserve">Quarterly business review template for Premier tier customers.</w:t>
      </w:r>
    </w:p>
    <w:p>
      <w:pPr>
        <w:pStyle w:val="Heading2"/>
        <w:spacing w:after="120" w:before="280"/>
      </w:pPr>
      <w:r>
        <w:rPr>
          <w:rFonts w:ascii="Arial" w:cs="Arial" w:eastAsia="Arial" w:hAnsi="Arial"/>
          <w:b/>
          <w:bCs/>
          <w:color w:val="0E6E7C"/>
          <w:sz w:val="28"/>
          <w:szCs w:val="28"/>
        </w:rPr>
        <w:t xml:space="preserve">Phase 4 — Optimization + Tourism Layer (Months 12–24)</w:t>
      </w:r>
    </w:p>
    <w:p>
      <w:pPr>
        <w:pStyle w:val="Heading3"/>
        <w:spacing w:after="100" w:before="200"/>
      </w:pPr>
      <w:r>
        <w:rPr>
          <w:rFonts w:ascii="Arial" w:cs="Arial" w:eastAsia="Arial" w:hAnsi="Arial"/>
          <w:b/>
          <w:bCs/>
          <w:sz w:val="24"/>
          <w:szCs w:val="24"/>
        </w:rPr>
        <w:t xml:space="preserve">Phase 4 goals</w:t>
      </w:r>
    </w:p>
    <w:p>
      <w:pPr>
        <w:pStyle w:val="ListParagraph"/>
        <w:numPr>
          <w:ilvl w:val="0"/>
          <w:numId w:val="3"/>
        </w:numPr>
        <w:spacing w:after="40" w:before="40" w:line="280"/>
      </w:pPr>
      <w:r>
        <w:rPr>
          <w:rFonts w:ascii="Arial" w:cs="Arial" w:eastAsia="Arial" w:hAnsi="Arial"/>
          <w:sz w:val="22"/>
          <w:szCs w:val="22"/>
        </w:rPr>
        <w:t xml:space="preserve">Visitor mode content surface shipped if Phase 2 data justified it (single composer, ranking + copy variant).</w:t>
      </w:r>
    </w:p>
    <w:p>
      <w:pPr>
        <w:pStyle w:val="ListParagraph"/>
        <w:numPr>
          <w:ilvl w:val="0"/>
          <w:numId w:val="3"/>
        </w:numPr>
        <w:spacing w:after="40" w:before="40" w:line="280"/>
      </w:pPr>
      <w:r>
        <w:rPr>
          <w:rFonts w:ascii="Arial" w:cs="Arial" w:eastAsia="Arial" w:hAnsi="Arial"/>
          <w:sz w:val="22"/>
          <w:szCs w:val="22"/>
        </w:rPr>
        <w:t xml:space="preserve">Tourism affiliate scaled to 15–25 operators.</w:t>
      </w:r>
    </w:p>
    <w:p>
      <w:pPr>
        <w:pStyle w:val="ListParagraph"/>
        <w:numPr>
          <w:ilvl w:val="0"/>
          <w:numId w:val="3"/>
        </w:numPr>
        <w:spacing w:after="40" w:before="40" w:line="280"/>
      </w:pPr>
      <w:r>
        <w:rPr>
          <w:rFonts w:ascii="Arial" w:cs="Arial" w:eastAsia="Arial" w:hAnsi="Arial"/>
          <w:sz w:val="22"/>
          <w:szCs w:val="22"/>
        </w:rPr>
        <w:t xml:space="preserve">Hotel / resort partnership program launched.</w:t>
      </w:r>
    </w:p>
    <w:p>
      <w:pPr>
        <w:pStyle w:val="ListParagraph"/>
        <w:numPr>
          <w:ilvl w:val="0"/>
          <w:numId w:val="3"/>
        </w:numPr>
        <w:spacing w:after="40" w:before="40" w:line="280"/>
      </w:pPr>
      <w:r>
        <w:rPr>
          <w:rFonts w:ascii="Arial" w:cs="Arial" w:eastAsia="Arial" w:hAnsi="Arial"/>
          <w:sz w:val="22"/>
          <w:szCs w:val="22"/>
        </w:rPr>
        <w:t xml:space="preserve">Pricing optimization based on twelve months of customer data — Premier rebalance based on measured ARPU.</w:t>
      </w:r>
    </w:p>
    <w:p>
      <w:pPr>
        <w:pStyle w:val="ListParagraph"/>
        <w:numPr>
          <w:ilvl w:val="0"/>
          <w:numId w:val="3"/>
        </w:numPr>
        <w:spacing w:after="40" w:before="40" w:line="280"/>
      </w:pPr>
      <w:r>
        <w:rPr>
          <w:rFonts w:ascii="Arial" w:cs="Arial" w:eastAsia="Arial" w:hAnsi="Arial"/>
          <w:sz w:val="22"/>
          <w:szCs w:val="22"/>
        </w:rPr>
        <w:t xml:space="preserve">Combined MRR target: $15,000+.</w:t>
      </w:r>
    </w:p>
    <w:p>
      <w:pPr>
        <w:pStyle w:val="Heading3"/>
        <w:spacing w:after="100" w:before="200"/>
      </w:pPr>
      <w:r>
        <w:rPr>
          <w:rFonts w:ascii="Arial" w:cs="Arial" w:eastAsia="Arial" w:hAnsi="Arial"/>
          <w:b/>
          <w:bCs/>
          <w:sz w:val="24"/>
          <w:szCs w:val="24"/>
        </w:rPr>
        <w:t xml:space="preserve">Phase 4 deliverables</w:t>
      </w:r>
    </w:p>
    <w:p>
      <w:pPr>
        <w:pStyle w:val="ListParagraph"/>
        <w:numPr>
          <w:ilvl w:val="0"/>
          <w:numId w:val="3"/>
        </w:numPr>
        <w:spacing w:after="40" w:before="40" w:line="280"/>
      </w:pPr>
      <w:r>
        <w:rPr>
          <w:rFonts w:ascii="Arial" w:cs="Arial" w:eastAsia="Arial" w:hAnsi="Arial"/>
          <w:sz w:val="22"/>
          <w:szCs w:val="22"/>
        </w:rPr>
        <w:t xml:space="preserve">Visitor-mode content surface spec and rollout (conditional on data).</w:t>
      </w:r>
    </w:p>
    <w:p>
      <w:pPr>
        <w:pStyle w:val="ListParagraph"/>
        <w:numPr>
          <w:ilvl w:val="0"/>
          <w:numId w:val="3"/>
        </w:numPr>
        <w:spacing w:after="40" w:before="40" w:line="280"/>
      </w:pPr>
      <w:r>
        <w:rPr>
          <w:rFonts w:ascii="Arial" w:cs="Arial" w:eastAsia="Arial" w:hAnsi="Arial"/>
          <w:sz w:val="22"/>
          <w:szCs w:val="22"/>
        </w:rPr>
        <w:t xml:space="preserve">Hotel concierge partnership pack.</w:t>
      </w:r>
    </w:p>
    <w:p>
      <w:pPr>
        <w:pStyle w:val="ListParagraph"/>
        <w:numPr>
          <w:ilvl w:val="0"/>
          <w:numId w:val="3"/>
        </w:numPr>
        <w:spacing w:after="40" w:before="40" w:line="280"/>
      </w:pPr>
      <w:r>
        <w:rPr>
          <w:rFonts w:ascii="Arial" w:cs="Arial" w:eastAsia="Arial" w:hAnsi="Arial"/>
          <w:sz w:val="22"/>
          <w:szCs w:val="22"/>
        </w:rPr>
        <w:t xml:space="preserve">Annual retention and ARPU report.</w:t>
      </w:r>
    </w:p>
    <w:p>
      <w:pPr>
        <w:pStyle w:val="ListParagraph"/>
        <w:numPr>
          <w:ilvl w:val="0"/>
          <w:numId w:val="3"/>
        </w:numPr>
        <w:spacing w:after="40" w:before="40" w:line="280"/>
      </w:pPr>
      <w:r>
        <w:rPr>
          <w:rFonts w:ascii="Arial" w:cs="Arial" w:eastAsia="Arial" w:hAnsi="Arial"/>
          <w:sz w:val="22"/>
          <w:szCs w:val="22"/>
        </w:rPr>
        <w:t xml:space="preserve">Pricing review and tier rebalance memo.</w:t>
      </w:r>
    </w:p>
    <w:p>
      <w:pPr>
        <w:pStyle w:val="Heading1"/>
        <w:spacing w:after="160" w:before="360"/>
      </w:pPr>
      <w:r>
        <w:rPr>
          <w:rFonts w:ascii="Arial" w:cs="Arial" w:eastAsia="Arial" w:hAnsi="Arial"/>
          <w:b/>
          <w:bCs/>
          <w:sz w:val="36"/>
          <w:szCs w:val="36"/>
        </w:rPr>
        <w:t xml:space="preserve">Appendix — Decisions Required</w:t>
      </w:r>
    </w:p>
    <w:p>
      <w:pPr>
        <w:spacing w:after="100" w:before="100" w:line="300"/>
      </w:pPr>
      <w:r>
        <w:rPr>
          <w:rFonts w:ascii="Arial" w:cs="Arial" w:eastAsia="Arial" w:hAnsi="Arial"/>
          <w:sz w:val="22"/>
          <w:szCs w:val="22"/>
        </w:rPr>
        <w:t xml:space="preserve">The following decisions are blocking or would meaningfully change the plan. Each can be answered with a brief directional signal — no detailed counter-proposal required.</w:t>
      </w:r>
    </w:p>
    <w:p>
      <w:pPr>
        <w:pStyle w:val="ListParagraph"/>
        <w:numPr>
          <w:ilvl w:val="0"/>
          <w:numId w:val="2"/>
        </w:numPr>
        <w:spacing w:after="40" w:before="40" w:line="280"/>
      </w:pPr>
      <w:r>
        <w:rPr>
          <w:rFonts w:ascii="Arial" w:cs="Arial" w:eastAsia="Arial" w:hAnsi="Arial"/>
          <w:sz w:val="22"/>
          <w:szCs w:val="22"/>
        </w:rPr>
        <w:t xml:space="preserve">Confirm trust + UI-data-correctness work is the correct Phase 1 priority before any monetization or new UX work.</w:t>
      </w:r>
    </w:p>
    <w:p>
      <w:pPr>
        <w:pStyle w:val="ListParagraph"/>
        <w:numPr>
          <w:ilvl w:val="0"/>
          <w:numId w:val="2"/>
        </w:numPr>
        <w:spacing w:after="40" w:before="40" w:line="280"/>
      </w:pPr>
      <w:r>
        <w:rPr>
          <w:rFonts w:ascii="Arial" w:cs="Arial" w:eastAsia="Arial" w:hAnsi="Arial"/>
          <w:sz w:val="22"/>
          <w:szCs w:val="22"/>
        </w:rPr>
        <w:t xml:space="preserve">Confirm visitor inventory build (30 tourism operators) is in scope for Phase 1 — or whether to defer to Phase 2.</w:t>
      </w:r>
    </w:p>
    <w:p>
      <w:pPr>
        <w:pStyle w:val="ListParagraph"/>
        <w:numPr>
          <w:ilvl w:val="0"/>
          <w:numId w:val="2"/>
        </w:numPr>
        <w:spacing w:after="40" w:before="40" w:line="280"/>
      </w:pPr>
      <w:r>
        <w:rPr>
          <w:rFonts w:ascii="Arial" w:cs="Arial" w:eastAsia="Arial" w:hAnsi="Arial"/>
          <w:sz w:val="22"/>
          <w:szCs w:val="22"/>
        </w:rPr>
        <w:t xml:space="preserve">Approve the recommended tier pricing ($59 / $179 / $399) as working v1 — or signal which tier needs adjustment.</w:t>
      </w:r>
    </w:p>
    <w:p>
      <w:pPr>
        <w:pStyle w:val="ListParagraph"/>
        <w:numPr>
          <w:ilvl w:val="0"/>
          <w:numId w:val="2"/>
        </w:numPr>
        <w:spacing w:after="40" w:before="40" w:line="280"/>
      </w:pPr>
      <w:r>
        <w:rPr>
          <w:rFonts w:ascii="Arial" w:cs="Arial" w:eastAsia="Arial" w:hAnsi="Arial"/>
          <w:sz w:val="22"/>
          <w:szCs w:val="22"/>
        </w:rPr>
        <w:t xml:space="preserve">Approve Airbnb host channel as the first distribution test, or name a different first channel.</w:t>
      </w:r>
    </w:p>
    <w:p>
      <w:pPr>
        <w:pStyle w:val="ListParagraph"/>
        <w:numPr>
          <w:ilvl w:val="0"/>
          <w:numId w:val="2"/>
        </w:numPr>
        <w:spacing w:after="40" w:before="40" w:line="280"/>
      </w:pPr>
      <w:r>
        <w:rPr>
          <w:rFonts w:ascii="Arial" w:cs="Arial" w:eastAsia="Arial" w:hAnsi="Arial"/>
          <w:sz w:val="22"/>
          <w:szCs w:val="22"/>
        </w:rPr>
        <w:t xml:space="preserve">Confirm year-round service categories (HVAC, plumbing, pool) are the first paying-customer targets, before tourism affiliate pursuit.</w:t>
      </w:r>
    </w:p>
    <w:p>
      <w:pPr>
        <w:pStyle w:val="ListParagraph"/>
        <w:numPr>
          <w:ilvl w:val="0"/>
          <w:numId w:val="2"/>
        </w:numPr>
        <w:spacing w:after="40" w:before="40" w:line="280"/>
      </w:pPr>
      <w:r>
        <w:rPr>
          <w:rFonts w:ascii="Arial" w:cs="Arial" w:eastAsia="Arial" w:hAnsi="Arial"/>
          <w:sz w:val="22"/>
          <w:szCs w:val="22"/>
        </w:rPr>
        <w:t xml:space="preserve">Confirm the $240–280K ARR mature-state projection is the planning baseline (vs. the upper-bound $360K).</w:t>
      </w:r>
    </w:p>
    <w:p>
      <w:pPr>
        <w:pStyle w:val="ListParagraph"/>
        <w:numPr>
          <w:ilvl w:val="0"/>
          <w:numId w:val="2"/>
        </w:numPr>
        <w:spacing w:after="40" w:before="40" w:line="280"/>
      </w:pPr>
      <w:r>
        <w:rPr>
          <w:rFonts w:ascii="Arial" w:cs="Arial" w:eastAsia="Arial" w:hAnsi="Arial"/>
          <w:b/>
          <w:bCs/>
          <w:sz w:val="22"/>
          <w:szCs w:val="22"/>
        </w:rPr>
        <w:t xml:space="preserve">(New)</w:t>
      </w:r>
      <w:r>
        <w:rPr>
          <w:rFonts w:ascii="Arial" w:cs="Arial" w:eastAsia="Arial" w:hAnsi="Arial"/>
          <w:sz w:val="22"/>
          <w:szCs w:val="22"/>
        </w:rPr>
        <w:t xml:space="preserve"> Confirm the deterministic disclosure renderer is a Phase 1 close gate for Premier inventory — i.e., Premier does not open until §4 harness is green and the renderer is in production.</w:t>
      </w:r>
    </w:p>
    <w:p>
      <w:pPr>
        <w:pStyle w:val="ListParagraph"/>
        <w:numPr>
          <w:ilvl w:val="0"/>
          <w:numId w:val="2"/>
        </w:numPr>
        <w:spacing w:after="40" w:before="40" w:line="280"/>
      </w:pPr>
      <w:r>
        <w:rPr>
          <w:rFonts w:ascii="Arial" w:cs="Arial" w:eastAsia="Arial" w:hAnsi="Arial"/>
          <w:b/>
          <w:bCs/>
          <w:sz w:val="22"/>
          <w:szCs w:val="22"/>
        </w:rPr>
        <w:t xml:space="preserve">(New)</w:t>
      </w:r>
      <w:r>
        <w:rPr>
          <w:rFonts w:ascii="Arial" w:cs="Arial" w:eastAsia="Arial" w:hAnsi="Arial"/>
          <w:sz w:val="22"/>
          <w:szCs w:val="22"/>
        </w:rPr>
        <w:t xml:space="preserve"> Confirm the Tier 1 hit-rate target (≥25% post-enrichment over 7 days) as a Phase 1 close criterion — and the policy if it isn't met (open routing investigation rather than declare Phase 1 closed).</w:t>
      </w:r>
    </w:p>
    <w:p>
      <w:pPr>
        <w:pStyle w:val="Heading2"/>
        <w:spacing w:after="120" w:before="280"/>
      </w:pPr>
      <w:r>
        <w:rPr>
          <w:rFonts w:ascii="Arial" w:cs="Arial" w:eastAsia="Arial" w:hAnsi="Arial"/>
          <w:b/>
          <w:bCs/>
          <w:color w:val="0E6E7C"/>
          <w:sz w:val="28"/>
          <w:szCs w:val="28"/>
        </w:rPr>
        <w:t xml:space="preserve">Working Notes</w:t>
      </w:r>
    </w:p>
    <w:p>
      <w:pPr>
        <w:spacing w:after="100" w:before="100" w:line="300"/>
      </w:pPr>
      <w:r>
        <w:rPr>
          <w:rFonts w:ascii="Arial" w:cs="Arial" w:eastAsia="Arial" w:hAnsi="Arial"/>
          <w:sz w:val="22"/>
          <w:szCs w:val="22"/>
        </w:rPr>
        <w:t xml:space="preserve">This plan treats Hava as a single-founder operation with no near-term hires. If headcount or capital plans change, the monetization ceiling shifts upward — primarily through partnership and tourism-affiliate scale capacity, not through pricing changes. The pricing ceiling is set by market depth, not by ambition.</w:t>
      </w:r>
    </w:p>
    <w:p>
      <w:pPr>
        <w:spacing w:after="100" w:before="100" w:line="300"/>
      </w:pPr>
      <w:r>
        <w:rPr>
          <w:rFonts w:ascii="Arial" w:cs="Arial" w:eastAsia="Arial" w:hAnsi="Arial"/>
          <w:sz w:val="22"/>
          <w:szCs w:val="22"/>
        </w:rPr>
        <w:t xml:space="preserve">Several items extend work already in progress (HALT 3, event aggregation pipeline, Tier 2 formatter, redesign tokens). Those references reflect the current state of the project rather than new proposals. The new proposals here are: confidence-tiered formatter behavior, </w:t>
      </w:r>
      <w:r>
        <w:rPr>
          <w:rFonts w:ascii="Arial" w:cs="Arial" w:eastAsia="Arial" w:hAnsi="Arial"/>
          <w:b/>
          <w:bCs/>
          <w:sz w:val="22"/>
          <w:szCs w:val="22"/>
        </w:rPr>
        <w:t xml:space="preserve">the deterministic disclosure renderer</w:t>
      </w:r>
      <w:r>
        <w:rPr>
          <w:rFonts w:ascii="Arial" w:cs="Arial" w:eastAsia="Arial" w:hAnsi="Arial"/>
          <w:sz w:val="22"/>
          <w:szCs w:val="22"/>
        </w:rPr>
        <w:t xml:space="preserve">, </w:t>
      </w:r>
      <w:r>
        <w:rPr>
          <w:rFonts w:ascii="Arial" w:cs="Arial" w:eastAsia="Arial" w:hAnsi="Arial"/>
          <w:b/>
          <w:bCs/>
          <w:sz w:val="22"/>
          <w:szCs w:val="22"/>
        </w:rPr>
        <w:t xml:space="preserve">the half-sprint UI-data-correctness pass</w:t>
      </w:r>
      <w:r>
        <w:rPr>
          <w:rFonts w:ascii="Arial" w:cs="Arial" w:eastAsia="Arial" w:hAnsi="Arial"/>
          <w:sz w:val="22"/>
          <w:szCs w:val="22"/>
        </w:rPr>
        <w:t xml:space="preserve">, </w:t>
      </w:r>
      <w:r>
        <w:rPr>
          <w:rFonts w:ascii="Arial" w:cs="Arial" w:eastAsia="Arial" w:hAnsi="Arial"/>
          <w:b/>
          <w:bCs/>
          <w:sz w:val="22"/>
          <w:szCs w:val="22"/>
        </w:rPr>
        <w:t xml:space="preserve">audience-signal logging pulled forward into Phase 1</w:t>
      </w:r>
      <w:r>
        <w:rPr>
          <w:rFonts w:ascii="Arial" w:cs="Arial" w:eastAsia="Arial" w:hAnsi="Arial"/>
          <w:sz w:val="22"/>
          <w:szCs w:val="22"/>
        </w:rPr>
        <w:t xml:space="preserve">, the tier-pricing structure, and the Airbnb host distribution test as the first measurable channel.</w:t>
      </w:r>
    </w:p>
    <w:p>
      <w:pPr>
        <w:spacing w:after="100" w:before="100" w:line="300"/>
      </w:pPr>
      <w:r>
        <w:rPr>
          <w:rFonts w:ascii="Arial" w:cs="Arial" w:eastAsia="Arial" w:hAnsi="Arial"/>
          <w:sz w:val="22"/>
          <w:szCs w:val="22"/>
        </w:rPr>
        <w:t xml:space="preserve">The keystone is the disclosure renderer. Every other piece either ships independently of it or shares the same architectural pattern. Build it once, ground every paid surface in chat against it, and Premier inventory becomes defensible at $399. Skip it, and Premier never opens at $399.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Ask Hava — Detailed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22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E6E7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A22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Hava — Detailed Plan for Optimization &amp; Monetization</dc:title>
  <dc:creator>Casey</dc:creator>
  <dc:description>Detailed plan grounded in repo state, May 2026.</dc:description>
  <cp:lastModifiedBy>Un-named</cp:lastModifiedBy>
  <cp:revision>1</cp:revision>
  <dcterms:created xsi:type="dcterms:W3CDTF">2026-05-08T21:33:54.699Z</dcterms:created>
  <dcterms:modified xsi:type="dcterms:W3CDTF">2026-05-08T21:33:54.699Z</dcterms:modified>
</cp:coreProperties>
</file>

<file path=docProps/custom.xml><?xml version="1.0" encoding="utf-8"?>
<Properties xmlns="http://schemas.openxmlformats.org/officeDocument/2006/custom-properties" xmlns:vt="http://schemas.openxmlformats.org/officeDocument/2006/docPropsVTypes"/>
</file>