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Permit Preflight</w:t>
      </w:r>
    </w:p>
    <w:p>
      <w:pPr>
        <w:jc w:val="center"/>
      </w:pPr>
      <w:r>
        <w:rPr>
          <w:b/>
          <w:sz w:val="28"/>
        </w:rPr>
        <w:t>Updated Product Plan — Seattle Residential Buildability Intelligence</w:t>
      </w:r>
    </w:p>
    <w:p>
      <w:pPr>
        <w:jc w:val="center"/>
      </w:pPr>
      <w:r>
        <w:rPr>
          <w:i/>
        </w:rPr>
        <w:t>Working source-of-truth for AI-DLC Inception, validation, architecture, and MVP planning</w:t>
      </w:r>
    </w:p>
    <w:p>
      <w:pPr>
        <w:pStyle w:val="Heading1"/>
      </w:pPr>
      <w:r>
        <w:t>1. Executive summary</w:t>
      </w:r>
    </w:p>
    <w:p>
      <w:r>
        <w:t>Permit Preflight is a Seattle-first residential buildability intelligence product for early screening and due diligence. It combines authoritative public property data, a normalized property model, deterministic regulatory rules, PostGIS spatial analysis, and a non-authoritative LLM explanation layer to help a user decide whether a property or proposed project deserves deeper professional investigation.</w:t>
      </w:r>
    </w:p>
    <w:p>
      <w:r>
        <w:t>The MVP should prove two workflows: existing-property project preflight (“Can I build this here?”) and vacant-land screening (“What could I reasonably build here?”). The product must emphasize evidence, uncertainty, source provenance, reproducibility, and secure handling of user, payment, database, and API credentials.</w:t>
      </w:r>
    </w:p>
    <w:p>
      <w:r>
        <w:t>The current $9.99 per-report price is a hypothesis, not a commitment. AI-DLC Inception must validate report usefulness, data availability/licensing, technical feasibility, likely per-report cost, customer willingness to pay, and the strongest initial customer persona before substantial Construction begins.</w:t>
      </w:r>
    </w:p>
    <w:p>
      <w:pPr>
        <w:pStyle w:val="Heading1"/>
      </w:pPr>
      <w:r>
        <w:t>2. Product thesis and positioning</w:t>
      </w:r>
    </w:p>
    <w:p>
      <w:r>
        <w:t>Early property feasibility research is fragmented across parcel maps, zoning layers, municipal code, environmental/critical-area datasets, permit history, utilities, and professional knowledge. Homeowners often do not know where to start, while developers, builders, investors, agents, and design professionals repeat similar research across many properties.</w:t>
      </w:r>
    </w:p>
    <w:p>
      <w:r>
        <w:t>Permit Preflight should reduce the time and money spent before deeper professional diligence is warranted. It is a screening and early-diligence product, not a permit guarantee, legal opinion, architectural service, engineering certification, survey, title opinion, or substitute for the permitting authority.</w:t>
      </w:r>
    </w:p>
    <w:p>
      <w:r>
        <w:t>Working positioning: “Know what you can build before you spend money finding out.”</w:t>
      </w:r>
    </w:p>
    <w:p>
      <w:pPr>
        <w:pStyle w:val="Heading1"/>
      </w:pPr>
      <w:r>
        <w:t>3. MVP geographic and project scope</w:t>
      </w:r>
    </w:p>
    <w:p>
      <w:r>
        <w:t>Initial regulatory jurisdiction: Seattle, Washington. King County and other authoritative agencies may supply underlying parcel, assessor, GIS, environmental, utility, or related data. The MVP should not expand to additional jurisdictions without explicit approval, while keeping the internal model reasonably extensible.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Workflow</w:t>
            </w:r>
          </w:p>
        </w:tc>
        <w:tc>
          <w:tcPr>
            <w:tcW w:type="dxa" w:w="3312"/>
            <w:vAlign w:val="center"/>
          </w:tcPr>
          <w:p>
            <w:r>
              <w:rPr>
                <w:b/>
              </w:rPr>
              <w:t>Initial supported categories</w:t>
            </w:r>
          </w:p>
        </w:tc>
        <w:tc>
          <w:tcPr>
            <w:tcW w:type="dxa" w:w="3312"/>
            <w:vAlign w:val="center"/>
          </w:tcPr>
          <w:p>
            <w:r>
              <w:rPr>
                <w:b/>
              </w:rPr>
              <w:t>Primary question</w:t>
            </w:r>
          </w:p>
        </w:tc>
      </w:tr>
      <w:tr>
        <w:tc>
          <w:tcPr>
            <w:tcW w:type="dxa" w:w="3312"/>
            <w:vAlign w:val="top"/>
          </w:tcPr>
          <w:p>
            <w:r>
              <w:t>Existing property</w:t>
            </w:r>
          </w:p>
        </w:tc>
        <w:tc>
          <w:tcPr>
            <w:tcW w:type="dxa" w:w="3312"/>
            <w:vAlign w:val="top"/>
          </w:tcPr>
          <w:p>
            <w:r>
              <w:t>Sheds/accessory structures; decks; detached garages; fences/retaining walls; additions; ADUs</w:t>
            </w:r>
          </w:p>
        </w:tc>
        <w:tc>
          <w:tcPr>
            <w:tcW w:type="dxa" w:w="3312"/>
            <w:vAlign w:val="top"/>
          </w:tcPr>
          <w:p>
            <w:r>
              <w:t>Can I build this here?</w:t>
            </w:r>
          </w:p>
        </w:tc>
      </w:tr>
      <w:tr>
        <w:tc>
          <w:tcPr>
            <w:tcW w:type="dxa" w:w="3312"/>
            <w:vAlign w:val="top"/>
          </w:tcPr>
          <w:p>
            <w:r>
              <w:t>Vacant land</w:t>
            </w:r>
          </w:p>
        </w:tc>
        <w:tc>
          <w:tcPr>
            <w:tcW w:type="dxa" w:w="3312"/>
            <w:vAlign w:val="top"/>
          </w:tcPr>
          <w:p>
            <w:r>
              <w:t>Residential buildability screening; preliminary buildable envelope; plausible supported uses; major constraints and diligence risks</w:t>
            </w:r>
          </w:p>
        </w:tc>
        <w:tc>
          <w:tcPr>
            <w:tcW w:type="dxa" w:w="3312"/>
            <w:vAlign w:val="top"/>
          </w:tcPr>
          <w:p>
            <w:r>
              <w:t>What could I reasonably build here?</w:t>
            </w:r>
          </w:p>
        </w:tc>
      </w:tr>
    </w:tbl>
    <w:p>
      <w:r>
        <w:t>Not every category must have equal analytical depth at launch. Inception should recommend the implementation order based on value, rule complexity, data availability, spatial complexity, validation difficulty, and usefulness for proving the architecture.</w:t>
      </w:r>
    </w:p>
    <w:p>
      <w:pPr>
        <w:pStyle w:val="Heading1"/>
      </w:pPr>
      <w:r>
        <w:t>4. Target users and launch persona</w:t>
      </w:r>
    </w:p>
    <w:p>
      <w:pPr>
        <w:pStyle w:val="ListBullet"/>
      </w:pPr>
      <w:r>
        <w:t>Homeowners</w:t>
      </w:r>
    </w:p>
    <w:p>
      <w:pPr>
        <w:pStyle w:val="ListBullet"/>
      </w:pPr>
      <w:r>
        <w:t>Prospective property buyers</w:t>
      </w:r>
    </w:p>
    <w:p>
      <w:pPr>
        <w:pStyle w:val="ListBullet"/>
      </w:pPr>
      <w:r>
        <w:t>Small residential developers</w:t>
      </w:r>
    </w:p>
    <w:p>
      <w:pPr>
        <w:pStyle w:val="ListBullet"/>
      </w:pPr>
      <w:r>
        <w:t>Builders</w:t>
      </w:r>
    </w:p>
    <w:p>
      <w:pPr>
        <w:pStyle w:val="ListBullet"/>
      </w:pPr>
      <w:r>
        <w:t>Real-estate investors</w:t>
      </w:r>
    </w:p>
    <w:p>
      <w:pPr>
        <w:pStyle w:val="ListBullet"/>
      </w:pPr>
      <w:r>
        <w:t>Architects/design professionals</w:t>
      </w:r>
    </w:p>
    <w:p>
      <w:pPr>
        <w:pStyle w:val="ListBullet"/>
      </w:pPr>
      <w:r>
        <w:t>Real-estate agents</w:t>
      </w:r>
    </w:p>
    <w:p>
      <w:r>
        <w:t>Professional users are strategically attractive because they may screen many properties repeatedly, but the product should not assume that professionals are the best launch persona. Inception should recommend the strongest first paying customer based on frequency, urgency, willingness to pay, alternatives, acquisition difficulty, required report depth, and tolerance for preliminary results.</w:t>
      </w:r>
    </w:p>
    <w:p>
      <w:pPr>
        <w:pStyle w:val="Heading1"/>
      </w:pPr>
      <w:r>
        <w:t>5. Core user workflows</w:t>
      </w:r>
    </w:p>
    <w:p>
      <w:pPr>
        <w:pStyle w:val="Heading2"/>
      </w:pPr>
      <w:r>
        <w:t>5.1 Existing property</w:t>
      </w:r>
    </w:p>
    <w:p>
      <w:pPr>
        <w:pStyle w:val="ListNumber"/>
      </w:pPr>
      <w:r>
        <w:t>Enter an address.</w:t>
      </w:r>
    </w:p>
    <w:p>
      <w:pPr>
        <w:pStyle w:val="ListNumber"/>
      </w:pPr>
      <w:r>
        <w:t>Resolve the address to the correct parcel; do not assume one address always maps cleanly to one parcel.</w:t>
      </w:r>
    </w:p>
    <w:p>
      <w:pPr>
        <w:pStyle w:val="ListNumber"/>
      </w:pPr>
      <w:r>
        <w:t>Select a project type.</w:t>
      </w:r>
    </w:p>
    <w:p>
      <w:pPr>
        <w:pStyle w:val="ListNumber"/>
      </w:pPr>
      <w:r>
        <w:t>Provide project-specific inputs such as dimensions, height, approximate location, and other relevant details.</w:t>
      </w:r>
    </w:p>
    <w:p>
      <w:pPr>
        <w:pStyle w:val="ListNumber"/>
      </w:pPr>
      <w:r>
        <w:t>Gather authoritative property data and construct a sourced PropertyContext.</w:t>
      </w:r>
    </w:p>
    <w:p>
      <w:pPr>
        <w:pStyle w:val="ListNumber"/>
      </w:pPr>
      <w:r>
        <w:t>Evaluate spatial and regulatory constraints deterministically.</w:t>
      </w:r>
    </w:p>
    <w:p>
      <w:pPr>
        <w:pStyle w:val="ListNumber"/>
      </w:pPr>
      <w:r>
        <w:t>Present an evidence-backed preliminary feasibility result, unknowns, and recommended next diligence steps.</w:t>
      </w:r>
    </w:p>
    <w:p>
      <w:r>
        <w:t>Where practical, the map should show likely buildable, conditional/review, and constrained areas. Essential findings must also be available in an accessible non-map representation.</w:t>
      </w:r>
    </w:p>
    <w:p>
      <w:pPr>
        <w:pStyle w:val="Heading2"/>
      </w:pPr>
      <w:r>
        <w:t>5.2 Vacant land</w:t>
      </w:r>
    </w:p>
    <w:p>
      <w:r>
        <w:t>A user enters an address, parcel number, or other supported identifier. The system should identify, where reliably possible, parcel characteristics, jurisdiction, zoning, mapped development constraints, preliminary buildable area/envelope, plausible supported residential development scenarios, major diligence risks, and facts requiring professional verification.</w:t>
      </w:r>
    </w:p>
    <w:p>
      <w:r>
        <w:t>The core professional question is: “Does this parcel deserve deeper investigation?”</w:t>
      </w:r>
    </w:p>
    <w:p>
      <w:pPr>
        <w:pStyle w:val="Heading1"/>
      </w:pPr>
      <w:r>
        <w:t>6. Property resolution and ambiguity</w:t>
      </w:r>
    </w:p>
    <w:p>
      <w:r>
        <w:t>Property resolution is a domain problem, not merely geocoding. The system must account for multiple parcels associated with an address, parcels without conventional addresses, vacant lots, corner lots, parcel splits/mergers, condominium situations, malformed addresses, and uncertain geocoding. When confidence is insufficient, the product should request clarification rather than silently selecting a parcel.</w:t>
      </w:r>
    </w:p>
    <w:p>
      <w:pPr>
        <w:pStyle w:val="Heading1"/>
      </w:pPr>
      <w:r>
        <w:t>7. Core architecture</w:t>
      </w:r>
    </w:p>
    <w:p>
      <w:r>
        <w:t>The intended architecture is:</w:t>
      </w:r>
    </w:p>
    <w:p>
      <w:pPr>
        <w:jc w:val="center"/>
      </w:pPr>
      <w:r>
        <w:rPr>
          <w:b/>
        </w:rPr>
        <w:t>Government / authoritative public data</w:t>
      </w:r>
    </w:p>
    <w:p>
      <w:pPr>
        <w:jc w:val="center"/>
      </w:pPr>
      <w:r>
        <w:rPr>
          <w:b w:val="0"/>
        </w:rPr>
        <w:t>↓</w:t>
      </w:r>
    </w:p>
    <w:p>
      <w:pPr>
        <w:jc w:val="center"/>
      </w:pPr>
      <w:r>
        <w:rPr>
          <w:b/>
        </w:rPr>
        <w:t>Property intelligence / ingestion</w:t>
      </w:r>
    </w:p>
    <w:p>
      <w:pPr>
        <w:jc w:val="center"/>
      </w:pPr>
      <w:r>
        <w:rPr>
          <w:b w:val="0"/>
        </w:rPr>
        <w:t>↓</w:t>
      </w:r>
    </w:p>
    <w:p>
      <w:pPr>
        <w:jc w:val="center"/>
      </w:pPr>
      <w:r>
        <w:rPr>
          <w:b/>
        </w:rPr>
        <w:t>Normalized property model</w:t>
      </w:r>
    </w:p>
    <w:p>
      <w:pPr>
        <w:jc w:val="center"/>
      </w:pPr>
      <w:r>
        <w:rPr>
          <w:b w:val="0"/>
        </w:rPr>
        <w:t>↓</w:t>
      </w:r>
    </w:p>
    <w:p>
      <w:pPr>
        <w:jc w:val="center"/>
      </w:pPr>
      <w:r>
        <w:rPr>
          <w:b/>
        </w:rPr>
        <w:t>PostGIS spatial analysis + versioned deterministic regulatory rules</w:t>
      </w:r>
    </w:p>
    <w:p>
      <w:pPr>
        <w:jc w:val="center"/>
      </w:pPr>
      <w:r>
        <w:rPr>
          <w:b w:val="0"/>
        </w:rPr>
        <w:t>↓</w:t>
      </w:r>
    </w:p>
    <w:p>
      <w:pPr>
        <w:jc w:val="center"/>
      </w:pPr>
      <w:r>
        <w:rPr>
          <w:b/>
        </w:rPr>
        <w:t>Evidence graph</w:t>
      </w:r>
    </w:p>
    <w:p>
      <w:pPr>
        <w:jc w:val="center"/>
      </w:pPr>
      <w:r>
        <w:rPr>
          <w:b w:val="0"/>
        </w:rPr>
        <w:t>↓</w:t>
      </w:r>
    </w:p>
    <w:p>
      <w:pPr>
        <w:jc w:val="center"/>
      </w:pPr>
      <w:r>
        <w:rPr>
          <w:b/>
        </w:rPr>
        <w:t>Deterministic preflight result</w:t>
      </w:r>
    </w:p>
    <w:p>
      <w:pPr>
        <w:jc w:val="center"/>
      </w:pPr>
      <w:r>
        <w:rPr>
          <w:b w:val="0"/>
        </w:rPr>
        <w:t>↓</w:t>
      </w:r>
    </w:p>
    <w:p>
      <w:pPr>
        <w:jc w:val="center"/>
      </w:pPr>
      <w:r>
        <w:rPr>
          <w:b/>
        </w:rPr>
        <w:t>Application logic + non-authoritative LLM layer</w:t>
      </w:r>
    </w:p>
    <w:p>
      <w:pPr>
        <w:jc w:val="center"/>
      </w:pPr>
      <w:r>
        <w:rPr>
          <w:b w:val="0"/>
        </w:rPr>
        <w:t>↓</w:t>
      </w:r>
    </w:p>
    <w:p>
      <w:pPr>
        <w:jc w:val="center"/>
      </w:pPr>
      <w:r>
        <w:rPr>
          <w:b/>
        </w:rPr>
        <w:t>User-facing report</w:t>
      </w:r>
    </w:p>
    <w:p>
      <w:r>
        <w:t>This is an intentional direction, not an unquestionable mandate. AI-DLC Inception should challenge it if research reveals a material flaw, but should not replace it simply because another architecture is possible.</w:t>
      </w:r>
    </w:p>
    <w:p>
      <w:pPr>
        <w:pStyle w:val="Heading1"/>
      </w:pPr>
      <w:r>
        <w:t>8. Preferred technology direction</w:t>
      </w:r>
    </w:p>
    <w:p>
      <w:pPr>
        <w:pStyle w:val="ListBullet"/>
      </w:pPr>
      <w:r>
        <w:t>Next.js + TypeScript</w:t>
      </w:r>
    </w:p>
    <w:p>
      <w:pPr>
        <w:pStyle w:val="ListBullet"/>
      </w:pPr>
      <w:r>
        <w:t>PostgreSQL + PostGIS</w:t>
      </w:r>
    </w:p>
    <w:p>
      <w:pPr>
        <w:pStyle w:val="ListBullet"/>
      </w:pPr>
      <w:r>
        <w:t>Drizzle ORM, with safely parameterized raw SQL where spatial operations justify it</w:t>
      </w:r>
    </w:p>
    <w:p>
      <w:pPr>
        <w:pStyle w:val="ListBullet"/>
      </w:pPr>
      <w:r>
        <w:t>MapLibre GL JS</w:t>
      </w:r>
    </w:p>
    <w:p>
      <w:pPr>
        <w:pStyle w:val="ListBullet"/>
      </w:pPr>
      <w:r>
        <w:t>Modular monolith initially</w:t>
      </w:r>
    </w:p>
    <w:p>
      <w:r>
        <w:t>Avoid premature microservices, additional languages, Kubernetes, queues, or complex distributed infrastructure unless an actual requirement justifies them. A Python/geospatial service may be introduced later for workloads such as raster processing, advanced GIS, ML/computer vision, or bulk parcel processing if necessary.</w:t>
      </w:r>
    </w:p>
    <w:p>
      <w:pPr>
        <w:pStyle w:val="Heading1"/>
      </w:pPr>
      <w:r>
        <w:t>9. Property intelligence and data strategy</w:t>
      </w:r>
    </w:p>
    <w:p>
      <w:r>
        <w:t>No single API is expected to contain everything. A core product capability is normalizing fragmented authoritative sources into stable internal domain models while preserving provenance.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Data category</w:t>
            </w:r>
          </w:p>
        </w:tc>
        <w:tc>
          <w:tcPr>
            <w:tcW w:type="dxa" w:w="3312"/>
            <w:vAlign w:val="center"/>
          </w:tcPr>
          <w:p>
            <w:r>
              <w:rPr>
                <w:b/>
              </w:rPr>
              <w:t>Likely source</w:t>
            </w:r>
          </w:p>
        </w:tc>
        <w:tc>
          <w:tcPr>
            <w:tcW w:type="dxa" w:w="3312"/>
            <w:vAlign w:val="center"/>
          </w:tcPr>
          <w:p>
            <w:r>
              <w:rPr>
                <w:b/>
              </w:rPr>
              <w:t>Purpose / validation question</w:t>
            </w:r>
          </w:p>
        </w:tc>
      </w:tr>
      <w:tr>
        <w:tc>
          <w:tcPr>
            <w:tcW w:type="dxa" w:w="3312"/>
            <w:vAlign w:val="top"/>
          </w:tcPr>
          <w:p>
            <w:r>
              <w:t>Parcel geometry / parcel ID</w:t>
            </w:r>
          </w:p>
        </w:tc>
        <w:tc>
          <w:tcPr>
            <w:tcW w:type="dxa" w:w="3312"/>
            <w:vAlign w:val="top"/>
          </w:tcPr>
          <w:p>
            <w:r>
              <w:t>King County GIS</w:t>
            </w:r>
          </w:p>
        </w:tc>
        <w:tc>
          <w:tcPr>
            <w:tcW w:type="dxa" w:w="3312"/>
            <w:vAlign w:val="top"/>
          </w:tcPr>
          <w:p>
            <w:r>
              <w:t>Boundary, parcel lookup, geospatial analysis; confirm access, license, freshness and identifiers.</w:t>
            </w:r>
          </w:p>
        </w:tc>
      </w:tr>
      <w:tr>
        <w:tc>
          <w:tcPr>
            <w:tcW w:type="dxa" w:w="3312"/>
            <w:vAlign w:val="top"/>
          </w:tcPr>
          <w:p>
            <w:r>
              <w:t>Property characteristics</w:t>
            </w:r>
          </w:p>
        </w:tc>
        <w:tc>
          <w:tcPr>
            <w:tcW w:type="dxa" w:w="3312"/>
            <w:vAlign w:val="top"/>
          </w:tcPr>
          <w:p>
            <w:r>
              <w:t>King County Assessor / GIS</w:t>
            </w:r>
          </w:p>
        </w:tc>
        <w:tc>
          <w:tcPr>
            <w:tcW w:type="dxa" w:w="3312"/>
            <w:vAlign w:val="top"/>
          </w:tcPr>
          <w:p>
            <w:r>
              <w:t>Lot area, existing structures, use and assessor facts.</w:t>
            </w:r>
          </w:p>
        </w:tc>
      </w:tr>
      <w:tr>
        <w:tc>
          <w:tcPr>
            <w:tcW w:type="dxa" w:w="3312"/>
            <w:vAlign w:val="top"/>
          </w:tcPr>
          <w:p>
            <w:r>
              <w:t>Jurisdiction</w:t>
            </w:r>
          </w:p>
        </w:tc>
        <w:tc>
          <w:tcPr>
            <w:tcW w:type="dxa" w:w="3312"/>
            <w:vAlign w:val="top"/>
          </w:tcPr>
          <w:p>
            <w:r>
              <w:t>King County / Seattle GIS</w:t>
            </w:r>
          </w:p>
        </w:tc>
        <w:tc>
          <w:tcPr>
            <w:tcW w:type="dxa" w:w="3312"/>
            <w:vAlign w:val="top"/>
          </w:tcPr>
          <w:p>
            <w:r>
              <w:t>Route property to correct rules and sources.</w:t>
            </w:r>
          </w:p>
        </w:tc>
      </w:tr>
      <w:tr>
        <w:tc>
          <w:tcPr>
            <w:tcW w:type="dxa" w:w="3312"/>
            <w:vAlign w:val="top"/>
          </w:tcPr>
          <w:p>
            <w:r>
              <w:t>Zoning</w:t>
            </w:r>
          </w:p>
        </w:tc>
        <w:tc>
          <w:tcPr>
            <w:tcW w:type="dxa" w:w="3312"/>
            <w:vAlign w:val="top"/>
          </w:tcPr>
          <w:p>
            <w:r>
              <w:t>Seattle GIS / SDCI</w:t>
            </w:r>
          </w:p>
        </w:tc>
        <w:tc>
          <w:tcPr>
            <w:tcW w:type="dxa" w:w="3312"/>
            <w:vAlign w:val="top"/>
          </w:tcPr>
          <w:p>
            <w:r>
              <w:t>Determine applicable land-use rules and effective zoning.</w:t>
            </w:r>
          </w:p>
        </w:tc>
      </w:tr>
      <w:tr>
        <w:tc>
          <w:tcPr>
            <w:tcW w:type="dxa" w:w="3312"/>
            <w:vAlign w:val="top"/>
          </w:tcPr>
          <w:p>
            <w:r>
              <w:t>Critical/environmental areas</w:t>
            </w:r>
          </w:p>
        </w:tc>
        <w:tc>
          <w:tcPr>
            <w:tcW w:type="dxa" w:w="3312"/>
            <w:vAlign w:val="top"/>
          </w:tcPr>
          <w:p>
            <w:r>
              <w:t>Seattle / King County GIS; FEMA where applicable</w:t>
            </w:r>
          </w:p>
        </w:tc>
        <w:tc>
          <w:tcPr>
            <w:tcW w:type="dxa" w:w="3312"/>
            <w:vAlign w:val="top"/>
          </w:tcPr>
          <w:p>
            <w:r>
              <w:t>Slope, flood, wetland, liquefaction and other mapped constraints.</w:t>
            </w:r>
          </w:p>
        </w:tc>
      </w:tr>
      <w:tr>
        <w:tc>
          <w:tcPr>
            <w:tcW w:type="dxa" w:w="3312"/>
            <w:vAlign w:val="top"/>
          </w:tcPr>
          <w:p>
            <w:r>
              <w:t>Permit history</w:t>
            </w:r>
          </w:p>
        </w:tc>
        <w:tc>
          <w:tcPr>
            <w:tcW w:type="dxa" w:w="3312"/>
            <w:vAlign w:val="top"/>
          </w:tcPr>
          <w:p>
            <w:r>
              <w:t>Seattle permitting/open-data sources</w:t>
            </w:r>
          </w:p>
        </w:tc>
        <w:tc>
          <w:tcPr>
            <w:tcW w:type="dxa" w:w="3312"/>
            <w:vAlign w:val="top"/>
          </w:tcPr>
          <w:p>
            <w:r>
              <w:t>Existing permit history and possible comparable-project intelligence.</w:t>
            </w:r>
          </w:p>
        </w:tc>
      </w:tr>
      <w:tr>
        <w:tc>
          <w:tcPr>
            <w:tcW w:type="dxa" w:w="3312"/>
            <w:vAlign w:val="top"/>
          </w:tcPr>
          <w:p>
            <w:r>
              <w:t>Regulatory rules</w:t>
            </w:r>
          </w:p>
        </w:tc>
        <w:tc>
          <w:tcPr>
            <w:tcW w:type="dxa" w:w="3312"/>
            <w:vAlign w:val="top"/>
          </w:tcPr>
          <w:p>
            <w:r>
              <w:t>Seattle Municipal Code and SDCI guidance</w:t>
            </w:r>
          </w:p>
        </w:tc>
        <w:tc>
          <w:tcPr>
            <w:tcW w:type="dxa" w:w="3312"/>
            <w:vAlign w:val="top"/>
          </w:tcPr>
          <w:p>
            <w:r>
              <w:t>Authoritative basis for deterministic rule implementation.</w:t>
            </w:r>
          </w:p>
        </w:tc>
      </w:tr>
      <w:tr>
        <w:tc>
          <w:tcPr>
            <w:tcW w:type="dxa" w:w="3312"/>
            <w:vAlign w:val="top"/>
          </w:tcPr>
          <w:p>
            <w:r>
              <w:t>Trees</w:t>
            </w:r>
          </w:p>
        </w:tc>
        <w:tc>
          <w:tcPr>
            <w:tcW w:type="dxa" w:w="3312"/>
            <w:vAlign w:val="top"/>
          </w:tcPr>
          <w:p>
            <w:r>
              <w:t>Seattle rules + available authoritative data/imagery</w:t>
            </w:r>
          </w:p>
        </w:tc>
        <w:tc>
          <w:tcPr>
            <w:tcW w:type="dxa" w:w="3312"/>
            <w:vAlign w:val="top"/>
          </w:tcPr>
          <w:p>
            <w:r>
              <w:t>Flag likely tree-review constraints; identify what cannot be automated.</w:t>
            </w:r>
          </w:p>
        </w:tc>
      </w:tr>
      <w:tr>
        <w:tc>
          <w:tcPr>
            <w:tcW w:type="dxa" w:w="3312"/>
            <w:vAlign w:val="top"/>
          </w:tcPr>
          <w:p>
            <w:r>
              <w:t>Utilities</w:t>
            </w:r>
          </w:p>
        </w:tc>
        <w:tc>
          <w:tcPr>
            <w:tcW w:type="dxa" w:w="3312"/>
            <w:vAlign w:val="top"/>
          </w:tcPr>
          <w:p>
            <w:r>
              <w:t>Relevant utility/public datasets</w:t>
            </w:r>
          </w:p>
        </w:tc>
        <w:tc>
          <w:tcPr>
            <w:tcW w:type="dxa" w:w="3312"/>
            <w:vAlign w:val="top"/>
          </w:tcPr>
          <w:p>
            <w:r>
              <w:t>Preliminary service screening and unknowns.</w:t>
            </w:r>
          </w:p>
        </w:tc>
      </w:tr>
      <w:tr>
        <w:tc>
          <w:tcPr>
            <w:tcW w:type="dxa" w:w="3312"/>
            <w:vAlign w:val="top"/>
          </w:tcPr>
          <w:p>
            <w:r>
              <w:t>Imagery / elevation</w:t>
            </w:r>
          </w:p>
        </w:tc>
        <w:tc>
          <w:tcPr>
            <w:tcW w:type="dxa" w:w="3312"/>
            <w:vAlign w:val="top"/>
          </w:tcPr>
          <w:p>
            <w:r>
              <w:t>Authoritative/public sources where permitted</w:t>
            </w:r>
          </w:p>
        </w:tc>
        <w:tc>
          <w:tcPr>
            <w:tcW w:type="dxa" w:w="3312"/>
            <w:vAlign w:val="top"/>
          </w:tcPr>
          <w:p>
            <w:r>
              <w:t>Site context and defensible derived constraints.</w:t>
            </w:r>
          </w:p>
        </w:tc>
      </w:tr>
    </w:tbl>
    <w:p>
      <w:r>
        <w:t>For each important source, Inception must establish authority, access method, API/download availability, format, update cadence, effective dates, rate limits, reliability, geographic coverage, cost, and commercial-use/redistribution terms. Public availability must not be treated as automatic permission for commercial use.</w:t>
      </w:r>
    </w:p>
    <w:p>
      <w:pPr>
        <w:pStyle w:val="Heading1"/>
      </w:pPr>
      <w:r>
        <w:t>10. Evidence, provenance, and uncertainty</w:t>
      </w:r>
    </w:p>
    <w:p>
      <w:r>
        <w:t>Every important property fact and conclusion should be traceable to its evidence. The normalized model should preserve source agency, dataset, source identifier, retrieval timestamp, effective date where available, source reference, evidence type, and confidence.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Classification</w:t>
            </w:r>
          </w:p>
        </w:tc>
        <w:tc>
          <w:tcPr>
            <w:tcW w:type="dxa" w:w="4968"/>
            <w:vAlign w:val="center"/>
          </w:tcPr>
          <w:p>
            <w:r>
              <w:rPr>
                <w:b/>
              </w:rPr>
              <w:t>Meaning</w:t>
            </w:r>
          </w:p>
        </w:tc>
      </w:tr>
      <w:tr>
        <w:tc>
          <w:tcPr>
            <w:tcW w:type="dxa" w:w="4968"/>
            <w:vAlign w:val="top"/>
          </w:tcPr>
          <w:p>
            <w:r>
              <w:t>KNOWN</w:t>
            </w:r>
          </w:p>
        </w:tc>
        <w:tc>
          <w:tcPr>
            <w:tcW w:type="dxa" w:w="4968"/>
            <w:vAlign w:val="top"/>
          </w:tcPr>
          <w:p>
            <w:r>
              <w:t>Directly supported by authoritative information or a deterministic rule.</w:t>
            </w:r>
          </w:p>
        </w:tc>
      </w:tr>
      <w:tr>
        <w:tc>
          <w:tcPr>
            <w:tcW w:type="dxa" w:w="4968"/>
            <w:vAlign w:val="top"/>
          </w:tcPr>
          <w:p>
            <w:r>
              <w:t>INFERRED</w:t>
            </w:r>
          </w:p>
        </w:tc>
        <w:tc>
          <w:tcPr>
            <w:tcW w:type="dxa" w:w="4968"/>
            <w:vAlign w:val="top"/>
          </w:tcPr>
          <w:p>
            <w:r>
              <w:t>Derived through reproducible spatial calculation or another defensible analytical process.</w:t>
            </w:r>
          </w:p>
        </w:tc>
      </w:tr>
      <w:tr>
        <w:tc>
          <w:tcPr>
            <w:tcW w:type="dxa" w:w="4968"/>
            <w:vAlign w:val="top"/>
          </w:tcPr>
          <w:p>
            <w:r>
              <w:t>REQUIRES VERIFICATION / UNKNOWN</w:t>
            </w:r>
          </w:p>
        </w:tc>
        <w:tc>
          <w:tcPr>
            <w:tcW w:type="dxa" w:w="4968"/>
            <w:vAlign w:val="top"/>
          </w:tcPr>
          <w:p>
            <w:r>
              <w:t>Cannot be reliably established from available data and requires survey, inspection, engineering, title research, utility confirmation, professional interpretation, or another external process.</w:t>
            </w:r>
          </w:p>
        </w:tc>
      </w:tr>
    </w:tbl>
    <w:p>
      <w:r>
        <w:t>Never silently convert missing information into PASS. False precision is a product defect.</w:t>
      </w:r>
    </w:p>
    <w:p>
      <w:pPr>
        <w:pStyle w:val="Heading1"/>
      </w:pPr>
      <w:r>
        <w:t>11. Regulatory rules engine and lifecycle</w:t>
      </w:r>
    </w:p>
    <w:p>
      <w:r>
        <w:t>Regulatory conclusions must not depend on an LLM interpreting municipal code ad hoc at runtime. Rules should be jurisdiction-specific, traceable, versioned, associated with effective dates where possible, testable, and auditable. Simple rules may later be structured data; complex rules may remain typed TypeScript.</w:t>
      </w:r>
    </w:p>
    <w:p>
      <w:r>
        <w:t>A controlled rule lifecycle should be designed, conceptually: RESEARCHED → DRAFTED → SOURCE VERIFIED → TESTED → APPROVED → ACTIVE → SUPERSEDED. AI-researched or AI-generated rules must not automatically become production behavior. Activation should require explicit human approval.</w:t>
      </w:r>
    </w:p>
    <w:p>
      <w:r>
        <w:t>Every rule should eventually include pass, fail, boundary, and known-exception tests with source references. Fixture-based Seattle property/project scenarios should be a major regression-testing mechanism.</w:t>
      </w:r>
    </w:p>
    <w:p>
      <w:pPr>
        <w:pStyle w:val="Heading1"/>
      </w:pPr>
      <w:r>
        <w:t>12. Spatial analysis</w:t>
      </w:r>
    </w:p>
    <w:p>
      <w:r>
        <w:t>PostGIS should be the primary spatial computation engine where appropriate. Expected operations include containment/intersection, setbacks, distances, critical-area intersections, percentage affected, proposed-structure placement, buildable-envelope calculations, geometry validation, spatial indexing, and nearby/comparable permit searches. Critical spatial determinations must be deterministic, testable, and reproducible.</w:t>
      </w:r>
    </w:p>
    <w:p>
      <w:pPr>
        <w:pStyle w:val="Heading1"/>
      </w:pPr>
      <w:r>
        <w:t>13. LLM / AI layer</w:t>
      </w:r>
    </w:p>
    <w:p>
      <w:r>
        <w:t>The initial preferred production LLM provider is Anthropic Claude, isolated behind an internal AI service abstraction so provider/model tiers can change without changing domain logic.</w:t>
      </w:r>
    </w:p>
    <w:p>
      <w:pPr>
        <w:pStyle w:val="ListBullet"/>
      </w:pPr>
      <w:r>
        <w:t>Explain deterministic findings in plain language.</w:t>
      </w:r>
    </w:p>
    <w:p>
      <w:pPr>
        <w:pStyle w:val="ListBullet"/>
      </w:pPr>
      <w:r>
        <w:t>Synthesize findings into a useful report.</w:t>
      </w:r>
    </w:p>
    <w:p>
      <w:pPr>
        <w:pStyle w:val="ListBullet"/>
      </w:pPr>
      <w:r>
        <w:t>Highlight constraints and generate diligence questions/next steps.</w:t>
      </w:r>
    </w:p>
    <w:p>
      <w:pPr>
        <w:pStyle w:val="ListBullet"/>
      </w:pPr>
      <w:r>
        <w:t>Classify permit descriptions and extract structured information from unstructured records.</w:t>
      </w:r>
    </w:p>
    <w:p>
      <w:pPr>
        <w:pStyle w:val="ListBullet"/>
      </w:pPr>
      <w:r>
        <w:t>Perform other explicitly non-authoritative enrichment tasks.</w:t>
      </w:r>
    </w:p>
    <w:p>
      <w:r>
        <w:t>The LLM must not determine regulatory compliance, calculate authoritative spatial feasibility, override deterministic findings, invent facts or requirements, convert missing data into assumptions, or independently interpret code at runtime into production regulatory conclusions.</w:t>
      </w:r>
    </w:p>
    <w:p>
      <w:r>
        <w:t>Prefer validated structured outputs. The deterministic preflight and evidence must remain available if the LLM is unavailable. Inception should define model tiers, prompts/contracts, token budgets, caching, retries, timeouts, privacy, hallucination evaluation, cost tracking, failure behavior, and model/version observability.</w:t>
      </w:r>
    </w:p>
    <w:p>
      <w:pPr>
        <w:pStyle w:val="Heading1"/>
      </w:pPr>
      <w:r>
        <w:t>14. Security and privacy</w:t>
      </w:r>
    </w:p>
    <w:p>
      <w:r>
        <w:t>Security is a first-class architectural requirement, not post-MVP cleanup.</w:t>
      </w:r>
    </w:p>
    <w:p>
      <w:pPr>
        <w:pStyle w:val="ListBullet"/>
      </w:pPr>
      <w:r>
        <w:t>Never commit or expose API keys, DB credentials, auth secrets, signing keys, Stripe secrets, webhook secrets, or privileged service credentials.</w:t>
      </w:r>
    </w:p>
    <w:p>
      <w:pPr>
        <w:pStyle w:val="ListBullet"/>
      </w:pPr>
      <w:r>
        <w:t>Keep server-only secrets server-only; never place them in client bundles or public environment variables.</w:t>
      </w:r>
    </w:p>
    <w:p>
      <w:pPr>
        <w:pStyle w:val="ListBullet"/>
      </w:pPr>
      <w:r>
        <w:t>Treat all browser input, third-party responses, and LLM output as untrusted; perform runtime validation at trust boundaries.</w:t>
      </w:r>
    </w:p>
    <w:p>
      <w:pPr>
        <w:pStyle w:val="ListBullet"/>
      </w:pPr>
      <w:r>
        <w:t>Never connect the browser directly to PostgreSQL or expose privileged third-party credentials.</w:t>
      </w:r>
    </w:p>
    <w:p>
      <w:pPr>
        <w:pStyle w:val="ListBullet"/>
      </w:pPr>
      <w:r>
        <w:t>Enforce authentication and authorization server-side for user-owned reports and resources; do not rely on hidden UI or user-supplied IDs.</w:t>
      </w:r>
    </w:p>
    <w:p>
      <w:pPr>
        <w:pStyle w:val="ListBullet"/>
      </w:pPr>
      <w:r>
        <w:t>Use least-privilege DB roles, encrypted connections, safe parameterization for raw/PostGIS SQL, secure backups, and environment separation.</w:t>
      </w:r>
    </w:p>
    <w:p>
      <w:pPr>
        <w:pStyle w:val="ListBullet"/>
      </w:pPr>
      <w:r>
        <w:t>Design API rate limiting, abuse prevention, request limits, safe errors, idempotency, CSRF/CORS controls where applicable, and denial-of-service considerations.</w:t>
      </w:r>
    </w:p>
    <w:p>
      <w:pPr>
        <w:pStyle w:val="ListBullet"/>
      </w:pPr>
      <w:r>
        <w:t>Treat prompt injection, cost abuse, system-prompt extraction, cross-user leakage, and malicious external text as LLM security threats.</w:t>
      </w:r>
    </w:p>
    <w:p>
      <w:pPr>
        <w:pStyle w:val="ListBullet"/>
      </w:pPr>
      <w:r>
        <w:t>Use structured logging and redaction; never log secrets, tokens, passwords, DB credentials, or unnecessary sensitive data.</w:t>
      </w:r>
    </w:p>
    <w:p>
      <w:pPr>
        <w:pStyle w:val="ListBullet"/>
      </w:pPr>
      <w:r>
        <w:t>Minimize personal data collection and third-party/LLM disclosure.</w:t>
      </w:r>
    </w:p>
    <w:p>
      <w:pPr>
        <w:pStyle w:val="Heading1"/>
      </w:pPr>
      <w:r>
        <w:t>15. Commerce, payments, and paywall</w:t>
      </w:r>
    </w:p>
    <w:p>
      <w:r>
        <w:t>The MVP is expected to support paid individual reports. The current price hypothesis is $9.99 per report, subject to validation.</w:t>
      </w:r>
    </w:p>
    <w:p>
      <w:r>
        <w:t>Preferred payment approach: Stripe-hosted Checkout or an equivalent hosted flow that minimizes direct handling of cardholder data. The application should not store/process raw card numbers or CVVs.</w:t>
      </w:r>
    </w:p>
    <w:p>
      <w:r>
        <w:t>Trusted flow: configure report → create pending order server-side → create Checkout Session server-side → customer pays → signed Stripe webhook → verify signature server-side → mark order paid → authorize report generation → generate/store report → grant purchaser access.</w:t>
      </w:r>
    </w:p>
    <w:p>
      <w:r>
        <w:t>A browser redirect or client-supplied payment status is never proof of payment. Pricing must be determined/validated server-side. Reports, orders, and payments should be separate domain concepts. Webhook handling and report generation must be idempotent.</w:t>
      </w:r>
    </w:p>
    <w:p>
      <w:pPr>
        <w:pStyle w:val="Heading1"/>
      </w:pPr>
      <w:r>
        <w:t>16. Report lifecycle and failure handling</w:t>
      </w:r>
    </w:p>
    <w:p>
      <w:r>
        <w:t>A successful payment must never leave the customer in an undefined state. The order/report state model should cover pending, paid, generating, complete, failed, and refunded states (or an improved equivalent).</w:t>
      </w:r>
    </w:p>
    <w:p>
      <w:r>
        <w:t>Inception should define behavior for GIS/API outages, LLM outages, timeouts, malformed external data, insufficient evidence, and internal failures: retry policy, minimum evidence for a valid paid report, partial-report policy, user communication, recovery, support escalation, and automatic/manual refund behavior.</w:t>
      </w:r>
    </w:p>
    <w:p>
      <w:r>
        <w:t>Do not assume the entire report pipeline belongs in one synchronous HTTP request. Inception should determine whether durable asynchronous job state, retries, polling/status tracking, or a queue is actually required.</w:t>
      </w:r>
    </w:p>
    <w:p>
      <w:pPr>
        <w:pStyle w:val="Heading1"/>
      </w:pPr>
      <w:r>
        <w:t>17. Report persistence, ownership, and reproducibility</w:t>
      </w:r>
    </w:p>
    <w:p>
      <w:r>
        <w:t>A paid report is a durable product artifact. Inception should define storage, purchaser access, stable URLs, PDF/download requirements, sharing, retention, deletion, and ownership.</w:t>
      </w:r>
    </w:p>
    <w:p>
      <w:r>
        <w:t>Reports should be snapshots in time. Historical reports must not silently change when code, zoning, GIS layers, rules, or LLM models change. Preserve enough source/rule/model/version metadata to explain why the report reached its conclusions when generated.</w:t>
      </w:r>
    </w:p>
    <w:p>
      <w:pPr>
        <w:pStyle w:val="Heading1"/>
      </w:pPr>
      <w:r>
        <w:t>18. Data freshness and regulatory change management</w:t>
      </w:r>
    </w:p>
    <w:p>
      <w:r>
        <w:t>The product should maintain a source registry capable of tracking source owner, expected refresh cadence, last successful retrieval, last observed update, schema/version, source health, licensing, and ingestion failures. Stale or unhealthy sources should be surfaced rather than silently trusted.</w:t>
      </w:r>
    </w:p>
    <w:p>
      <w:r>
        <w:t>Municipal rules change. The operational workflow must support detecting changes, researching/reviewing them, implementing and testing new rule versions, human approval, activation, superseding prior versions, and preserving historical reproducibility.</w:t>
      </w:r>
    </w:p>
    <w:p>
      <w:pPr>
        <w:pStyle w:val="Heading1"/>
      </w:pPr>
      <w:r>
        <w:t>19. Unit economics and pricing validation</w:t>
      </w:r>
    </w:p>
    <w:p>
      <w:r>
        <w:t>The $9.99 price is a hypothesis. Inception must estimate both the cost floor and customer value.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Variable cost category</w:t>
            </w:r>
          </w:p>
        </w:tc>
        <w:tc>
          <w:tcPr>
            <w:tcW w:type="dxa" w:w="4968"/>
            <w:vAlign w:val="center"/>
          </w:tcPr>
          <w:p>
            <w:r>
              <w:rPr>
                <w:b/>
              </w:rPr>
              <w:t>Examples</w:t>
            </w:r>
          </w:p>
        </w:tc>
      </w:tr>
      <w:tr>
        <w:tc>
          <w:tcPr>
            <w:tcW w:type="dxa" w:w="4968"/>
            <w:vAlign w:val="top"/>
          </w:tcPr>
          <w:p>
            <w:r>
              <w:t>Payments</w:t>
            </w:r>
          </w:p>
        </w:tc>
        <w:tc>
          <w:tcPr>
            <w:tcW w:type="dxa" w:w="4968"/>
            <w:vAlign w:val="top"/>
          </w:tcPr>
          <w:p>
            <w:r>
              <w:t>Stripe processing and refund/charge-related variable fees.</w:t>
            </w:r>
          </w:p>
        </w:tc>
      </w:tr>
      <w:tr>
        <w:tc>
          <w:tcPr>
            <w:tcW w:type="dxa" w:w="4968"/>
            <w:vAlign w:val="top"/>
          </w:tcPr>
          <w:p>
            <w:r>
              <w:t>AI</w:t>
            </w:r>
          </w:p>
        </w:tc>
        <w:tc>
          <w:tcPr>
            <w:tcW w:type="dxa" w:w="4968"/>
            <w:vAlign w:val="top"/>
          </w:tcPr>
          <w:p>
            <w:r>
              <w:t>Claude input/output tokens, classification calls, synthesis, retries.</w:t>
            </w:r>
          </w:p>
        </w:tc>
      </w:tr>
      <w:tr>
        <w:tc>
          <w:tcPr>
            <w:tcW w:type="dxa" w:w="4968"/>
            <w:vAlign w:val="top"/>
          </w:tcPr>
          <w:p>
            <w:r>
              <w:t>Data/APIs</w:t>
            </w:r>
          </w:p>
        </w:tc>
        <w:tc>
          <w:tcPr>
            <w:tcW w:type="dxa" w:w="4968"/>
            <w:vAlign w:val="top"/>
          </w:tcPr>
          <w:p>
            <w:r>
              <w:t>Geocoding, maps, commercial property/GIS data, imagery, utilities or other usage-priced sources.</w:t>
            </w:r>
          </w:p>
        </w:tc>
      </w:tr>
      <w:tr>
        <w:tc>
          <w:tcPr>
            <w:tcW w:type="dxa" w:w="4968"/>
            <w:vAlign w:val="top"/>
          </w:tcPr>
          <w:p>
            <w:r>
              <w:t>Compute/data</w:t>
            </w:r>
          </w:p>
        </w:tc>
        <w:tc>
          <w:tcPr>
            <w:tcW w:type="dxa" w:w="4968"/>
            <w:vAlign w:val="top"/>
          </w:tcPr>
          <w:p>
            <w:r>
              <w:t>Server compute, PostGIS/database usage, bandwidth.</w:t>
            </w:r>
          </w:p>
        </w:tc>
      </w:tr>
      <w:tr>
        <w:tc>
          <w:tcPr>
            <w:tcW w:type="dxa" w:w="4968"/>
            <w:vAlign w:val="top"/>
          </w:tcPr>
          <w:p>
            <w:r>
              <w:t>Artifact delivery</w:t>
            </w:r>
          </w:p>
        </w:tc>
        <w:tc>
          <w:tcPr>
            <w:tcW w:type="dxa" w:w="4968"/>
            <w:vAlign w:val="top"/>
          </w:tcPr>
          <w:p>
            <w:r>
              <w:t>PDF generation, object storage, email/notification delivery.</w:t>
            </w:r>
          </w:p>
        </w:tc>
      </w:tr>
      <w:tr>
        <w:tc>
          <w:tcPr>
            <w:tcW w:type="dxa" w:w="4968"/>
            <w:vAlign w:val="top"/>
          </w:tcPr>
          <w:p>
            <w:r>
              <w:t>Failure overhead</w:t>
            </w:r>
          </w:p>
        </w:tc>
        <w:tc>
          <w:tcPr>
            <w:tcW w:type="dxa" w:w="4968"/>
            <w:vAlign w:val="top"/>
          </w:tcPr>
          <w:p>
            <w:r>
              <w:t>Retries, failed generations, duplicate/recovery work.</w:t>
            </w:r>
          </w:p>
        </w:tc>
      </w:tr>
    </w:tbl>
    <w:p>
      <w:r>
        <w:t>Separate variable costs from fixed/base infrastructure. Estimate economics at 1, 100, 1,000, and 10,000 reports/month. Identify free tiers, minimum commitments, pricing cliffs, rate limits, and the largest cost uncertainty. Produce estimated COGS/report, contribution/report, gross margin, and the maximum viable marginal cost at the proposed price.</w:t>
      </w:r>
    </w:p>
    <w:p>
      <w:r>
        <w:t>Pricing should not automatically be cost-plus. Compare cost floor with willingness to pay and value delivered. Future tiers may include lightweight screening, full project preflight, vacant-land acquisition reports, professional subscriptions, and bulk screening, but avoid unnecessary MVP pricing complexity.</w:t>
      </w:r>
    </w:p>
    <w:p>
      <w:pPr>
        <w:pStyle w:val="Heading1"/>
      </w:pPr>
      <w:r>
        <w:t>20. Product analytics and cost observability</w:t>
      </w:r>
    </w:p>
    <w:p>
      <w:r>
        <w:t>Measure the funnel: address entered → parcel resolved → project configured → preview displayed → checkout started → payment completed → report generated → report viewed.</w:t>
      </w:r>
    </w:p>
    <w:p>
      <w:r>
        <w:t>Track metrics needed to validate the product, including parcel-resolution success, checkout conversion, generation failures/duration, project-type demand, UNKNOWN frequency, repeat usage, and actual report cost. Where appropriate, track model/tokens/estimated AI cost, external API cost, payment fee, retries, and generation duration without persisting sensitive prompt content unnecessarily.</w:t>
      </w:r>
    </w:p>
    <w:p>
      <w:pPr>
        <w:pStyle w:val="Heading1"/>
      </w:pPr>
      <w:r>
        <w:t>21. Accessibility, mobile, and user trust</w:t>
      </w:r>
    </w:p>
    <w:p>
      <w:r>
        <w:t>The map must not be the only representation of essential information. Core workflows and reports should be keyboard accessible, screen-reader compatible, semantically structured, and usable on mobile. Users may evaluate properties while physically on site.</w:t>
      </w:r>
    </w:p>
    <w:p>
      <w:r>
        <w:t>Trustworthiness is more important than appearing certain. Findings should communicate evidence, uncertainty, timestamps, and next actions rather than relying on an opaque single score.</w:t>
      </w:r>
    </w:p>
    <w:p>
      <w:pPr>
        <w:pStyle w:val="Heading1"/>
      </w:pPr>
      <w:r>
        <w:t>22. Admin tooling, support, and disputes</w:t>
      </w:r>
    </w:p>
    <w:p>
      <w:r>
        <w:t>Plan lightweight internal tooling for inspecting reports/evidence/rule versions/source failures/generation failures/payment state, issuing refunds, disabling problematic rules, marking sources unhealthy, and investigating customer complaints. Avoid an architecture where diagnosis requires ad hoc production DB queries.</w:t>
      </w:r>
    </w:p>
    <w:p>
      <w:r>
        <w:t>A complaint such as “your report was wrong” should be investigable using report ID, property, source data, timestamps, rule versions, calculations, evidence, and LLM/model version. Define a minimal correction, refund, escalation, and known-issue process.</w:t>
      </w:r>
    </w:p>
    <w:p>
      <w:pPr>
        <w:pStyle w:val="Heading1"/>
      </w:pPr>
      <w:r>
        <w:t>23. Legal, liability, and compliance review</w:t>
      </w:r>
    </w:p>
    <w:p>
      <w:r>
        <w:t>Before public launch, identify items requiring professional legal review, including Terms of Service, Privacy Policy, disclaimers, limitation of liability, refund policy, data licensing, regulatory positioning, use of preliminary-feasibility language, and potential professional-services implications. AI-DLC should identify questions for counsel rather than substitute its own legal conclusions.</w:t>
      </w:r>
    </w:p>
    <w:p>
      <w:pPr>
        <w:pStyle w:val="Heading1"/>
      </w:pPr>
      <w:r>
        <w:t>24. Operations, backup, and supply-chain security</w:t>
      </w:r>
    </w:p>
    <w:p>
      <w:r>
        <w:t>Define proportionate MVP requirements for database backups, retention, restore procedures, object-storage durability, migration safety, environment separation, HTTPS/TLS, secure CI/CD secrets, production DB network access, error monitoring, dependency vulnerability scanning, lockfiles, and review of significant dependencies. Avoid enterprise overengineering while maintaining a viable recovery path.</w:t>
      </w:r>
    </w:p>
    <w:p>
      <w:pPr>
        <w:pStyle w:val="Heading1"/>
      </w:pPr>
      <w:r>
        <w:t>25. Validation before substantial construction</w:t>
      </w:r>
    </w:p>
    <w:p>
      <w:r>
        <w:t>The first milestone is proving that the available data and encoded rules can create a report valuable enough to charge for.</w:t>
      </w:r>
    </w:p>
    <w:p>
      <w:pPr>
        <w:pStyle w:val="ListNumber"/>
      </w:pPr>
      <w:r>
        <w:t>Select approximately 10 real Seattle parcels, including ordinary developed lots, constrained lots, and vacant land.</w:t>
      </w:r>
    </w:p>
    <w:p>
      <w:pPr>
        <w:pStyle w:val="ListNumber"/>
      </w:pPr>
      <w:r>
        <w:t>Manually or semi-manually assemble authoritative source data.</w:t>
      </w:r>
    </w:p>
    <w:p>
      <w:pPr>
        <w:pStyle w:val="ListNumber"/>
      </w:pPr>
      <w:r>
        <w:t>Evaluate representative shed, deck, garage, vacant-land, and selected higher-complexity scenarios.</w:t>
      </w:r>
    </w:p>
    <w:p>
      <w:pPr>
        <w:pStyle w:val="ListNumber"/>
      </w:pPr>
      <w:r>
        <w:t>Create reports as customers would see them and classify every unresolved conclusion.</w:t>
      </w:r>
    </w:p>
    <w:p>
      <w:pPr>
        <w:pStyle w:val="ListNumber"/>
      </w:pPr>
      <w:r>
        <w:t>Have knowledgeable local professionals review a sample for omissions or misleading conclusions.</w:t>
      </w:r>
    </w:p>
    <w:p>
      <w:pPr>
        <w:pStyle w:val="ListNumber"/>
      </w:pPr>
      <w:r>
        <w:t>Interview prospective homeowner and professional users using actual reports.</w:t>
      </w:r>
    </w:p>
    <w:p>
      <w:pPr>
        <w:pStyle w:val="ListNumber"/>
      </w:pPr>
      <w:r>
        <w:t>Test willingness to pay and compare perceived value with expected report COGS.</w:t>
      </w:r>
    </w:p>
    <w:p>
      <w:pPr>
        <w:pStyle w:val="ListNumber"/>
      </w:pPr>
      <w:r>
        <w:t>Measure how much of a useful report can actually be automated and how often critical findings remain UNKNOWN.</w:t>
      </w:r>
    </w:p>
    <w:p>
      <w:r>
        <w:t>If the data cannot support a useful product, surface that result before meaningful engineering investment.</w:t>
      </w:r>
    </w:p>
    <w:p>
      <w:pPr>
        <w:pStyle w:val="Heading1"/>
      </w:pPr>
      <w:r>
        <w:t>26. Proposed phased path (subject to Inception)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Phase</w:t>
            </w:r>
          </w:p>
        </w:tc>
        <w:tc>
          <w:tcPr>
            <w:tcW w:type="dxa" w:w="4968"/>
            <w:vAlign w:val="center"/>
          </w:tcPr>
          <w:p>
            <w:r>
              <w:rPr>
                <w:b/>
              </w:rPr>
              <w:t>Purpose</w:t>
            </w:r>
          </w:p>
        </w:tc>
      </w:tr>
      <w:tr>
        <w:tc>
          <w:tcPr>
            <w:tcW w:type="dxa" w:w="4968"/>
            <w:vAlign w:val="top"/>
          </w:tcPr>
          <w:p>
            <w:r>
              <w:t>Phase 0 — Inception + feasibility validation</w:t>
            </w:r>
          </w:p>
        </w:tc>
        <w:tc>
          <w:tcPr>
            <w:tcW w:type="dxa" w:w="4968"/>
            <w:vAlign w:val="top"/>
          </w:tcPr>
          <w:p>
            <w:r>
              <w:t>Source/license research, 10-property validation, persona/value/pricing validation, architecture and risk review.</w:t>
            </w:r>
          </w:p>
        </w:tc>
      </w:tr>
      <w:tr>
        <w:tc>
          <w:tcPr>
            <w:tcW w:type="dxa" w:w="4968"/>
            <w:vAlign w:val="top"/>
          </w:tcPr>
          <w:p>
            <w:r>
              <w:t>Phase 1 — Property foundation</w:t>
            </w:r>
          </w:p>
        </w:tc>
        <w:tc>
          <w:tcPr>
            <w:tcW w:type="dxa" w:w="4968"/>
            <w:vAlign w:val="top"/>
          </w:tcPr>
          <w:p>
            <w:r>
              <w:t>Address/APN resolution, canonical PropertyContext, provenance, jurisdiction, zoning, assessor facts, GIS overlays.</w:t>
            </w:r>
          </w:p>
        </w:tc>
      </w:tr>
      <w:tr>
        <w:tc>
          <w:tcPr>
            <w:tcW w:type="dxa" w:w="4968"/>
            <w:vAlign w:val="top"/>
          </w:tcPr>
          <w:p>
            <w:r>
              <w:t>Phase 2 — First deterministic vertical slice</w:t>
            </w:r>
          </w:p>
        </w:tc>
        <w:tc>
          <w:tcPr>
            <w:tcW w:type="dxa" w:w="4968"/>
            <w:vAlign w:val="top"/>
          </w:tcPr>
          <w:p>
            <w:r>
              <w:t>Implement the first approved project/rule module with PostGIS calculations, evidence, fixtures and report output.</w:t>
            </w:r>
          </w:p>
        </w:tc>
      </w:tr>
      <w:tr>
        <w:tc>
          <w:tcPr>
            <w:tcW w:type="dxa" w:w="4968"/>
            <w:vAlign w:val="top"/>
          </w:tcPr>
          <w:p>
            <w:r>
              <w:t>Phase 3 — Vacant-land screening</w:t>
            </w:r>
          </w:p>
        </w:tc>
        <w:tc>
          <w:tcPr>
            <w:tcW w:type="dxa" w:w="4968"/>
            <w:vAlign w:val="top"/>
          </w:tcPr>
          <w:p>
            <w:r>
              <w:t>Constraint summary, preliminary buildable envelope, supported scenarios, diligence risks and unknowns.</w:t>
            </w:r>
          </w:p>
        </w:tc>
      </w:tr>
      <w:tr>
        <w:tc>
          <w:tcPr>
            <w:tcW w:type="dxa" w:w="4968"/>
            <w:vAlign w:val="top"/>
          </w:tcPr>
          <w:p>
            <w:r>
              <w:t>Phase 4 — Additional residential modules</w:t>
            </w:r>
          </w:p>
        </w:tc>
        <w:tc>
          <w:tcPr>
            <w:tcW w:type="dxa" w:w="4968"/>
            <w:vAlign w:val="top"/>
          </w:tcPr>
          <w:p>
            <w:r>
              <w:t>Add further approved project types based on value and validation.</w:t>
            </w:r>
          </w:p>
        </w:tc>
      </w:tr>
      <w:tr>
        <w:tc>
          <w:tcPr>
            <w:tcW w:type="dxa" w:w="4968"/>
            <w:vAlign w:val="top"/>
          </w:tcPr>
          <w:p>
            <w:r>
              <w:t>Phase 5 — Productization</w:t>
            </w:r>
          </w:p>
        </w:tc>
        <w:tc>
          <w:tcPr>
            <w:tcW w:type="dxa" w:w="4968"/>
            <w:vAlign w:val="top"/>
          </w:tcPr>
          <w:p>
            <w:r>
              <w:t>Secure payments, durable reports, account/access model if justified, operational monitoring/admin/support.</w:t>
            </w:r>
          </w:p>
        </w:tc>
      </w:tr>
      <w:tr>
        <w:tc>
          <w:tcPr>
            <w:tcW w:type="dxa" w:w="4968"/>
            <w:vAlign w:val="top"/>
          </w:tcPr>
          <w:p>
            <w:r>
              <w:t>Phase 6 — Professional workflows</w:t>
            </w:r>
          </w:p>
        </w:tc>
        <w:tc>
          <w:tcPr>
            <w:tcW w:type="dxa" w:w="4968"/>
            <w:vAlign w:val="top"/>
          </w:tcPr>
          <w:p>
            <w:r>
              <w:t>Saved properties, comparisons, bulk screening, subscriptions/alerts and additional jurisdictions only after validation.</w:t>
            </w:r>
          </w:p>
        </w:tc>
      </w:tr>
    </w:tbl>
    <w:p>
      <w:pPr>
        <w:pStyle w:val="Heading1"/>
      </w:pPr>
      <w:r>
        <w:t>27. MVP success criteria</w:t>
      </w:r>
    </w:p>
    <w:p>
      <w:pPr>
        <w:pStyle w:val="ListBullet"/>
      </w:pPr>
      <w:r>
        <w:t>Correctly resolve test properties to parcels/jurisdiction and retrieve reliable zoning and major mapped constraints.</w:t>
      </w:r>
    </w:p>
    <w:p>
      <w:pPr>
        <w:pStyle w:val="ListBullet"/>
      </w:pPr>
      <w:r>
        <w:t>Produce meaningful deterministic answers for supported project types without runtime LLM legal interpretation.</w:t>
      </w:r>
    </w:p>
    <w:p>
      <w:pPr>
        <w:pStyle w:val="ListBullet"/>
      </w:pPr>
      <w:r>
        <w:t>Trace material findings to source data, calculations, and versioned rules.</w:t>
      </w:r>
    </w:p>
    <w:p>
      <w:pPr>
        <w:pStyle w:val="ListBullet"/>
      </w:pPr>
      <w:r>
        <w:t>Surface unknowns clearly with concrete verification steps.</w:t>
      </w:r>
    </w:p>
    <w:p>
      <w:pPr>
        <w:pStyle w:val="ListBullet"/>
      </w:pPr>
      <w:r>
        <w:t>Generate reports that prospective users say materially reduce research time, uncertainty, or premature professional spending.</w:t>
      </w:r>
    </w:p>
    <w:p>
      <w:pPr>
        <w:pStyle w:val="ListBullet"/>
      </w:pPr>
      <w:r>
        <w:t>Demonstrate real willingness to pay at a price with healthy unit economics.</w:t>
      </w:r>
    </w:p>
    <w:p>
      <w:pPr>
        <w:pStyle w:val="ListBullet"/>
      </w:pPr>
      <w:r>
        <w:t>Keep security, payment authorization, user/report access, and sensitive credentials within explicit server-side trust boundaries.</w:t>
      </w:r>
    </w:p>
    <w:p>
      <w:pPr>
        <w:pStyle w:val="ListBullet"/>
      </w:pPr>
      <w:r>
        <w:t>Show that source freshness, rule updates, failures, and customer disputes can be operationally managed.</w:t>
      </w:r>
    </w:p>
    <w:p>
      <w:pPr>
        <w:pStyle w:val="Heading1"/>
      </w:pPr>
      <w:r>
        <w:t>28. Key risks to resolve in Inception</w:t>
      </w:r>
    </w:p>
    <w:p>
      <w:pPr>
        <w:pStyle w:val="ListBullet"/>
      </w:pPr>
      <w:r>
        <w:t>Insufficient or unreliable data; excessive UNKNOWN findings.</w:t>
      </w:r>
    </w:p>
    <w:p>
      <w:pPr>
        <w:pStyle w:val="ListBullet"/>
      </w:pPr>
      <w:r>
        <w:t>Commercial licensing or redistribution restrictions on critical data.</w:t>
      </w:r>
    </w:p>
    <w:p>
      <w:pPr>
        <w:pStyle w:val="ListBullet"/>
      </w:pPr>
      <w:r>
        <w:t>Municipal rule complexity and exceptions that resist safe automation.</w:t>
      </w:r>
    </w:p>
    <w:p>
      <w:pPr>
        <w:pStyle w:val="ListBullet"/>
      </w:pPr>
      <w:r>
        <w:t>False precision or liability created by user interpretation of preliminary findings.</w:t>
      </w:r>
    </w:p>
    <w:p>
      <w:pPr>
        <w:pStyle w:val="ListBullet"/>
      </w:pPr>
      <w:r>
        <w:t>Stale data/rules producing confident but outdated results.</w:t>
      </w:r>
    </w:p>
    <w:p>
      <w:pPr>
        <w:pStyle w:val="ListBullet"/>
      </w:pPr>
      <w:r>
        <w:t>Property-resolution ambiguity.</w:t>
      </w:r>
    </w:p>
    <w:p>
      <w:pPr>
        <w:pStyle w:val="ListBullet"/>
      </w:pPr>
      <w:r>
        <w:t>Paid report failure after checkout.</w:t>
      </w:r>
    </w:p>
    <w:p>
      <w:pPr>
        <w:pStyle w:val="ListBullet"/>
      </w:pPr>
      <w:r>
        <w:t>Unexpected commercial data/API costs undermining $9.99 economics.</w:t>
      </w:r>
    </w:p>
    <w:p>
      <w:pPr>
        <w:pStyle w:val="ListBullet"/>
      </w:pPr>
      <w:r>
        <w:t>Security vulnerabilities involving secrets, auth, DB/API access, Stripe webhooks, or LLM prompt/data handling.</w:t>
      </w:r>
    </w:p>
    <w:p>
      <w:pPr>
        <w:pStyle w:val="ListBullet"/>
      </w:pPr>
      <w:r>
        <w:t>Overbroad launch scope or incorrect first customer persona.</w:t>
      </w:r>
    </w:p>
    <w:p>
      <w:pPr>
        <w:pStyle w:val="ListBullet"/>
      </w:pPr>
      <w:r>
        <w:t>Operational burden of maintaining rules and sources.</w:t>
      </w:r>
    </w:p>
    <w:p>
      <w:pPr>
        <w:pStyle w:val="Heading1"/>
      </w:pPr>
      <w:r>
        <w:t>29. AI-DLC role and implementation gate</w:t>
      </w:r>
    </w:p>
    <w:p>
      <w:r>
        <w:t>This document is the product context/source-of-truth. The separate Permit Preflight Inception Brief is the governing instruction set for AI-DLC. AI-DLC should use this plan to understand the product, while the Inception Brief defines what must be investigated, challenged, and delivered.</w:t>
      </w:r>
    </w:p>
    <w:p>
      <w:r>
        <w:t>AI-DLC must not begin Construction until Inception artifacts have been reviewed and explicit approval is given. Before Construction, summarize product scope, recommended initial customer, architecture, datasets/licenses/gaps, regulatory/rule design, LLM design, security, payment architecture, unit economics/pricing, validation plan/results, units of work, implementation order, major risks, unresolved questions, and human decisions required.</w:t>
      </w:r>
    </w:p>
    <w:p>
      <w:pPr>
        <w:pStyle w:val="Heading1"/>
      </w:pPr>
      <w:r>
        <w:t>30. Immediate next step</w:t>
      </w:r>
    </w:p>
    <w:p>
      <w:r>
        <w:t>Place this updated product plan and the master Inception Brief in the repository. Start Claude Code with the AWS AI-DLC workflow active and instruct it to perform Inception using both documents, with the Inception Brief governing if the two documents ever conflict. Do not scaffold or implement the application until the Inception approval gate is reached.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