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before="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52500" cy="952500"/>
                <wp:effectExtent l="0" t="0" r="0" b="0"/>
                <wp:docPr id="1" name="CTL Logo" descr="Professional logo" title="Casey T. Lide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952500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75.00pt;height:75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80"/>
        <w:ind/>
        <w:jc w:val="center"/>
        <w:rPr/>
      </w:pPr>
      <w:r>
        <w:rPr>
          <w:rFonts w:ascii="Arial" w:hAnsi="Arial" w:eastAsia="Arial" w:cs="Arial"/>
          <w:b/>
          <w:bCs/>
          <w:sz w:val="36"/>
          <w:szCs w:val="36"/>
        </w:rPr>
        <w:t xml:space="preserve">Casey T. Lide</w:t>
      </w:r>
      <w:r/>
    </w:p>
    <w:p>
      <w:pPr>
        <w:pBdr/>
        <w:spacing w:after="160"/>
        <w:ind/>
        <w:jc w:val="center"/>
        <w:rPr/>
      </w:pPr>
      <w:r>
        <w:rPr>
          <w:rFonts w:ascii="Arial" w:hAnsi="Arial" w:eastAsia="Arial" w:cs="Arial"/>
          <w:sz w:val="24"/>
          <w:szCs w:val="24"/>
        </w:rPr>
        <w:t xml:space="preserve">Senior Business Analysis Professional | CBAP Certified | AI Platform Developer</w:t>
      </w:r>
      <w:r/>
    </w:p>
    <w:p>
      <w:pPr>
        <w:pBdr/>
        <w:spacing w:after="80"/>
        <w:ind/>
        <w:jc w:val="center"/>
        <w:rPr/>
      </w:pPr>
      <w:r>
        <w:rPr>
          <w:sz w:val="20"/>
          <w:szCs w:val="20"/>
        </w:rPr>
        <w:t xml:space="preserve">📧 caseylide@gmail.com | 📱 858-462-2942 | </w:t>
      </w:r>
      <w:r>
        <w:rPr>
          <w:sz w:val="20"/>
          <w:szCs w:val="20"/>
        </w:rPr>
        <w:t xml:space="preserve">🌐 LinkedIn: linkedin.com/in/caseylide</w:t>
      </w:r>
      <w:r/>
    </w:p>
    <w:p>
      <w:pPr>
        <w:pBdr/>
        <w:spacing w:after="240"/>
        <w:ind/>
        <w:jc w:val="center"/>
        <w:rPr/>
      </w:pPr>
      <w:r>
        <w:rPr>
          <w:sz w:val="20"/>
          <w:szCs w:val="20"/>
        </w:rPr>
        <w:t xml:space="preserve">📍 Oceanside, CA | 🔄 Remote Work Specialist | 🚀 Available Immediately</w:t>
      </w:r>
      <w:r/>
    </w:p>
    <w:p>
      <w:pPr>
        <w:pStyle w:val="892"/>
        <w:pBdr/>
        <w:spacing/>
        <w:ind/>
        <w:rPr/>
      </w:pPr>
      <w:r>
        <w:t xml:space="preserve">Professional Summary</w:t>
      </w:r>
      <w:r/>
    </w:p>
    <w:p>
      <w:pPr>
        <w:pBdr/>
        <w:spacing w:after="120"/>
        <w:ind/>
        <w:rPr/>
      </w:pPr>
      <w:r>
        <w:t xml:space="preserve">Business analysis and product management professional with 15+ years of </w:t>
      </w:r>
      <w:r>
        <w:t xml:space="preserve">experience delivering transformational results across healthcare, finance, aerospace, and technology sectors. CBAP-certified with proprietary AI platform expertise, combining traditional business analysis excellence with cutting-edge technology innovation.</w:t>
      </w:r>
      <w:r/>
    </w:p>
    <w:p>
      <w:pPr>
        <w:pBdr/>
        <w:spacing w:after="120"/>
        <w:ind/>
        <w:rPr/>
      </w:pPr>
      <w:r>
        <w:t xml:space="preserve">Proven track record: Led $10M+ in successful project deliv</w:t>
      </w:r>
      <w:r>
        <w:t xml:space="preserve">eries, consistently achieving 95%+ stakeholder satisfaction through innovative collaboration methodologies. Unique differentiator: Creator and operator of Axialy AI platform, revolutionizing stakeholder feedback management and analysis package development.</w:t>
      </w:r>
      <w:r/>
    </w:p>
    <w:p>
      <w:pPr>
        <w:pBdr/>
        <w:spacing w:after="240"/>
        <w:ind/>
        <w:rPr/>
      </w:pPr>
      <w:r>
        <w:rPr>
          <w:b/>
          <w:bCs/>
        </w:rPr>
        <w:t xml:space="preserve">Core Expertise: </w:t>
      </w:r>
      <w:r>
        <w:t xml:space="preserve">Complex requirements elicitation • AI-enhanced analysis • Enterprise BI solutions • Agile leadership • Stakeholder engagement • Process optimization • Digital transformation</w:t>
      </w:r>
      <w:r/>
    </w:p>
    <w:p>
      <w:pPr>
        <w:pStyle w:val="892"/>
        <w:pBdr/>
        <w:spacing/>
        <w:ind/>
        <w:rPr/>
      </w:pPr>
      <w:r>
        <w:t xml:space="preserve">Key Achievements &amp; Value Delivered</w:t>
      </w:r>
      <w:r/>
    </w:p>
    <w:p>
      <w:pPr>
        <w:pStyle w:val="893"/>
        <w:pBdr/>
        <w:spacing/>
        <w:ind/>
        <w:rPr/>
      </w:pPr>
      <w:r>
        <w:t xml:space="preserve">🚀 Platform Innovation &amp; Development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Designed, developed, and deployed enterprise SaaS platform (Axialy AI) from concept to production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Achieved 95% stakeholder participation rates vs. industry standard 30-40% through innovative PIN-based feedback systems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Reduced analysis creation time by 70% through AI-assisted content generation and automated workflows</w:t>
      </w:r>
      <w:r/>
    </w:p>
    <w:p>
      <w:pPr>
        <w:pStyle w:val="887"/>
        <w:numPr>
          <w:ilvl w:val="0"/>
          <w:numId w:val="2"/>
        </w:numPr>
        <w:pBdr/>
        <w:spacing w:after="200"/>
        <w:ind/>
        <w:rPr/>
      </w:pPr>
      <w:r>
        <w:t xml:space="preserve">Built complete AWS infrastructure using Infrastructure as Code (Terraform) with CI/CD automation</w:t>
      </w:r>
      <w:r/>
    </w:p>
    <w:p>
      <w:pPr>
        <w:pStyle w:val="893"/>
        <w:pBdr/>
        <w:spacing/>
        <w:ind/>
        <w:rPr/>
      </w:pPr>
      <w:r>
        <w:t xml:space="preserve">📊 Enterprise Business Intelligence &amp; Analytics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Led BI modernization for UnitedHealth Group's Enterprise CAC platform serving millions of healthcare users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Delivered 25% increase in data accuracy through advanced Excel analytics and Power BI dashboard implementations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Achieved 40% reduction in reporting time via Tableau development and automated data pipeline optimization</w:t>
      </w:r>
      <w:r/>
    </w:p>
    <w:p>
      <w:pPr>
        <w:pStyle w:val="887"/>
        <w:numPr>
          <w:ilvl w:val="0"/>
          <w:numId w:val="2"/>
        </w:numPr>
        <w:pBdr/>
        <w:spacing w:after="200"/>
        <w:ind/>
        <w:rPr/>
      </w:pPr>
      <w:r>
        <w:t xml:space="preserve">Mentored offshore development teams in adoption of advanced visualization technologies</w:t>
      </w:r>
      <w:r/>
    </w:p>
    <w:p>
      <w:pPr>
        <w:pStyle w:val="893"/>
        <w:pBdr/>
        <w:spacing/>
        <w:ind/>
        <w:rPr/>
      </w:pPr>
      <w:r>
        <w:t xml:space="preserve">⚡ Agile Leadership &amp; Process Excellence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Completed 16 consecutive successful Product Increments as Scrum Master and Product Owner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Improved process efficiency by 30% through SharePoint workflow development and approval automation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Led Six Sigma initiatives resulting in 15% operational cost reduction across multiple client engagements</w:t>
      </w:r>
      <w:r/>
    </w:p>
    <w:p>
      <w:pPr>
        <w:pStyle w:val="887"/>
        <w:numPr>
          <w:ilvl w:val="0"/>
          <w:numId w:val="2"/>
        </w:numPr>
        <w:pBdr/>
        <w:spacing w:after="200"/>
        <w:ind/>
        <w:rPr/>
      </w:pPr>
      <w:r>
        <w:t xml:space="preserve">Managed cross-functional teams of 10+ members across multiple time zones and cultural contexts</w:t>
      </w:r>
      <w:r/>
    </w:p>
    <w:p>
      <w:pPr>
        <w:pStyle w:val="893"/>
        <w:pBdr/>
        <w:spacing/>
        <w:ind/>
        <w:rPr/>
      </w:pPr>
      <w:r>
        <w:t xml:space="preserve">🎯 Complex Project Delivery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Delivered mission-critical aerospace solutions for military and defense applications (Miro Technologies)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Managed enterprise integrations for Fortune 500 clients across healthcare, finance, and technology sectors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Architected data solutions supporting regulatory compliance and revenue cycle optimization</w:t>
      </w:r>
      <w:r/>
    </w:p>
    <w:p>
      <w:pPr>
        <w:pStyle w:val="887"/>
        <w:numPr>
          <w:ilvl w:val="0"/>
          <w:numId w:val="2"/>
        </w:numPr>
        <w:pBdr/>
        <w:spacing w:after="240"/>
        <w:ind/>
        <w:rPr/>
      </w:pPr>
      <w:r>
        <w:t xml:space="preserve">Facilitated digital transformation initiatives with measurable ROI and stakeholder buy-in</w:t>
      </w:r>
      <w:r/>
    </w:p>
    <w:p>
      <w:pPr>
        <w:pStyle w:val="892"/>
        <w:pBdr/>
        <w:spacing/>
        <w:ind/>
        <w:rPr/>
      </w:pPr>
      <w:r>
        <w:t xml:space="preserve">Technical Proficiencies</w:t>
      </w:r>
      <w:r/>
    </w:p>
    <w:p>
      <w:pPr>
        <w:pStyle w:val="894"/>
        <w:pBdr/>
        <w:spacing/>
        <w:ind/>
        <w:rPr/>
      </w:pPr>
      <w:r>
        <w:t xml:space="preserve">Business Analysis &amp; Methodology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Frameworks: </w:t>
      </w:r>
      <w:r>
        <w:t xml:space="preserve">BABOK Guide, Agile/Scrum, SAFe, Six Sigma, Design Thinking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Requirements Management: </w:t>
      </w:r>
      <w:r>
        <w:t xml:space="preserve">Complex elicitation, stakeholder analysis, gap analysis, process mapping</w:t>
      </w:r>
      <w:r/>
    </w:p>
    <w:p>
      <w:pPr>
        <w:pBdr/>
        <w:spacing w:after="200"/>
        <w:ind/>
        <w:rPr/>
      </w:pPr>
      <w:r>
        <w:rPr>
          <w:b/>
          <w:bCs/>
        </w:rPr>
        <w:t xml:space="preserve">Documentation: </w:t>
      </w:r>
      <w:r>
        <w:t xml:space="preserve">Use cases, user stories, acceptance criteria, business requirements, technical specifications</w:t>
      </w:r>
      <w:r/>
    </w:p>
    <w:p>
      <w:pPr>
        <w:pStyle w:val="894"/>
        <w:pBdr/>
        <w:spacing/>
        <w:ind/>
        <w:rPr/>
      </w:pPr>
      <w:r>
        <w:t xml:space="preserve">Data Analysis &amp; Visualization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BI Platforms: </w:t>
      </w:r>
      <w:r>
        <w:t xml:space="preserve">Power BI (certified), Tableau, SQL Server Reporting Services (SSRS)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Analytics Tools: </w:t>
      </w:r>
      <w:r>
        <w:t xml:space="preserve">Advanced Excel, SQL programming, Python scripting, statistical analysis</w:t>
      </w:r>
      <w:r/>
    </w:p>
    <w:p>
      <w:pPr>
        <w:pBdr/>
        <w:spacing w:after="200"/>
        <w:ind/>
        <w:rPr/>
      </w:pPr>
      <w:r>
        <w:rPr>
          <w:b/>
          <w:bCs/>
        </w:rPr>
        <w:t xml:space="preserve">Database Technologies: </w:t>
      </w:r>
      <w:r>
        <w:t xml:space="preserve">MySQL, SQL Server, data warehouse design, ETL processes</w:t>
      </w:r>
      <w:r/>
    </w:p>
    <w:p>
      <w:pPr>
        <w:pStyle w:val="894"/>
        <w:pBdr/>
        <w:spacing/>
        <w:ind/>
        <w:rPr/>
      </w:pPr>
      <w:r>
        <w:t xml:space="preserve">Technology &amp; Development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Cloud Platforms: </w:t>
      </w:r>
      <w:r>
        <w:t xml:space="preserve">AWS (EC2, RDS, S3, CloudWatch), Infrastructure as Code (Terraform)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Development: </w:t>
      </w:r>
      <w:r>
        <w:t xml:space="preserve">PHP, JavaScript, API integration, webhook implementation, CI/CD pipelines</w:t>
      </w:r>
      <w:r/>
    </w:p>
    <w:p>
      <w:pPr>
        <w:pBdr/>
        <w:spacing w:after="200"/>
        <w:ind/>
        <w:rPr/>
      </w:pPr>
      <w:r>
        <w:rPr>
          <w:b/>
          <w:bCs/>
        </w:rPr>
        <w:t xml:space="preserve">Collaboration Tools: </w:t>
      </w:r>
      <w:r>
        <w:t xml:space="preserve">SharePoint development, Power Platform (Apps, Automate, Forms), Visio</w:t>
      </w:r>
      <w:r/>
    </w:p>
    <w:p>
      <w:pPr>
        <w:pStyle w:val="894"/>
        <w:pBdr/>
        <w:spacing/>
        <w:ind/>
        <w:rPr/>
      </w:pPr>
      <w:r>
        <w:t xml:space="preserve">Project Management &amp; Leadership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Methodologies: </w:t>
      </w:r>
      <w:r>
        <w:t xml:space="preserve">Scrum, Kanban, SAFe, Waterfall, Hybrid approaches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Tools: </w:t>
      </w:r>
      <w:r>
        <w:t xml:space="preserve">Azure DevOps, Jira, Confluence, MS Project, stakeholder management platforms</w:t>
      </w:r>
      <w:r/>
    </w:p>
    <w:p>
      <w:pPr>
        <w:pBdr/>
        <w:spacing w:after="240"/>
        <w:ind/>
        <w:rPr/>
      </w:pPr>
      <w:r>
        <w:rPr>
          <w:b/>
          <w:bCs/>
        </w:rPr>
        <w:t xml:space="preserve">Leadership: </w:t>
      </w:r>
      <w:r>
        <w:t xml:space="preserve">Team mentoring, change management, executive presentation, training delivery</w:t>
      </w:r>
      <w:r/>
    </w:p>
    <w:p>
      <w:pPr>
        <w:pStyle w:val="892"/>
        <w:pBdr/>
        <w:spacing/>
        <w:ind/>
        <w:rPr/>
      </w:pPr>
      <w:r>
        <w:t xml:space="preserve">Professional Experience</w:t>
      </w:r>
      <w:r/>
    </w:p>
    <w:p>
      <w:pPr>
        <w:pBdr/>
        <w:spacing w:after="60"/>
        <w:ind/>
        <w:rPr/>
      </w:pPr>
      <w:r>
        <w:rPr>
          <w:b/>
          <w:bCs/>
          <w:sz w:val="26"/>
          <w:szCs w:val="26"/>
        </w:rPr>
        <w:t xml:space="preserve">Founder &amp; Principal Consultant | Axiamax LLC | Jan 2024 – Present</w:t>
      </w:r>
      <w:r/>
    </w:p>
    <w:p>
      <w:pPr>
        <w:pBdr/>
        <w:spacing w:after="120"/>
        <w:ind/>
        <w:rPr/>
      </w:pPr>
      <w:r>
        <w:rPr>
          <w:i/>
          <w:iCs/>
        </w:rPr>
        <w:t xml:space="preserve">Leading business analysis consulting and AI platform development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Founded and scaled consulting practice specializing in AI-enhanced business analysis and stakeholder collaboration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Designed and developed Axialy AI platform, transforming traditional business analysis methodologies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Delivered consulting services to organizations seeking accelerated analysis creation and enhanced stakeholder engagement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Managed complete technology stack from database architecture to user interface design and deployment automation</w:t>
      </w:r>
      <w:r/>
    </w:p>
    <w:p>
      <w:pPr>
        <w:pBdr/>
        <w:spacing w:after="200"/>
        <w:ind/>
        <w:rPr/>
      </w:pPr>
      <w:r>
        <w:rPr>
          <w:b/>
          <w:bCs/>
        </w:rPr>
        <w:t xml:space="preserve">Key Technologies: </w:t>
      </w:r>
      <w:r>
        <w:t xml:space="preserve">PHP, JavaScript, MySQL, AWS, Terraform, Stripe API, OpenAI API integration</w:t>
      </w:r>
      <w:r/>
    </w:p>
    <w:p>
      <w:pPr>
        <w:pBdr/>
        <w:spacing w:after="60"/>
        <w:ind/>
        <w:rPr/>
      </w:pPr>
      <w:r>
        <w:rPr>
          <w:b/>
          <w:bCs/>
          <w:sz w:val="26"/>
          <w:szCs w:val="26"/>
        </w:rPr>
        <w:t xml:space="preserve">Principal Consultant | Technossus LLC | Jan 2021 – Aug 2023</w:t>
      </w:r>
      <w:r/>
    </w:p>
    <w:p>
      <w:pPr>
        <w:pBdr/>
        <w:spacing w:after="120"/>
        <w:ind/>
        <w:rPr/>
      </w:pPr>
      <w:r>
        <w:rPr>
          <w:i/>
          <w:iCs/>
        </w:rPr>
        <w:t xml:space="preserve">Elite consulting delivery for Fortune 500 clients across multiple industries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Led complex engagements for CommonSpirit Health (consumer-facing p</w:t>
      </w:r>
      <w:r>
        <w:t xml:space="preserve">atient portal - B2B2C product enabling patient search, appointment scheduling, and healthcare journey management), Pacific Dental Services (analytics and MRR optimization), Warner Pacific (enterprise security assessments), and enterprise technology clients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Delivered data analytics solutions including MRR optimization, enterprise security assessments, and IT transformation roadmaps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Managed offshore development teams across multiple client projects with consistent quality delivery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Developed custom solutions using Microsoft Power Platform, SharePoint, and advanced analytics tools</w:t>
      </w:r>
      <w:r/>
    </w:p>
    <w:p>
      <w:pPr>
        <w:pBdr/>
        <w:spacing w:after="200"/>
        <w:ind/>
        <w:rPr/>
      </w:pPr>
      <w:r>
        <w:rPr>
          <w:b/>
          <w:bCs/>
        </w:rPr>
        <w:t xml:space="preserve">Key Projects: </w:t>
      </w:r>
      <w:r>
        <w:t xml:space="preserve">Consumer-facing patient portal (B2B2C product management), dental services analytics optimization, insurance agency software evaluation, laboratory automation API development</w:t>
      </w:r>
      <w:r/>
    </w:p>
    <w:p>
      <w:pPr>
        <w:pBdr/>
        <w:spacing w:after="60"/>
        <w:ind/>
        <w:rPr/>
      </w:pPr>
      <w:r>
        <w:rPr>
          <w:b/>
          <w:bCs/>
          <w:sz w:val="26"/>
          <w:szCs w:val="26"/>
        </w:rPr>
        <w:t xml:space="preserve">Senior Business Systems Analyst | UnitedHealth Group (Optum) | May 2013 – Nov 2020</w:t>
      </w:r>
      <w:r/>
    </w:p>
    <w:p>
      <w:pPr>
        <w:pBdr/>
        <w:spacing w:after="120"/>
        <w:ind/>
        <w:rPr/>
      </w:pPr>
      <w:r>
        <w:rPr>
          <w:i/>
          <w:iCs/>
        </w:rPr>
        <w:t xml:space="preserve">Enterprise healthcare technology and revenue cycle optimization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Led product management for Enterprise CAC reporting solutions serving major healthcare providers nationwide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Modernized BI paradigm from legacy SSRS to Tableau-based advanced analytics and executive dashboards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Analyzed large PHI/PII datasets across multiple healthcare organizations ensuring HIPAA compliance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Managed technical product development including feature prioritization, roadmap planning, and stakeholder communication</w:t>
      </w:r>
      <w:r/>
    </w:p>
    <w:p>
      <w:pPr>
        <w:pBdr/>
        <w:spacing w:after="200"/>
        <w:ind/>
        <w:rPr/>
      </w:pPr>
      <w:r>
        <w:rPr>
          <w:b/>
          <w:bCs/>
        </w:rPr>
        <w:t xml:space="preserve">Career Progression: </w:t>
      </w:r>
      <w:r>
        <w:t xml:space="preserve">Senior Business Analyst → Product Owner → Technical Product Manager → Senior Business Systems Analyst</w:t>
      </w:r>
      <w:r/>
    </w:p>
    <w:p>
      <w:pPr>
        <w:pBdr/>
        <w:spacing w:after="60"/>
        <w:ind/>
        <w:rPr/>
      </w:pPr>
      <w:r>
        <w:rPr>
          <w:b/>
          <w:bCs/>
          <w:sz w:val="26"/>
          <w:szCs w:val="26"/>
        </w:rPr>
        <w:t xml:space="preserve">Systems Analyst &amp; QA Lead | Miro Technologies | Jul 2008 – May 2013</w:t>
      </w:r>
      <w:r/>
    </w:p>
    <w:p>
      <w:pPr>
        <w:pBdr/>
        <w:spacing w:after="120"/>
        <w:ind/>
        <w:rPr/>
      </w:pPr>
      <w:r>
        <w:rPr>
          <w:i/>
          <w:iCs/>
        </w:rPr>
        <w:t xml:space="preserve">Aerospace and defense software solutions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Developed and supported GOLDesp SaaS platform for maintenance and overhaul operations in aerospace/military applications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Led quality assurance initiatives including test automation, SQL data analysis, and customer training programs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Contributed to mobile application development and enterprise configuration customization</w:t>
      </w:r>
      <w:r/>
    </w:p>
    <w:p>
      <w:pPr>
        <w:pStyle w:val="887"/>
        <w:numPr>
          <w:ilvl w:val="0"/>
          <w:numId w:val="2"/>
        </w:numPr>
        <w:pBdr/>
        <w:spacing w:after="240"/>
        <w:ind/>
        <w:rPr/>
      </w:pPr>
      <w:r>
        <w:t xml:space="preserve">Managed customer relationships through training delivery and ongoing support operations</w:t>
      </w:r>
      <w:r/>
    </w:p>
    <w:p>
      <w:pPr>
        <w:pStyle w:val="892"/>
        <w:pBdr/>
        <w:spacing/>
        <w:ind/>
        <w:rPr/>
      </w:pPr>
      <w:r>
        <w:t xml:space="preserve">Education &amp; Certifications</w:t>
      </w:r>
      <w:r/>
    </w:p>
    <w:p>
      <w:pPr>
        <w:pStyle w:val="893"/>
        <w:pBdr/>
        <w:spacing/>
        <w:ind/>
        <w:rPr/>
      </w:pPr>
      <w:r>
        <w:t xml:space="preserve">Education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Bachelor of Science, Computer Information Systems | Arizona State University | 2008</w:t>
      </w:r>
      <w:r/>
    </w:p>
    <w:p>
      <w:pPr>
        <w:pStyle w:val="887"/>
        <w:numPr>
          <w:ilvl w:val="0"/>
          <w:numId w:val="2"/>
        </w:numPr>
        <w:pBdr/>
        <w:spacing w:after="200"/>
        <w:ind/>
        <w:rPr/>
      </w:pPr>
      <w:r>
        <w:t xml:space="preserve">Associate of Arts, Business Administration | Scottsdale Community College | 2006</w:t>
      </w:r>
      <w:r/>
    </w:p>
    <w:p>
      <w:pPr>
        <w:pStyle w:val="893"/>
        <w:pBdr/>
        <w:spacing/>
        <w:ind/>
        <w:rPr/>
      </w:pPr>
      <w:r>
        <w:t xml:space="preserve">Professional Certifications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Certified Business Analysis Professional (CBAP) | IIBA | October 2022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Power BI Data Analyst Associate | Microsoft | Current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Product Management Certified - Level III (PMC-III) | Pragmatic Institute | February 2019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Professional Scrum Master I (PSM-I) | Scrum.org | August 2022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Professional Scrum Product Owner I (PSPO-I) | Scrum.org | August 2022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Professional Agile Leadership I (PAL-I) | Scrum.org | August 2022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Scaled Professional Scrum (SPS) | Scrum.org | August 2022</w:t>
      </w:r>
      <w:r/>
    </w:p>
    <w:p>
      <w:pPr>
        <w:pStyle w:val="887"/>
        <w:numPr>
          <w:ilvl w:val="0"/>
          <w:numId w:val="2"/>
        </w:numPr>
        <w:pBdr/>
        <w:spacing w:after="200"/>
        <w:ind/>
        <w:rPr/>
      </w:pPr>
      <w:r>
        <w:t xml:space="preserve">Six Sigma Green Belt Professional | Current</w:t>
      </w:r>
      <w:r/>
    </w:p>
    <w:p>
      <w:pPr>
        <w:pStyle w:val="893"/>
        <w:pBdr/>
        <w:spacing/>
        <w:ind/>
        <w:rPr/>
      </w:pPr>
      <w:r>
        <w:t xml:space="preserve">Military Service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United States Navy | E-5, Machinists Mate – Nuclear | Honorable Discharge</w:t>
      </w:r>
      <w:r/>
    </w:p>
    <w:p>
      <w:pPr>
        <w:pStyle w:val="887"/>
        <w:numPr>
          <w:ilvl w:val="0"/>
          <w:numId w:val="2"/>
        </w:numPr>
        <w:pBdr/>
        <w:spacing w:after="240"/>
        <w:ind/>
        <w:rPr/>
      </w:pPr>
      <w:r>
        <w:t xml:space="preserve">Advanced Technical Training: Nuclear physics, materials science, heat transfer, fluid dynamics</w:t>
      </w:r>
      <w:r/>
    </w:p>
    <w:p>
      <w:pPr>
        <w:pStyle w:val="892"/>
        <w:pBdr/>
        <w:spacing/>
        <w:ind/>
        <w:rPr/>
      </w:pPr>
      <w:r>
        <w:t xml:space="preserve">Industry Recognition &amp; Thought Leadership</w:t>
      </w:r>
      <w:r/>
    </w:p>
    <w:p>
      <w:pPr>
        <w:pStyle w:val="893"/>
        <w:pBdr/>
        <w:spacing/>
        <w:ind/>
        <w:rPr/>
      </w:pPr>
      <w:r>
        <w:t xml:space="preserve">Platform Development Achievement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Successfully launched production SaaS platform serving business analysis professionals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Achieved enterprise-grade security, scalability, and user experience standards</w:t>
      </w:r>
      <w:r/>
    </w:p>
    <w:p>
      <w:pPr>
        <w:pStyle w:val="887"/>
        <w:numPr>
          <w:ilvl w:val="0"/>
          <w:numId w:val="2"/>
        </w:numPr>
        <w:pBdr/>
        <w:spacing w:after="200"/>
        <w:ind/>
        <w:rPr/>
      </w:pPr>
      <w:r>
        <w:t xml:space="preserve">Integrated advanced AI capabilities for content generation and stakeholder collaboration</w:t>
      </w:r>
      <w:r/>
    </w:p>
    <w:p>
      <w:pPr>
        <w:pStyle w:val="893"/>
        <w:pBdr/>
        <w:spacing/>
        <w:ind/>
        <w:rPr/>
      </w:pPr>
      <w:r>
        <w:t xml:space="preserve">Professional Community Engagement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IIBA Member with ongoing professional development and knowledge sharing</w:t>
      </w:r>
      <w:r/>
    </w:p>
    <w:p>
      <w:pPr>
        <w:pStyle w:val="887"/>
        <w:numPr>
          <w:ilvl w:val="0"/>
          <w:numId w:val="2"/>
        </w:numPr>
        <w:pBdr/>
        <w:spacing/>
        <w:ind/>
        <w:rPr/>
      </w:pPr>
      <w:r>
        <w:t xml:space="preserve">Scrum.org Certified across multiple agile leadership disciplines</w:t>
      </w:r>
      <w:r/>
    </w:p>
    <w:p>
      <w:pPr>
        <w:pStyle w:val="887"/>
        <w:numPr>
          <w:ilvl w:val="0"/>
          <w:numId w:val="2"/>
        </w:numPr>
        <w:pBdr/>
        <w:spacing w:after="240"/>
        <w:ind/>
        <w:rPr/>
      </w:pPr>
      <w:r>
        <w:t xml:space="preserve">Industry Speaker on AI-enhanced business analysis methodologies</w:t>
      </w:r>
      <w:r/>
    </w:p>
    <w:p>
      <w:pPr>
        <w:pStyle w:val="892"/>
        <w:pBdr/>
        <w:spacing/>
        <w:ind/>
        <w:rPr/>
      </w:pPr>
      <w:r>
        <w:t xml:space="preserve">What Sets Me Apart</w:t>
      </w:r>
      <w:r/>
    </w:p>
    <w:p>
      <w:pPr>
        <w:pStyle w:val="894"/>
        <w:pBdr/>
        <w:spacing/>
        <w:ind/>
        <w:rPr/>
      </w:pPr>
      <w:r>
        <w:t xml:space="preserve">🎯 Proprietary Technology Advantage</w:t>
      </w:r>
      <w:r/>
    </w:p>
    <w:p>
      <w:pPr>
        <w:pBdr/>
        <w:spacing w:after="200"/>
        <w:ind/>
        <w:rPr/>
      </w:pPr>
      <w:r>
        <w:t xml:space="preserve">Unlike traditional business analysts, I bring Axialy AI platform capabilities that deliver measurable acceleration in analysis creation, stakeholder engagement, and project outcomes.</w:t>
      </w:r>
      <w:r/>
    </w:p>
    <w:p>
      <w:pPr>
        <w:pStyle w:val="894"/>
        <w:pBdr/>
        <w:spacing/>
        <w:ind/>
        <w:rPr/>
      </w:pPr>
      <w:r>
        <w:t xml:space="preserve">📈 Quantifiable Results Focus</w:t>
      </w:r>
      <w:r/>
    </w:p>
    <w:p>
      <w:pPr>
        <w:pBdr/>
        <w:spacing w:after="200"/>
        <w:ind/>
        <w:rPr/>
      </w:pPr>
      <w:r>
        <w:t xml:space="preserve">Consistent track record of delivering measurable ROI: 70% faster analysis creation, 95% stakeholder participation rates, 30% process efficiency improvements.</w:t>
      </w:r>
      <w:r/>
    </w:p>
    <w:p>
      <w:pPr>
        <w:pStyle w:val="894"/>
        <w:pBdr/>
        <w:spacing/>
        <w:ind/>
        <w:rPr/>
      </w:pPr>
      <w:r>
        <w:t xml:space="preserve">🔄 Full-Stack Capability</w:t>
      </w:r>
      <w:r/>
    </w:p>
    <w:p>
      <w:pPr>
        <w:pBdr/>
        <w:spacing w:after="200"/>
        <w:ind/>
        <w:rPr/>
      </w:pPr>
      <w:r>
        <w:t xml:space="preserve">Unique combination of deep business analysis expertise with technical implementation skills, enabling end-to-end solution delivery without external dependencies.</w:t>
      </w:r>
      <w:r/>
    </w:p>
    <w:p>
      <w:pPr>
        <w:pStyle w:val="894"/>
        <w:pBdr/>
        <w:spacing/>
        <w:ind/>
        <w:rPr/>
      </w:pPr>
      <w:r>
        <w:t xml:space="preserve">⚡ Immediate Impact Delivery</w:t>
      </w:r>
      <w:r/>
    </w:p>
    <w:p>
      <w:pPr>
        <w:pBdr/>
        <w:spacing w:after="240"/>
        <w:ind/>
        <w:rPr/>
      </w:pPr>
      <w:r>
        <w:t xml:space="preserve">Available for immediate engagement with proven methodologies, established technology stack, and 15+ years of refined best practices.</w:t>
      </w:r>
      <w:r/>
    </w:p>
    <w:p>
      <w:pPr>
        <w:pStyle w:val="892"/>
        <w:pBdr/>
        <w:spacing/>
        <w:ind/>
        <w:rPr/>
      </w:pPr>
      <w:r>
        <w:t xml:space="preserve">Engagement Approach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Available for: </w:t>
      </w:r>
      <w:r>
        <w:t xml:space="preserve">Full-time positions, contract engagements, project-based consulting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Preferred: </w:t>
      </w:r>
      <w:r>
        <w:t xml:space="preserve">Remote work arrangements with occasional travel as needed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Start Date: </w:t>
      </w:r>
      <w:r>
        <w:t xml:space="preserve">Immediate availability for qualified opportunities</w:t>
      </w:r>
      <w:r/>
    </w:p>
    <w:p>
      <w:pPr>
        <w:pBdr/>
        <w:spacing/>
        <w:ind/>
        <w:rPr/>
      </w:pPr>
      <w:r>
        <w:t xml:space="preserve">References and detailed project portfolios available upon request</w:t>
      </w:r>
      <w:r/>
    </w:p>
    <w:sectPr>
      <w:footnotePr/>
      <w:endnotePr/>
      <w:type w:val="nextPage"/>
      <w:pgSz w:h="15840" w:orient="portrait" w:w="12240"/>
      <w:pgMar w:top="720" w:right="720" w:bottom="720" w:left="72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Table Grid Light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1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2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1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2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3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5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6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2" w:default="1">
    <w:name w:val="Normal"/>
    <w:qFormat/>
    <w:pPr>
      <w:pBdr/>
      <w:spacing/>
      <w:ind/>
    </w:pPr>
  </w:style>
  <w:style w:type="paragraph" w:styleId="833">
    <w:name w:val="Heading 7"/>
    <w:basedOn w:val="832"/>
    <w:next w:val="832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32"/>
    <w:next w:val="832"/>
    <w:link w:val="8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32"/>
    <w:next w:val="832"/>
    <w:link w:val="8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numbering" w:styleId="837" w:default="1">
    <w:name w:val="No List"/>
    <w:uiPriority w:val="99"/>
    <w:semiHidden/>
    <w:unhideWhenUsed/>
    <w:pPr>
      <w:pBdr/>
      <w:spacing/>
      <w:ind/>
    </w:pPr>
  </w:style>
  <w:style w:type="character" w:styleId="838">
    <w:name w:val="Heading 1 Char"/>
    <w:basedOn w:val="836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9">
    <w:name w:val="Heading 2 Char"/>
    <w:basedOn w:val="836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0">
    <w:name w:val="Heading 3 Char"/>
    <w:basedOn w:val="836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1">
    <w:name w:val="Heading 4 Char"/>
    <w:basedOn w:val="836"/>
    <w:link w:val="88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2">
    <w:name w:val="Heading 5 Char"/>
    <w:basedOn w:val="836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3">
    <w:name w:val="Heading 6 Char"/>
    <w:basedOn w:val="836"/>
    <w:link w:val="88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4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5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Title Char"/>
    <w:basedOn w:val="836"/>
    <w:link w:val="8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32"/>
    <w:next w:val="832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32"/>
    <w:next w:val="832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32"/>
    <w:next w:val="832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32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32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32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32"/>
    <w:next w:val="83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endnote text"/>
    <w:basedOn w:val="832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End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69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32"/>
    <w:next w:val="832"/>
    <w:uiPriority w:val="39"/>
    <w:unhideWhenUsed/>
    <w:pPr>
      <w:pBdr/>
      <w:spacing w:after="100"/>
      <w:ind/>
    </w:pPr>
  </w:style>
  <w:style w:type="paragraph" w:styleId="871">
    <w:name w:val="toc 2"/>
    <w:basedOn w:val="832"/>
    <w:next w:val="832"/>
    <w:uiPriority w:val="39"/>
    <w:unhideWhenUsed/>
    <w:pPr>
      <w:pBdr/>
      <w:spacing w:after="100"/>
      <w:ind w:left="220"/>
    </w:pPr>
  </w:style>
  <w:style w:type="paragraph" w:styleId="872">
    <w:name w:val="toc 3"/>
    <w:basedOn w:val="832"/>
    <w:next w:val="832"/>
    <w:uiPriority w:val="39"/>
    <w:unhideWhenUsed/>
    <w:pPr>
      <w:pBdr/>
      <w:spacing w:after="100"/>
      <w:ind w:left="440"/>
    </w:pPr>
  </w:style>
  <w:style w:type="paragraph" w:styleId="873">
    <w:name w:val="toc 4"/>
    <w:basedOn w:val="832"/>
    <w:next w:val="832"/>
    <w:uiPriority w:val="39"/>
    <w:unhideWhenUsed/>
    <w:pPr>
      <w:pBdr/>
      <w:spacing w:after="100"/>
      <w:ind w:left="660"/>
    </w:pPr>
  </w:style>
  <w:style w:type="paragraph" w:styleId="874">
    <w:name w:val="toc 5"/>
    <w:basedOn w:val="832"/>
    <w:next w:val="832"/>
    <w:uiPriority w:val="39"/>
    <w:unhideWhenUsed/>
    <w:pPr>
      <w:pBdr/>
      <w:spacing w:after="100"/>
      <w:ind w:left="880"/>
    </w:pPr>
  </w:style>
  <w:style w:type="paragraph" w:styleId="875">
    <w:name w:val="toc 6"/>
    <w:basedOn w:val="832"/>
    <w:next w:val="832"/>
    <w:uiPriority w:val="39"/>
    <w:unhideWhenUsed/>
    <w:pPr>
      <w:pBdr/>
      <w:spacing w:after="100"/>
      <w:ind w:left="1100"/>
    </w:pPr>
  </w:style>
  <w:style w:type="paragraph" w:styleId="876">
    <w:name w:val="toc 7"/>
    <w:basedOn w:val="832"/>
    <w:next w:val="832"/>
    <w:uiPriority w:val="39"/>
    <w:unhideWhenUsed/>
    <w:pPr>
      <w:pBdr/>
      <w:spacing w:after="100"/>
      <w:ind w:left="1320"/>
    </w:pPr>
  </w:style>
  <w:style w:type="paragraph" w:styleId="877">
    <w:name w:val="toc 8"/>
    <w:basedOn w:val="832"/>
    <w:next w:val="832"/>
    <w:uiPriority w:val="39"/>
    <w:unhideWhenUsed/>
    <w:pPr>
      <w:pBdr/>
      <w:spacing w:after="100"/>
      <w:ind w:left="1540"/>
    </w:pPr>
  </w:style>
  <w:style w:type="paragraph" w:styleId="878">
    <w:name w:val="toc 9"/>
    <w:basedOn w:val="832"/>
    <w:next w:val="832"/>
    <w:uiPriority w:val="39"/>
    <w:unhideWhenUsed/>
    <w:pPr>
      <w:pBdr/>
      <w:spacing w:after="100"/>
      <w:ind w:left="1760"/>
    </w:pPr>
  </w:style>
  <w:style w:type="character" w:styleId="879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0">
    <w:name w:val="TOC Heading"/>
    <w:uiPriority w:val="39"/>
    <w:unhideWhenUsed/>
    <w:pPr>
      <w:pBdr/>
      <w:spacing/>
      <w:ind/>
    </w:pPr>
  </w:style>
  <w:style w:type="paragraph" w:styleId="881">
    <w:name w:val="table of figures"/>
    <w:basedOn w:val="832"/>
    <w:next w:val="832"/>
    <w:uiPriority w:val="99"/>
    <w:unhideWhenUsed/>
    <w:pPr>
      <w:pBdr/>
      <w:spacing w:after="0" w:afterAutospacing="0"/>
      <w:ind/>
    </w:pPr>
  </w:style>
  <w:style w:type="paragraph" w:styleId="882">
    <w:name w:val="Title"/>
    <w:qFormat/>
    <w:pPr>
      <w:pBdr/>
      <w:spacing/>
      <w:ind/>
    </w:pPr>
    <w:rPr>
      <w:sz w:val="56"/>
      <w:szCs w:val="56"/>
    </w:rPr>
  </w:style>
  <w:style w:type="paragraph" w:styleId="883">
    <w:name w:val="Heading 4"/>
    <w:qFormat/>
    <w:pPr>
      <w:pBdr/>
      <w:spacing/>
      <w:ind/>
    </w:pPr>
    <w:rPr>
      <w:i/>
      <w:iCs/>
      <w:color w:val="2e74b5"/>
    </w:rPr>
  </w:style>
  <w:style w:type="paragraph" w:styleId="884">
    <w:name w:val="Heading 5"/>
    <w:qFormat/>
    <w:pPr>
      <w:pBdr/>
      <w:spacing/>
      <w:ind/>
    </w:pPr>
    <w:rPr>
      <w:color w:val="2e74b5"/>
    </w:rPr>
  </w:style>
  <w:style w:type="paragraph" w:styleId="885">
    <w:name w:val="Heading 6"/>
    <w:qFormat/>
    <w:pPr>
      <w:pBdr/>
      <w:spacing/>
      <w:ind/>
    </w:pPr>
    <w:rPr>
      <w:color w:val="1f4d78"/>
    </w:rPr>
  </w:style>
  <w:style w:type="paragraph" w:styleId="886">
    <w:name w:val="Strong"/>
    <w:qFormat/>
    <w:pPr>
      <w:pBdr/>
      <w:spacing/>
      <w:ind/>
    </w:pPr>
    <w:rPr>
      <w:b/>
      <w:bCs/>
    </w:rPr>
  </w:style>
  <w:style w:type="paragraph" w:styleId="887">
    <w:name w:val="List Paragraph"/>
    <w:qFormat/>
    <w:pPr>
      <w:pBdr/>
      <w:spacing/>
      <w:ind/>
    </w:pPr>
  </w:style>
  <w:style w:type="character" w:styleId="88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8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0">
    <w:name w:val="footnote text"/>
    <w:link w:val="8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1">
    <w:name w:val="Footnote Text Char"/>
    <w:link w:val="890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892">
    <w:name w:val="Heading 1"/>
    <w:qFormat/>
    <w:pPr>
      <w:pBdr/>
      <w:spacing w:after="180" w:before="240"/>
      <w:ind/>
      <w:outlineLvl w:val="0"/>
    </w:pPr>
    <w:rPr>
      <w:rFonts w:ascii="Arial" w:hAnsi="Arial" w:eastAsia="Arial" w:cs="Arial"/>
      <w:b/>
      <w:bCs/>
      <w:color w:val="2b579a"/>
      <w:sz w:val="32"/>
      <w:szCs w:val="32"/>
    </w:rPr>
  </w:style>
  <w:style w:type="paragraph" w:styleId="893">
    <w:name w:val="Heading 2"/>
    <w:qFormat/>
    <w:pPr>
      <w:pBdr/>
      <w:spacing w:after="120" w:before="180"/>
      <w:ind/>
      <w:outlineLvl w:val="1"/>
    </w:pPr>
    <w:rPr>
      <w:rFonts w:ascii="Arial" w:hAnsi="Arial" w:eastAsia="Arial" w:cs="Arial"/>
      <w:b/>
      <w:bCs/>
      <w:color w:val="2b579a"/>
      <w:sz w:val="28"/>
      <w:szCs w:val="28"/>
    </w:rPr>
  </w:style>
  <w:style w:type="paragraph" w:styleId="894">
    <w:name w:val="Heading 3"/>
    <w:qFormat/>
    <w:pPr>
      <w:pBdr/>
      <w:spacing w:after="80" w:before="120"/>
      <w:ind/>
      <w:outlineLvl w:val="2"/>
    </w:pPr>
    <w:rPr>
      <w:rFonts w:ascii="Arial" w:hAnsi="Arial" w:eastAsia="Arial" w:cs="Arial"/>
      <w:b/>
      <w:bCs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2026-01-28T01:37:34Z</dcterms:created>
  <dcterms:modified xsi:type="dcterms:W3CDTF">2026-02-06T20:41:45Z</dcterms:modified>
</cp:coreProperties>
</file>