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Attribution and Control Topology in Financial Systems: An Agency Calculus Analysis of the 2008 Crisis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Narrative versus Structural Paradox in Financial Systems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foundational paradox of the modern global financial system lies in the profound disjunction between its stated, ideological purpose and the observable structural output it consistently produces. Nominally, the architecture of international finance, encompassing its vast networks of institutions, regulatory bodies, and market mechanisms, is engineered to optimize market efficiency, facilitate accurate risk pricing, and ensure the optimal allocation of capital to productive economic enterprises.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Under this prevailing narrative, market participants—ranging from institutional investors to retail consumers—operate in an environment where sophisticated risk management protocols disperse exposure to those most capable of bearing it, thereby generating systemic resilience and broad-based economic growth.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stated objective is stability achieved through the efficient aggregation of decentralized information.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the observable patterns characterizing the global financial apparatus, culminating most destructively in the 2008 financial crisis, fundamentally contradict this efficiency narrative. Instead of the promised risk dispersion and equilibrium, the system demonstrated a massive, compounding buildup of systemic risk, characterized by highly correlated behavior across institutions that were legally, nominally, and operationally classified as independent entities.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structural reality revealed a system that did not optimize for long-term stability but rather for maximum short-term extraction, resulting in catastrophic crisis dynamics that nearly collapsed the global economy.</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paradox is not an accident of history but is structurally explained by the failure of aggregate optimization, formalized within the REACH (Responsible Economics through Agency Calculus Heuristics) framework as the inherent failure of </w:t>
      </w:r>
      <w:r w:rsidDel="00000000" w:rsidR="00000000" w:rsidRPr="00000000">
        <w:rPr>
          <w:rFonts w:ascii="Google Sans" w:cs="Google Sans" w:eastAsia="Google Sans" w:hAnsi="Google Sans"/>
          <w:color w:val="1f1f1f"/>
        </w:rPr>
        <w:drawing>
          <wp:inline distB="19050" distT="19050" distL="19050" distR="19050">
            <wp:extent cx="497562" cy="237299"/>
            <wp:effectExtent b="0" l="0" r="0" t="0"/>
            <wp:docPr id="29"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497562" cy="2372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economics.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For the better part of a half-century, the dominant corporate and macroeconomic objective functions have prioritized aggregates—measuring success through total financial sector output, Gross Domestic Product (GDP), or aggregate shareholder value.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structural critique of </w:t>
      </w:r>
      <w:r w:rsidDel="00000000" w:rsidR="00000000" w:rsidRPr="00000000">
        <w:rPr>
          <w:rFonts w:ascii="Google Sans" w:cs="Google Sans" w:eastAsia="Google Sans" w:hAnsi="Google Sans"/>
          <w:color w:val="1f1f1f"/>
        </w:rPr>
        <w:drawing>
          <wp:inline distB="19050" distT="19050" distL="19050" distR="19050">
            <wp:extent cx="497562" cy="237299"/>
            <wp:effectExtent b="0" l="0" r="0" t="0"/>
            <wp:docPr id="31"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497562" cy="2372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optimization is that it is inherently vulnerable to floor collapse in any interdependent system.</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w:t>
      </w:r>
      <w:r w:rsidDel="00000000" w:rsidR="00000000" w:rsidRPr="00000000">
        <w:rPr>
          <w:rFonts w:ascii="Google Sans" w:cs="Google Sans" w:eastAsia="Google Sans" w:hAnsi="Google Sans"/>
          <w:color w:val="1f1f1f"/>
        </w:rPr>
        <w:drawing>
          <wp:inline distB="19050" distT="19050" distL="19050" distR="19050">
            <wp:extent cx="497562" cy="237299"/>
            <wp:effectExtent b="0" l="0" r="0" t="0"/>
            <wp:docPr id="30"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497562" cy="2372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optimization function permits, and actively rewards, the creation of local maxima that are sustained exclusively by the severe compression of the system's weakest, most vulnerable nodes.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context of the 2008 crisis, the financial sector achieved unprecedented aggregate profitability by extracting capital directly from household balance sheets.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Through the aggressive proliferation of subprime lending instruments, financial institutions executed millions of transactions that were highly profitable for the lender in the immediate term, but ultimately destructive for the borrower.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Under a </w:t>
      </w:r>
      <w:r w:rsidDel="00000000" w:rsidR="00000000" w:rsidRPr="00000000">
        <w:rPr>
          <w:rFonts w:ascii="Google Sans" w:cs="Google Sans" w:eastAsia="Google Sans" w:hAnsi="Google Sans"/>
          <w:color w:val="1f1f1f"/>
        </w:rPr>
        <w:drawing>
          <wp:inline distB="19050" distT="19050" distL="19050" distR="19050">
            <wp:extent cx="497562" cy="237299"/>
            <wp:effectExtent b="0" l="0" r="0" t="0"/>
            <wp:docPr id="33"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497562" cy="2372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metric, an operation that extracts significant wealth from vulnerable populations to generate marginally larger institutional profits is mathematically registered as a net positive.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For instance, a systemic action that generates +100 units of value for the wealthy while inflicting -50 units of harm on the poor is recorded as a net gain of +50, blinding policymakers to the underlying substrate damage.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total output of the financial sector—the aggregate sum—rose dramatically during the mid-2000s, generating a powerful public narrative of extreme economic success and sophisticated innovation.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Simultaneously, the "floor" of the economic system, defined by household financial resilience and baseline material security, was systematically compressed and hollowed out.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Because the economic system is deeply interdependent, these compressed actors were not isolated, expendable units; they were load-bearing nodes upon which the rest of the macroeconomic architecture depended for labor, consumption, and institutional trust.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public narrative of market efficiency masked the structural reality that the surplus nodes (the major financial institutions) were borrowing heavily against the structural integrity of the very system they depended upon.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When the inevitable macroeconomic shock occurred—triggered by stalling housing prices and rising interest rates—the floor failure propagated upward with devastating speed.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contagion ultimately destroyed the very institutions that had engaged in the extraction, because the foundational nodes of the economy had collapsed beneath them.</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paradox between the narrative of efficiency and the reality of crisis is thus resolved by recognizing that the system functioned exactly as its </w:t>
      </w:r>
      <w:r w:rsidDel="00000000" w:rsidR="00000000" w:rsidRPr="00000000">
        <w:rPr>
          <w:rFonts w:ascii="Google Sans" w:cs="Google Sans" w:eastAsia="Google Sans" w:hAnsi="Google Sans"/>
          <w:color w:val="1f1f1f"/>
        </w:rPr>
        <w:drawing>
          <wp:inline distB="19050" distT="19050" distL="19050" distR="19050">
            <wp:extent cx="497562" cy="237299"/>
            <wp:effectExtent b="0" l="0" r="0" t="0"/>
            <wp:docPr id="32"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497562" cy="2372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objective dictated, ruthlessly optimizing for aggregate extraction at the direct, unpriced expense of systemic survival.</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Attribution and the Locus of Capital Control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understand who actually determines where capital flows, forensic economic analysis must differentiate rigorously between the nominal actors who appear to make independent decisions and the effective controllers who quietly dictate the parameters, boundaries, and incentives of those decisions.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Standard models of financial attribution focus almost exclusively on visible participants: individual and institutional investors placing capital, markets reacting to supply and demand, and regulators ostensibly enforcing the rules of engagement.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However, structural attribution reveals that true systemic power frequently bypasses these highly visible entities, operating instead through hidden constraint logic.</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the mathematical architecture of the Agency Calculus framework, power is not treated as an abstract sociological concept or a vague institutional influence; it is a measurable derivative of state-transition capacity. It is formalized precisely as the sensitivity of a target agent's agency to a specific variable controlled by an external actor: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95461"/>
            <wp:effectExtent b="0" l="0" r="0" t="0"/>
            <wp:docPr id="35"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905500" cy="595461"/>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Power is mathematically maximized when the controlled variable </w:t>
      </w:r>
      <w:r w:rsidDel="00000000" w:rsidR="00000000" w:rsidRPr="00000000">
        <w:rPr>
          <w:rFonts w:ascii="Google Sans" w:cs="Google Sans" w:eastAsia="Google Sans" w:hAnsi="Google Sans"/>
          <w:color w:val="1f1f1f"/>
        </w:rPr>
        <w:drawing>
          <wp:inline distB="19050" distT="19050" distL="19050" distR="19050">
            <wp:extent cx="185976" cy="230610"/>
            <wp:effectExtent b="0" l="0" r="0" t="0"/>
            <wp:docPr id="34"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185976" cy="2306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constitutes the binding minimum—the critical bottleneck—in the recipient's agency product.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Agency itself is defined structurally as the product of four irreducible dimensions necessary for any state transition: Prerequisites (</w:t>
      </w:r>
      <w:r w:rsidDel="00000000" w:rsidR="00000000" w:rsidRPr="00000000">
        <w:rPr>
          <w:rFonts w:ascii="Google Sans" w:cs="Google Sans" w:eastAsia="Google Sans" w:hAnsi="Google Sans"/>
          <w:color w:val="1f1f1f"/>
        </w:rPr>
        <w:drawing>
          <wp:inline distB="19050" distT="19050" distL="19050" distR="19050">
            <wp:extent cx="144066" cy="248113"/>
            <wp:effectExtent b="0" l="0" r="0" t="0"/>
            <wp:docPr id="37"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144066" cy="2481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Options (</w:t>
      </w:r>
      <w:r w:rsidDel="00000000" w:rsidR="00000000" w:rsidRPr="00000000">
        <w:rPr>
          <w:rFonts w:ascii="Google Sans" w:cs="Google Sans" w:eastAsia="Google Sans" w:hAnsi="Google Sans"/>
          <w:color w:val="1f1f1f"/>
        </w:rPr>
        <w:drawing>
          <wp:inline distB="19050" distT="19050" distL="19050" distR="19050">
            <wp:extent cx="145852" cy="251189"/>
            <wp:effectExtent b="0" l="0" r="0" t="0"/>
            <wp:docPr id="36"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145852" cy="2511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Levers (</w:t>
      </w:r>
      <w:r w:rsidDel="00000000" w:rsidR="00000000" w:rsidRPr="00000000">
        <w:rPr>
          <w:rFonts w:ascii="Google Sans" w:cs="Google Sans" w:eastAsia="Google Sans" w:hAnsi="Google Sans"/>
          <w:color w:val="1f1f1f"/>
        </w:rPr>
        <w:drawing>
          <wp:inline distB="19050" distT="19050" distL="19050" distR="19050">
            <wp:extent cx="125611" cy="243371"/>
            <wp:effectExtent b="0" l="0" r="0" t="0"/>
            <wp:docPr id="40"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125611" cy="2433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Impact (</w:t>
      </w:r>
      <w:r w:rsidDel="00000000" w:rsidR="00000000" w:rsidRPr="00000000">
        <w:rPr>
          <w:rFonts w:ascii="Google Sans" w:cs="Google Sans" w:eastAsia="Google Sans" w:hAnsi="Google Sans"/>
          <w:color w:val="1f1f1f"/>
        </w:rPr>
        <w:drawing>
          <wp:inline distB="19050" distT="19050" distL="19050" distR="19050">
            <wp:extent cx="95607" cy="246985"/>
            <wp:effectExtent b="0" l="0" r="0" t="0"/>
            <wp:docPr id="3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95607" cy="2469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Because this aggregation is multiplicative (</w:t>
      </w:r>
      <w:r w:rsidDel="00000000" w:rsidR="00000000" w:rsidRPr="00000000">
        <w:rPr>
          <w:rFonts w:ascii="Google Sans" w:cs="Google Sans" w:eastAsia="Google Sans" w:hAnsi="Google Sans"/>
          <w:color w:val="1f1f1f"/>
        </w:rPr>
        <w:drawing>
          <wp:inline distB="19050" distT="19050" distL="19050" distR="19050">
            <wp:extent cx="1795463" cy="235845"/>
            <wp:effectExtent b="0" l="0" r="0" t="0"/>
            <wp:docPr id="39"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1795463" cy="2358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controlling the specific dimension where an agent is weakest grants the controller absolute, disproportionate leverage over that agent's total capacity to act.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mechanism of influence is executed through Proxy Control and Constraint Equivalence.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 hidden actor (</w:t>
      </w:r>
      <w:r w:rsidDel="00000000" w:rsidR="00000000" w:rsidRPr="00000000">
        <w:rPr>
          <w:rFonts w:ascii="Google Sans" w:cs="Google Sans" w:eastAsia="Google Sans" w:hAnsi="Google Sans"/>
          <w:color w:val="1f1f1f"/>
        </w:rPr>
        <w:drawing>
          <wp:inline distB="19050" distT="19050" distL="19050" distR="19050">
            <wp:extent cx="138351" cy="238271"/>
            <wp:effectExtent b="0" l="0" r="0" t="0"/>
            <wp:docPr id="41"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138351" cy="2382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exercises control over a broader financial system (</w:t>
      </w:r>
      <w:r w:rsidDel="00000000" w:rsidR="00000000" w:rsidRPr="00000000">
        <w:rPr>
          <w:rFonts w:ascii="Google Sans" w:cs="Google Sans" w:eastAsia="Google Sans" w:hAnsi="Google Sans"/>
          <w:color w:val="1f1f1f"/>
        </w:rPr>
        <w:drawing>
          <wp:inline distB="19050" distT="19050" distL="19050" distR="19050">
            <wp:extent cx="123706" cy="239680"/>
            <wp:effectExtent b="0" l="0" r="0" t="0"/>
            <wp:docPr id="42"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123706" cy="2396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through a visible proxy (</w:t>
      </w:r>
      <w:r w:rsidDel="00000000" w:rsidR="00000000" w:rsidRPr="00000000">
        <w:rPr>
          <w:rFonts w:ascii="Google Sans" w:cs="Google Sans" w:eastAsia="Google Sans" w:hAnsi="Google Sans"/>
          <w:color w:val="1f1f1f"/>
        </w:rPr>
        <w:drawing>
          <wp:inline distB="19050" distT="19050" distL="19050" distR="19050">
            <wp:extent cx="145018" cy="249753"/>
            <wp:effectExtent b="0" l="0" r="0" t="0"/>
            <wp:docPr id="43"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145018" cy="2497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 restricting the proxy's nominal feasible set of actions (</w:t>
      </w:r>
      <w:r w:rsidDel="00000000" w:rsidR="00000000" w:rsidRPr="00000000">
        <w:rPr>
          <w:rFonts w:ascii="Google Sans" w:cs="Google Sans" w:eastAsia="Google Sans" w:hAnsi="Google Sans"/>
          <w:color w:val="1f1f1f"/>
        </w:rPr>
        <w:drawing>
          <wp:inline distB="19050" distT="19050" distL="19050" distR="19050">
            <wp:extent cx="251460" cy="243602"/>
            <wp:effectExtent b="0" l="0" r="0" t="0"/>
            <wp:docPr id="44"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251460" cy="2436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into a rigidly constrained set (</w:t>
      </w:r>
      <w:r w:rsidDel="00000000" w:rsidR="00000000" w:rsidRPr="00000000">
        <w:rPr>
          <w:rFonts w:ascii="Google Sans" w:cs="Google Sans" w:eastAsia="Google Sans" w:hAnsi="Google Sans"/>
          <w:color w:val="1f1f1f"/>
        </w:rPr>
        <w:drawing>
          <wp:inline distB="19050" distT="19050" distL="19050" distR="19050">
            <wp:extent cx="1108472" cy="236984"/>
            <wp:effectExtent b="0" l="0" r="0" t="0"/>
            <wp:docPr id="45"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1108472" cy="2369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visible agent remains locally rational, selecting the specific action that maximizes its immediate utility within the constrained set, thereby preserving the outward appearance of autonomy, deliberation, and free market choice.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Actor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Entity Types in the Financial 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Structural Role and Functional Mechanism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Nominal Actors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Investors, Homeowners, Retail Banks, Regulators, Markets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Operate within heavily constrained feasible action sets (</w:t>
            </w:r>
            <w:r w:rsidDel="00000000" w:rsidR="00000000" w:rsidRPr="00000000">
              <w:rPr>
                <w:rFonts w:ascii="Google Sans" w:cs="Google Sans" w:eastAsia="Google Sans" w:hAnsi="Google Sans"/>
                <w:color w:val="1f1f1f"/>
                <w:shd w:fill="auto" w:val="clear"/>
              </w:rPr>
              <w:drawing>
                <wp:inline distB="19050" distT="19050" distL="19050" distR="19050">
                  <wp:extent cx="170140" cy="208809"/>
                  <wp:effectExtent b="0" l="0" r="0" t="0"/>
                  <wp:docPr id="46"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170140" cy="20880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Exhibit local rationality and appear to be the direct determinants of market outcomes, thus absorbing all causal attribution and public scrutiny in standard economic models.</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Effective Controllers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Credit Ratings Agencies, Underwriting Institutions, Central Banks, Liquidity Providers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Exercise upstream constraint-setting authority (</w:t>
            </w:r>
            <w:r w:rsidDel="00000000" w:rsidR="00000000" w:rsidRPr="00000000">
              <w:rPr>
                <w:rFonts w:ascii="Google Sans" w:cs="Google Sans" w:eastAsia="Google Sans" w:hAnsi="Google Sans"/>
                <w:color w:val="1f1f1f"/>
                <w:shd w:fill="auto" w:val="clear"/>
              </w:rPr>
              <w:drawing>
                <wp:inline distB="19050" distT="19050" distL="19050" distR="19050">
                  <wp:extent cx="188952" cy="204068"/>
                  <wp:effectExtent b="0" l="0" r="0" t="0"/>
                  <wp:docPr id="47"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188952" cy="20406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Determine the exact parameters of the feasible option sets for the nominal actors. Operate through mechanisms of proxy invisibility, entirely evading direct attribution.</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credit ratings agencies and major underwriting institutions during the 2008 financial crisis serve as perfect illustrations of effective control exercised through constraint setting. These agencies appeared merely to offer independent, professional, and highly technical judgments regarding the risk associated with complex financial instruments, such as collateralized debt obligations (CDOs) and mortgage-backed securities (MBS).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Nominally, global investors, pension funds, and asset managers made autonomous, market-driven choices to allocate trillions of dollars of capital to these products.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 structural reality, however, deeply entrenched institutional mandates, stringent regulatory requirements, and baseline fiduciary standards artificially restricted the feasible option sets of these massive capital pools exclusively to AAA-rated assets.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systematically understating credit risk and granting unwarranted AAA ratings to inherently toxic subprime derivatives, the ratings agencies and their underwriting partners effectively controlled the flow of global capital.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Because this profound control was exercised through the quiet modification of options (the </w:t>
      </w:r>
      <w:r w:rsidDel="00000000" w:rsidR="00000000" w:rsidRPr="00000000">
        <w:rPr>
          <w:rFonts w:ascii="Google Sans" w:cs="Google Sans" w:eastAsia="Google Sans" w:hAnsi="Google Sans"/>
          <w:color w:val="1f1f1f"/>
        </w:rPr>
        <w:drawing>
          <wp:inline distB="19050" distT="19050" distL="19050" distR="19050">
            <wp:extent cx="145852" cy="251189"/>
            <wp:effectExtent b="0" l="0" r="0" t="0"/>
            <wp:docPr id="48"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145852" cy="2511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dimension of agency) rather than through explicit coercion or direct market purchasing, the influence remained structurally invisible to traditional oversight mechanisms.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If an analyst's causal model only enumerates the visible actors actively executing the trades, the residual closure operator (</w:t>
      </w:r>
      <w:r w:rsidDel="00000000" w:rsidR="00000000" w:rsidRPr="00000000">
        <w:rPr>
          <w:rFonts w:ascii="Google Sans" w:cs="Google Sans" w:eastAsia="Google Sans" w:hAnsi="Google Sans"/>
          <w:color w:val="1f1f1f"/>
        </w:rPr>
        <w:drawing>
          <wp:inline distB="19050" distT="19050" distL="19050" distR="19050">
            <wp:extent cx="1735579" cy="237017"/>
            <wp:effectExtent b="0" l="0" r="0" t="0"/>
            <wp:docPr id="19"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1735579" cy="2370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evaluates to zero, falsely indicating that all systemic control is fully accounted for.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ratings agencies and underwriting banks thus acted as the system's effective controllers, utilizing proxy invisibility to direct massive, systemic capital flows into highly precarious assets while completely avoiding the immediate attribution of risk or responsibility.</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Similarly, central banks and repo market liquidity providers operated as effective controllers by managing the Levers (</w:t>
      </w:r>
      <w:r w:rsidDel="00000000" w:rsidR="00000000" w:rsidRPr="00000000">
        <w:rPr>
          <w:rFonts w:ascii="Google Sans" w:cs="Google Sans" w:eastAsia="Google Sans" w:hAnsi="Google Sans"/>
          <w:color w:val="1f1f1f"/>
        </w:rPr>
        <w:drawing>
          <wp:inline distB="19050" distT="19050" distL="19050" distR="19050">
            <wp:extent cx="125611" cy="243371"/>
            <wp:effectExtent b="0" l="0" r="0" t="0"/>
            <wp:docPr id="20"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125611" cy="2433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capital access. By determining the cost of overnight funding and the acceptable collateral for liquidity windows, these entities shaped the survival parameters for the entire shadow banking system.</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When liquidity was abundant, it masked the underlying insolvency of the assets; when liquidity providers suddenly tightened their constraints, the system immediately froze.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nominal actors—the retail banks and mortgage originators—were entirely at the mercy of the constraints set by these upstream liquidity controllers.</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Objective Functions: Stated Mandates versus Revealed Optimization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component of deep structural analysis involves separating a financial system's stated, public-facing mandates from the revealed objectives it actually pursues in practice. In the financial ecosystem preceding the 2008 crisis, the stated objective function (</w:t>
      </w:r>
      <w:r w:rsidDel="00000000" w:rsidR="00000000" w:rsidRPr="00000000">
        <w:rPr>
          <w:rFonts w:ascii="Google Sans" w:cs="Google Sans" w:eastAsia="Google Sans" w:hAnsi="Google Sans"/>
          <w:color w:val="1f1f1f"/>
        </w:rPr>
        <w:drawing>
          <wp:inline distB="19050" distT="19050" distL="19050" distR="19050">
            <wp:extent cx="480060" cy="240030"/>
            <wp:effectExtent b="0" l="0" r="0" t="0"/>
            <wp:docPr id="21"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480060" cy="2400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major institutional infrastructure—encompassing ratings agencies, internal risk management committees, and underwriting divisions—was unequivocally defined as the accurate pricing of risk, the maintenance of systemic financial stability, and the diligent protection of client capital.</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behavioral analysis allows for the rigorous recovery of the effective optimization target (</w:t>
      </w:r>
      <w:r w:rsidDel="00000000" w:rsidR="00000000" w:rsidRPr="00000000">
        <w:rPr>
          <w:rFonts w:ascii="Google Sans" w:cs="Google Sans" w:eastAsia="Google Sans" w:hAnsi="Google Sans"/>
          <w:color w:val="1f1f1f"/>
        </w:rPr>
        <w:drawing>
          <wp:inline distB="19050" distT="19050" distL="19050" distR="19050">
            <wp:extent cx="145971" cy="243284"/>
            <wp:effectExtent b="0" l="0" r="0" t="0"/>
            <wp:docPr id="22" name="image27.png"/>
            <a:graphic>
              <a:graphicData uri="http://schemas.openxmlformats.org/drawingml/2006/picture">
                <pic:pic>
                  <pic:nvPicPr>
                    <pic:cNvPr id="0" name="image27.png"/>
                    <pic:cNvPicPr preferRelativeResize="0"/>
                  </pic:nvPicPr>
                  <pic:blipFill>
                    <a:blip r:embed="rId23"/>
                    <a:srcRect b="0" l="0" r="0" t="0"/>
                    <a:stretch>
                      <a:fillRect/>
                    </a:stretch>
                  </pic:blipFill>
                  <pic:spPr>
                    <a:xfrm>
                      <a:off x="0" y="0"/>
                      <a:ext cx="145971" cy="2432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through inverse optimization techniques.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When the inferred, mathematically verifiable objective diverges systematically from the public mandate, the resulting Objective Mismatch, formalized as the operator </w:t>
      </w:r>
      <w:r w:rsidDel="00000000" w:rsidR="00000000" w:rsidRPr="00000000">
        <w:rPr>
          <w:rFonts w:ascii="Google Sans" w:cs="Google Sans" w:eastAsia="Google Sans" w:hAnsi="Google Sans"/>
          <w:color w:val="1f1f1f"/>
        </w:rPr>
        <w:drawing>
          <wp:inline distB="19050" distT="19050" distL="19050" distR="19050">
            <wp:extent cx="1718072" cy="244348"/>
            <wp:effectExtent b="0" l="0" r="0" t="0"/>
            <wp:docPr id="23"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1718072" cy="2443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becomes highly diagnostic of captured and hidden control structures.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revealed objective function of the financial architecture during the mid-2000s was overwhelmingly oriented toward deal flow maximization, short-term yield optimization, systemic risk deferral, and extreme fee extraction.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most profound and documented manifestation of this objective mismatch was located within the operational mechanics of the credit ratings agencies.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structural reality, as evidenced by the Observable tier of the Attribution-Integrity Gap (AIG), was an optimization target entirely captured by revenue dependence.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"issuer-pays" model—where the entity creating and selling the financial instrument pays the agency to rate it—established a direct, structural conflict of interest. But the extent of the capture was much deeper than mere psychological bias; it represented a fundamental mathematical restructuring of the agencies' operational utility functions.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Internal communications and emails from 2007 and 2008 documented a stark, undeniable divergence between the public narrative of rigorous risk assessment and the internal reality of certification schedule pressure and desperate revenue capture.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agencies were not optimizing for accuracy; they were optimizing for market share and fee extraction by actively tailoring their ratings models to meet the immediate demands of the underwriting institutions that compensated them.</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revealed objective dictated a system-wide strategy of systemic risk deferral. Financial institutions at the highest levels recognized that the instruments they were engineering, rating, and distributing were increasingly detached from any actual underlying value. Yet the internal optimization parameters—specifically, the compensation structures for executives, quants, and traders—rewarded the immediate extraction of transaction fees and the continuous, uncritical processing of volume.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objective mismatch operator (</w:t>
      </w:r>
      <w:r w:rsidDel="00000000" w:rsidR="00000000" w:rsidRPr="00000000">
        <w:rPr>
          <w:rFonts w:ascii="Google Sans" w:cs="Google Sans" w:eastAsia="Google Sans" w:hAnsi="Google Sans"/>
          <w:color w:val="1f1f1f"/>
        </w:rPr>
        <w:drawing>
          <wp:inline distB="19050" distT="19050" distL="19050" distR="19050">
            <wp:extent cx="437436" cy="237904"/>
            <wp:effectExtent b="0" l="0" r="0" t="0"/>
            <wp:docPr id="24"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437436" cy="2379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would show a massive, widening divergence throughout the mid-2000s as the effective objective of revenue dependence entirely eclipsed the stated objective of objective risk management, driving the entire system relentlessly toward structural collapse.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Incentive Distortion and Alignment Failure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catastrophic financial outcomes of 2008 were not the result of a malfunctioning system or a sudden outbreak of collective irrationality, but rather the output of a highly efficient system executing a fundamentally distorted incentive structure. The failure occurred exactly where the optimization pressure placed on individual actors diverged from the ostensible goals of systemic stability.</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traditional financial theory, actors optimizing their individual utility within a free market are presumed to generate optimal, efficient aggregate outcomes. However, the Agency Calculus framework demonstrates that when incentives are structured to reward unchecked </w:t>
      </w:r>
      <w:r w:rsidDel="00000000" w:rsidR="00000000" w:rsidRPr="00000000">
        <w:rPr>
          <w:rFonts w:ascii="Google Sans" w:cs="Google Sans" w:eastAsia="Google Sans" w:hAnsi="Google Sans"/>
          <w:color w:val="1f1f1f"/>
        </w:rPr>
        <w:drawing>
          <wp:inline distB="19050" distT="19050" distL="19050" distR="19050">
            <wp:extent cx="497562" cy="237299"/>
            <wp:effectExtent b="0" l="0" r="0" t="0"/>
            <wp:docPr id="25"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497562" cy="2372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optimization in a highly interdependent network, actors inevitably, rationally benefit from mispricing risk, maintaining the flow of toxic assets, and deliberately delaying vital market corrections.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executives, brokers, and risk managers across the financial spectrum were responding rationally to the specific optimization pressure of the incentive topology they inhabited, not out of malevolent intent, but out of mathematical necessity.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compensation is inextricably tied to short-term transaction volume and immediate yield rather than the long-term viability of the underlying asset, the only rational strategy for an optimizer is to maximize originations regardless of quality. This profound distortion deeply degraded the Levers (</w:t>
      </w:r>
      <w:r w:rsidDel="00000000" w:rsidR="00000000" w:rsidRPr="00000000">
        <w:rPr>
          <w:rFonts w:ascii="Google Sans" w:cs="Google Sans" w:eastAsia="Google Sans" w:hAnsi="Google Sans"/>
          <w:color w:val="1f1f1f"/>
        </w:rPr>
        <w:drawing>
          <wp:inline distB="19050" distT="19050" distL="19050" distR="19050">
            <wp:extent cx="125611" cy="243371"/>
            <wp:effectExtent b="0" l="0" r="0" t="0"/>
            <wp:docPr id="26"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125611" cy="2433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Impact (</w:t>
      </w:r>
      <w:r w:rsidDel="00000000" w:rsidR="00000000" w:rsidRPr="00000000">
        <w:rPr>
          <w:rFonts w:ascii="Google Sans" w:cs="Google Sans" w:eastAsia="Google Sans" w:hAnsi="Google Sans"/>
          <w:color w:val="1f1f1f"/>
        </w:rPr>
        <w:drawing>
          <wp:inline distB="19050" distT="19050" distL="19050" distR="19050">
            <wp:extent cx="95607" cy="246985"/>
            <wp:effectExtent b="0" l="0" r="0" t="0"/>
            <wp:docPr id="2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95607" cy="2469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dimensions of economic agency for the broader public.</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Capital access (</w:t>
      </w:r>
      <w:r w:rsidDel="00000000" w:rsidR="00000000" w:rsidRPr="00000000">
        <w:rPr>
          <w:rFonts w:ascii="Google Sans" w:cs="Google Sans" w:eastAsia="Google Sans" w:hAnsi="Google Sans"/>
          <w:color w:val="1f1f1f"/>
        </w:rPr>
        <w:drawing>
          <wp:inline distB="19050" distT="19050" distL="19050" distR="19050">
            <wp:extent cx="125611" cy="243371"/>
            <wp:effectExtent b="0" l="0" r="0" t="0"/>
            <wp:docPr id="28"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125611" cy="2433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was flooded into the system via predatory subprime loans without corresponding diligence, while crucial feedback mechanisms (</w:t>
      </w:r>
      <w:r w:rsidDel="00000000" w:rsidR="00000000" w:rsidRPr="00000000">
        <w:rPr>
          <w:rFonts w:ascii="Google Sans" w:cs="Google Sans" w:eastAsia="Google Sans" w:hAnsi="Google Sans"/>
          <w:color w:val="1f1f1f"/>
        </w:rPr>
        <w:drawing>
          <wp:inline distB="19050" distT="19050" distL="19050" distR="19050">
            <wp:extent cx="95607" cy="246985"/>
            <wp:effectExtent b="0" l="0" r="0" t="0"/>
            <wp:docPr id="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95607" cy="2469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)—the accurate pricing signals that normally alert a functioning market to escalating risk—were deliberately corrupted by the false security provided by AAA ratings.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alignment failure is solved theoretically through the implementation of the SEVC (Stakeholder, Environment, Value, Company) mechanism, which fundamentally restructures the incentive topology at the firm level.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By tying institutional success and executive compensation explicitly to the minimum score across multiple, competing dimensions (</w:t>
      </w:r>
      <w:r w:rsidDel="00000000" w:rsidR="00000000" w:rsidRPr="00000000">
        <w:rPr>
          <w:rFonts w:ascii="Google Sans" w:cs="Google Sans" w:eastAsia="Google Sans" w:hAnsi="Google Sans"/>
          <w:color w:val="1f1f1f"/>
        </w:rPr>
        <w:drawing>
          <wp:inline distB="19050" distT="19050" distL="19050" distR="19050">
            <wp:extent cx="1261110" cy="236936"/>
            <wp:effectExtent b="0" l="0" r="0" t="0"/>
            <wp:docPr id="10"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1261110" cy="2369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architecture makes systemic extraction an arithmetic error.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Under the distorted incentives leading up to 2008, suppressing the financial stability of households to boost immediate shareholder returns was highly rewarded by the market.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Under an SEVC structure, compressing any stakeholder floor—such as employee wages or consumer stability—instantly crashes the overall firm score, preventing the compensation pathway from producing systemic collapse.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2008 crisis represents the ultimate, devastating failure to implement such a non-compensatory incentive architecture, allowing private actors to aggressively privatize the gains of systemic risk buildup while socializing the inevitable, catastrophic losses.</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Bottleneck Analysis: The Typology of Financial Constraints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Power in complex financial systems naturally concentrates at bottlenecks. Within structural analysis, a bottleneck is not merely an operational delay or a passive constraint; it is a structural point of control concentration through which all causal influence must pass to dictate systemic outcomes.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static view of bottlenecks often fails to capture the highly dynamic ways in which different constraints interact with strategic order, policy, and time.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2008 crisis was driven by a confluence of specific, compounding bottlenecks that effectively captured the entire global capital allocation network.</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Bottleneck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Financial System Manifestation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Characteristics and Control Dynamics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Economic Bottlenecks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Capital concentration, Repo market liquidity access, Ratings agencies' "issuer-pays" revenue dependence.</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Characterized by their tendency to compound over time. A marginal revenue dependence in year one becomes a dominant structural control by year ten through accumulated commitment. Early intervention yields high leverage (</w:t>
            </w:r>
            <w:r w:rsidDel="00000000" w:rsidR="00000000" w:rsidRPr="00000000">
              <w:rPr>
                <w:rFonts w:ascii="Google Sans" w:cs="Google Sans" w:eastAsia="Google Sans" w:hAnsi="Google Sans"/>
                <w:color w:val="1f1f1f"/>
                <w:shd w:fill="auto" w:val="clear"/>
              </w:rPr>
              <w:drawing>
                <wp:inline distB="19050" distT="19050" distL="19050" distR="19050">
                  <wp:extent cx="145018" cy="249753"/>
                  <wp:effectExtent b="0" l="0" r="0" t="0"/>
                  <wp:docPr id="11"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145018" cy="24975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while late intervention is effectively paralyzed.</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Informational Bottlenecks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Ratings opacity, Extreme asymmetric knowledge regarding underlying asset quality, Intentional complexity of Synthetic CDOs.</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Highly dynamic and fragile. Remain highly durable under strict concealment but can collapse instantaneously upon forced disclosure events. Create massive, exploitable power disparities between originators and buyers.</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Institutional Bottlenecks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Deep regulatory capture, Revolving-door policy constraints limiting oversight authority, Centralized clearing infrastructure.</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Durable, legally codified constraints that inherently favor the designer (e.g., financial engineers, captured regulators). Require active, often highly resisted structural redesign to dismantle once implemented.</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critical mechanism of control in the lead-up to the crisis was the economic bottleneck represented by the ratings agencies' revenue dependence.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Unlike a spatial or physical bottleneck, which remains static unless rebuilt, this economic bottleneck actively compounded.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As underwriting institutions generated increasingly massive volumes of mortgage-backed securities, the ratings agencies became exponentially dependent on the fees generated by rating these specific, highly lucrative products.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accumulated commitment meant that the agencies completely lost the structural ability to enforce rigorous standards; their own financial survival became inextricably linked to the continued, uninterrupted flow of toxic assets.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these commitments accumulated, the breakpoint threshold for effective intervention (</w:t>
      </w:r>
      <w:r w:rsidDel="00000000" w:rsidR="00000000" w:rsidRPr="00000000">
        <w:rPr>
          <w:rFonts w:ascii="Google Sans" w:cs="Google Sans" w:eastAsia="Google Sans" w:hAnsi="Google Sans"/>
          <w:color w:val="1f1f1f"/>
        </w:rPr>
        <w:drawing>
          <wp:inline distB="19050" distT="19050" distL="19050" distR="19050">
            <wp:extent cx="614363" cy="235126"/>
            <wp:effectExtent b="0" l="0" r="0" t="0"/>
            <wp:docPr id="12"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614363" cy="2351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decreased sharply.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By the time the crisis was imminent, the systemic leverage available to correct the ratings agencies' behavior without triggering a catastrophic macroeconomic shock had entirely evaporated.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actors who controlled the revenue structure—the major underwriting banks and liquidity providers—held the ultimate strategic leadership, while the ratings agencies, nominally the independent gatekeepers, were relegated to the role of followers deeply and hopelessly constrained by the economic bottleneck they relied upon.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These bottlenecks dictated the options available to the rest of the market, perfectly concentrating control at the top of the securitization food chain.</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Coherence Signals and the Detection of Shared Hidden Structure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defining empirical feature of a captured financial system is the presence of elevated, unnatural coherence among actors who are ostensibly operating independently and in competition with one another.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If multiple competing financial entities, distinct regulatory bodies, and separate ratings agencies arrive at identical, highly risky conclusions simultaneously, standard economic models might innocently attribute this to a shared macroeconomic environment or identical independent optimizations based on publicly available market data.</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the Agency Calculus framework utilizes the time-indexed coherence operator to detect the presence of hidden shared structure: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93681"/>
            <wp:effectExtent b="0" l="0" r="0" t="0"/>
            <wp:docPr id="13"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905500" cy="693681"/>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powerful operator calculates the Kullback-Leibler divergence from a product-of-marginals baseline, carefully conditioning on observed covariates </w:t>
      </w:r>
      <w:r w:rsidDel="00000000" w:rsidR="00000000" w:rsidRPr="00000000">
        <w:rPr>
          <w:rFonts w:ascii="Google Sans" w:cs="Google Sans" w:eastAsia="Google Sans" w:hAnsi="Google Sans"/>
          <w:color w:val="1f1f1f"/>
        </w:rPr>
        <w:drawing>
          <wp:inline distB="19050" distT="19050" distL="19050" distR="19050">
            <wp:extent cx="349329" cy="235418"/>
            <wp:effectExtent b="0" l="0" r="0" t="0"/>
            <wp:docPr id="14"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349329" cy="2354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filter out any legitimate, benign common causes.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context of the 2008 crisis, the ratings-agency convergence did not occur in a vacuum, nor was it a sudden, unpredictable snapshot event.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coherence signal </w:t>
      </w:r>
      <w:r w:rsidDel="00000000" w:rsidR="00000000" w:rsidRPr="00000000">
        <w:rPr>
          <w:rFonts w:ascii="Google Sans" w:cs="Google Sans" w:eastAsia="Google Sans" w:hAnsi="Google Sans"/>
          <w:color w:val="1f1f1f"/>
        </w:rPr>
        <w:drawing>
          <wp:inline distB="19050" distT="19050" distL="19050" distR="19050">
            <wp:extent cx="437436" cy="237904"/>
            <wp:effectExtent b="0" l="0" r="0" t="0"/>
            <wp:docPr id="15"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437436" cy="2379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demonstrated a steady, relentless upward trend, building up over a period of four years as the agencies increasingly and uniformly aligned their risk assessments to favor the originators.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trending signal is a profound diagnostic tool: an upward trend in </w:t>
      </w:r>
      <w:r w:rsidDel="00000000" w:rsidR="00000000" w:rsidRPr="00000000">
        <w:rPr>
          <w:rFonts w:ascii="Google Sans" w:cs="Google Sans" w:eastAsia="Google Sans" w:hAnsi="Google Sans"/>
          <w:color w:val="1f1f1f"/>
        </w:rPr>
        <w:drawing>
          <wp:inline distB="19050" distT="19050" distL="19050" distR="19050">
            <wp:extent cx="437436" cy="237904"/>
            <wp:effectExtent b="0" l="0" r="0" t="0"/>
            <wp:docPr id="16"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437436" cy="2379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explicitly and mathematically identifies an emerging hidden structure.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spectral structure of this signal further distinguishes the exact nature of the control.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convergence observed was not periodic (like a standard business cycle) or shock-responsive; it was decidedly monotone, reflecting accumulating institutional drift as the economic bottleneck of the issuer-pays model tightened its grip on the industry.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nominally independent actors were exhibiting shared option suppression (universally ignoring the underlying risk of the assets), directional convergence (granting identical AAA ratings to toxic tranches across the board), and extraordinarily low variance under high entropy (producing identical ratings despite a highly complex, varied, and deteriorating underlying asset pool).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 strongly positive </w:t>
      </w:r>
      <w:r w:rsidDel="00000000" w:rsidR="00000000" w:rsidRPr="00000000">
        <w:rPr>
          <w:rFonts w:ascii="Google Sans" w:cs="Google Sans" w:eastAsia="Google Sans" w:hAnsi="Google Sans"/>
          <w:color w:val="1f1f1f"/>
        </w:rPr>
        <w:drawing>
          <wp:inline distB="19050" distT="19050" distL="19050" distR="19050">
            <wp:extent cx="437436" cy="237904"/>
            <wp:effectExtent b="0" l="0" r="0" t="0"/>
            <wp:docPr id="17"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437436" cy="2379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under these specific conditions confirms that the correlated behavior was not the result of independent actors making rational free-market choices, but was rather the undeniable signature of a shared hidden controller—the pervasive, corrupting incentive structure and funding dependencies established by the underwriting institutions and regulatory alignment.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Topology: Capital Flows, Risk Transfer, and the Architecture of Extraction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Mapping the system topology of the 2008 financial crisis reveals an architecture explicitly designed to facilitate extraction while aggressively distancing the extractors from the eventual, inevitable consequences. The topology was defined by a profound failure of the interdependent economic network, mapping exactly to the vulnerabilities and extraction pathways predicted by the REACH framework.</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capital flows in this topology operated as a massive, continuous siphon from the foundation of the economy. Surplus nodes—the major investment banks, hedge funds, and institutional investors—directed immense volumes of capital toward the acquisition and securitization of subprime debt.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created an overwhelming, insatiable demand for originations at the ground level, which directly incentivized predatory lending practices aimed at extracting wealth from household balance sheets.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system topology transferred the immediate capital gains rapidly upward to the financial institutions in the form of origination fees, executive bonuses, and short-term yields, while simultaneously pushing the massive, compounding risk downward onto the homeowners, municipal pension funds, and the broader economic infrastructure.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this network, the households functioned as the load-bearing floor nodes.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Decisions regarding capital allocation, risk tolerance, and underwriting standards were not actually made at the level of the individual borrower or even the local retail bank. Those decisions were structurally locked in far upstream, where the underwriting institutions, liquidity providers, and ratings agencies defined the mathematical parameters of what assets were considered valuable and safe.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Information flow was highly asymmetric; originators knew the loans were toxic, underwriters masked the toxicity in complex tranches, and end-investors were blinded by the AAA ratings.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underlying real estate market began to falter, the sophisticated risk transfer mechanisms—the complex web of collateralized debt obligations (CDOs) and synthetic derivatives—ensured that the contagion could not be contained.</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Because the topology had maximized extraction by compressing the floor to its absolute mathematical limit, the households lacked any remaining financial resilience to absorb the shock.</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subsequent massive wave of defaults constituted a catastrophic floor failure.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failure propagated relentlessly through the network, moving from the compressed nodes upward through the tranches of derivatives, ultimately causing the collapse of the very institutions that had engineered the extraction in the first place.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system topology proves that aggregate financial success achieved by hollowing out the structural base creates an inherently doomed, self-destructing architecture.</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Attribution-Integrity Gap (AIG) and Epistemic Collapse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financial system cannot sustain extreme structural distortion and risk buildup without a corresponding, severe degradation of its public information environment. Economic agents require accurate knowledge of their situation—specifically regarding who controls constraint-setting authority and what the system actually optimizes for—to exercise effective financial agency.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divergence between what the public believes drives financial outcomes and the structural reality of what actually does is quantified as the Attribution-Integrity Gap (</w:t>
      </w:r>
      <w:r w:rsidDel="00000000" w:rsidR="00000000" w:rsidRPr="00000000">
        <w:rPr>
          <w:rFonts w:ascii="Google Sans" w:cs="Google Sans" w:eastAsia="Google Sans" w:hAnsi="Google Sans"/>
          <w:color w:val="1f1f1f"/>
        </w:rPr>
        <w:drawing>
          <wp:inline distB="19050" distT="19050" distL="19050" distR="19050">
            <wp:extent cx="2411378" cy="236559"/>
            <wp:effectExtent b="0" l="0" r="0" t="0"/>
            <wp:docPr id="18" name="image29.png"/>
            <a:graphic>
              <a:graphicData uri="http://schemas.openxmlformats.org/drawingml/2006/picture">
                <pic:pic>
                  <pic:nvPicPr>
                    <pic:cNvPr id="0" name="image29.png"/>
                    <pic:cNvPicPr preferRelativeResize="0"/>
                  </pic:nvPicPr>
                  <pic:blipFill>
                    <a:blip r:embed="rId32"/>
                    <a:srcRect b="0" l="0" r="0" t="0"/>
                    <a:stretch>
                      <a:fillRect/>
                    </a:stretch>
                  </pic:blipFill>
                  <pic:spPr>
                    <a:xfrm>
                      <a:off x="0" y="0"/>
                      <a:ext cx="2411378" cy="2365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2008 financial crisis represents a total, systemic collapse of epistemic health, characterized by a massive and sustained AIG.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public sphere, the mainstream financial media, and even the regulatory bodies operated under fundamentally inaccurate models of structural causation.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Actor Categorization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Characteristics within the 2008 Information Environment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Over-Attributed Actors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Decoys and Scapegoats</w:t>
            </w:r>
            <w:r w:rsidDel="00000000" w:rsidR="00000000" w:rsidRPr="00000000">
              <w:rPr>
                <w:rFonts w:ascii="Google Sans" w:cs="Google Sans" w:eastAsia="Google Sans" w:hAnsi="Google Sans"/>
                <w:color w:val="1f1f1f"/>
                <w:shd w:fill="auto" w:val="clear"/>
                <w:rtl w:val="0"/>
              </w:rPr>
              <w:t xml:space="preserve">: The information environment falsely attributed the driving force of the market to autonomous retail investors, lower-level mortgage brokers, and generic, unavoidable "market forces." Control was often safely attributed to "nobody in particular," effectively obscuring the specific institutional mechanisms driving the crisis.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 Later, the narrative shifted to blame "greedy bankers" generally, without identifying the structural incentives that drove them.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Under-Attributed Actors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Actual Constraint-Setters</w:t>
            </w:r>
            <w:r w:rsidDel="00000000" w:rsidR="00000000" w:rsidRPr="00000000">
              <w:rPr>
                <w:rFonts w:ascii="Google Sans" w:cs="Google Sans" w:eastAsia="Google Sans" w:hAnsi="Google Sans"/>
                <w:color w:val="1f1f1f"/>
                <w:shd w:fill="auto" w:val="clear"/>
                <w:rtl w:val="0"/>
              </w:rPr>
              <w:t xml:space="preserve">: The ratings agencies, major underwriting banks, central bank liquidity providers, and the designers of securitization infrastructure. The environment failed to identify these entities, their policy constraints, and their funding structures as the true controllers of capital allocation, allowing their influence to remain completely hidden.</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severity of the AIG is most evident in the Observable tier of measurement. The lowest identifiability burden for an analyst occurs when an actor's own internal documents directly state an effective optimization target that explicitly conflicts with the public narrative.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2008 ratings-agency internal emails on revenue dependence provide the definitive, undeniable proof of this gap.</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While the public and the markets relied heavily on the agencies for objective risk assessment, the internal communications explicitly documented that ratings were driven almost entirely by the need to secure revenue from the issuers.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Viewpoint Entropy (VE) channel—which measures the diversity of competing explanations for structural control—reveals how deeply the information environment was captured. When asking the structural question, "what determined the 2008 mortgage-backed securities AAA ratings?", a healthy epistemic environment would concentrate population-weighted attribution mass on the accurate structural explanation (revenue dependence, systemic capture, and constraint logic).</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Instead, the pre-crisis environment was utterly dominated by decoy narratives, propaganda explanations, and an unverified institutional consensus that consumed the attribution mass, leaving agents totally blind to the impending collapse.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High formatting sourcing coexisted with zero actual evidentiary density regarding the real control structures, proving that accurate attribution integrity had failed completely.</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Intervention Analysis and Structural Response Dynamics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the hidden control structures, economic bottlenecks, and attribution gaps of a financial system are meticulously mapped, the framework transitions from passive detection to active intervention analysis. Structural intervention does not rely solely on implementing new external regulation, which is historically highly susceptible to capture, arbitrage, and evasion; rather, it targets the foundational constraints and incentive topologies that govern system behavior from the inside out.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analysis employs three specific mathematical operators to determine how to intervene effectively and to predict exactly how the financial system will react:</w:t>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Greatest Gains Operator (</w:t>
      </w:r>
      <w:r w:rsidDel="00000000" w:rsidR="00000000" w:rsidRPr="00000000">
        <w:rPr>
          <w:rFonts w:ascii="Google Sans" w:cs="Google Sans" w:eastAsia="Google Sans" w:hAnsi="Google Sans"/>
          <w:b w:val="1"/>
          <w:bCs w:val="1"/>
          <w:color w:val="1f1f1f"/>
        </w:rPr>
        <w:drawing>
          <wp:inline distB="19050" distT="19050" distL="19050" distR="19050">
            <wp:extent cx="198834" cy="237072"/>
            <wp:effectExtent b="0" l="0" r="0" t="0"/>
            <wp:docPr id="1"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198834" cy="237072"/>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This operator measures the marginal causal sensitivity of the objective to smooth interventions at a specific node </w:t>
      </w:r>
      <w:r w:rsidDel="00000000" w:rsidR="00000000" w:rsidRPr="00000000">
        <w:rPr>
          <w:rFonts w:ascii="Google Sans" w:cs="Google Sans" w:eastAsia="Google Sans" w:hAnsi="Google Sans"/>
          <w:color w:val="1f1f1f"/>
        </w:rPr>
        <w:drawing>
          <wp:inline distB="19050" distT="19050" distL="19050" distR="19050">
            <wp:extent cx="63698" cy="246831"/>
            <wp:effectExtent b="0" l="0" r="0" t="0"/>
            <wp:docPr id="2"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63698" cy="2468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It answers the fundamental question of where systemic leverage is highest. In the pre-2008 architecture, the greatest gains for intervention were securely located at the economic bottlenecks—specifically, the revenue models of the ratings agencies, the capital requirements of the underwriting banks, and the liquidity windows.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However, because economic bottlenecks compound rapidly over time, the </w:t>
      </w:r>
      <w:r w:rsidDel="00000000" w:rsidR="00000000" w:rsidRPr="00000000">
        <w:rPr>
          <w:rFonts w:ascii="Google Sans" w:cs="Google Sans" w:eastAsia="Google Sans" w:hAnsi="Google Sans"/>
          <w:color w:val="1f1f1f"/>
        </w:rPr>
        <w:drawing>
          <wp:inline distB="19050" distT="19050" distL="19050" distR="19050">
            <wp:extent cx="145018" cy="249753"/>
            <wp:effectExtent b="0" l="0" r="0" t="0"/>
            <wp:docPr id="3"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145018" cy="2497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operator reveals that early intervention in these areas is highly leveraged, whereas attempting to intervene late in the cycle (when commitments are locked in) yields minimal results and risks immediate systemic freezing.</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Resistance Operator (</w:t>
      </w:r>
      <w:r w:rsidDel="00000000" w:rsidR="00000000" w:rsidRPr="00000000">
        <w:rPr>
          <w:rFonts w:ascii="Google Sans" w:cs="Google Sans" w:eastAsia="Google Sans" w:hAnsi="Google Sans"/>
          <w:b w:val="1"/>
          <w:bCs w:val="1"/>
          <w:color w:val="1f1f1f"/>
        </w:rPr>
        <w:drawing>
          <wp:inline distB="19050" distT="19050" distL="19050" distR="19050">
            <wp:extent cx="193834" cy="240354"/>
            <wp:effectExtent b="0" l="0" r="0" t="0"/>
            <wp:docPr id="4"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193834" cy="240354"/>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Financial systems do not accept intervention passively; they push back violently. The </w:t>
      </w:r>
      <w:r w:rsidDel="00000000" w:rsidR="00000000" w:rsidRPr="00000000">
        <w:rPr>
          <w:rFonts w:ascii="Google Sans" w:cs="Google Sans" w:eastAsia="Google Sans" w:hAnsi="Google Sans"/>
          <w:color w:val="1f1f1f"/>
        </w:rPr>
        <w:drawing>
          <wp:inline distB="19050" distT="19050" distL="19050" distR="19050">
            <wp:extent cx="193834" cy="240354"/>
            <wp:effectExtent b="0" l="0" r="0" t="0"/>
            <wp:docPr id="5"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193834" cy="2403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operator measures the endogenous reactive response of the system, explicitly separating this reactive pushback from ordinary causal-graph nonlinearity.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Endogenous resistance is decomposed into four candidate mechanisms identified jointly by regression:</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i w:val="1"/>
          <w:iCs w:val="1"/>
          <w:color w:val="1f1f1f"/>
          <w:rtl w:val="0"/>
        </w:rPr>
        <w:t xml:space="preserve">Constraint resistance</w:t>
      </w:r>
      <w:r w:rsidDel="00000000" w:rsidR="00000000" w:rsidRPr="00000000">
        <w:rPr>
          <w:rFonts w:ascii="Google Sans" w:cs="Google Sans" w:eastAsia="Google Sans" w:hAnsi="Google Sans"/>
          <w:color w:val="1f1f1f"/>
          <w:rtl w:val="0"/>
        </w:rPr>
        <w:t xml:space="preserve">: Agents who are already heavily constrained by market forces or upstream actors have less latitude to comply with new regulations and resist by default out of survival necessity.</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i w:val="1"/>
          <w:iCs w:val="1"/>
          <w:color w:val="1f1f1f"/>
          <w:rtl w:val="0"/>
        </w:rPr>
        <w:t xml:space="preserve">Coherence resistance</w:t>
      </w:r>
      <w:r w:rsidDel="00000000" w:rsidR="00000000" w:rsidRPr="00000000">
        <w:rPr>
          <w:rFonts w:ascii="Google Sans" w:cs="Google Sans" w:eastAsia="Google Sans" w:hAnsi="Google Sans"/>
          <w:color w:val="1f1f1f"/>
          <w:rtl w:val="0"/>
        </w:rPr>
        <w:t xml:space="preserve">: Actors embedded deeply in shared hidden structures (such as the aligned, oligopolistic ratings agencies) inherit the reactive character of that entire structure, fighting reforms collectively to preserve the status quo.</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i w:val="1"/>
          <w:iCs w:val="1"/>
          <w:color w:val="1f1f1f"/>
          <w:rtl w:val="0"/>
        </w:rPr>
        <w:t xml:space="preserve">Objective resistance</w:t>
      </w:r>
      <w:r w:rsidDel="00000000" w:rsidR="00000000" w:rsidRPr="00000000">
        <w:rPr>
          <w:rFonts w:ascii="Google Sans" w:cs="Google Sans" w:eastAsia="Google Sans" w:hAnsi="Google Sans"/>
          <w:color w:val="1f1f1f"/>
          <w:rtl w:val="0"/>
        </w:rPr>
        <w:t xml:space="preserve">: Interventions that attempt to force the system toward its stated objective (long-term stability) and away from its highly profitable effective objective (short-term fee extraction) meet the fiercest, most well-funded opposition.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i w:val="1"/>
          <w:iCs w:val="1"/>
          <w:color w:val="1f1f1f"/>
          <w:rtl w:val="0"/>
        </w:rPr>
        <w:t xml:space="preserve">Topological resistance</w:t>
      </w:r>
      <w:r w:rsidDel="00000000" w:rsidR="00000000" w:rsidRPr="00000000">
        <w:rPr>
          <w:rFonts w:ascii="Google Sans" w:cs="Google Sans" w:eastAsia="Google Sans" w:hAnsi="Google Sans"/>
          <w:color w:val="1f1f1f"/>
          <w:rtl w:val="0"/>
        </w:rPr>
        <w:t xml:space="preserve">: The system naturally and aggressively defends its hub nodes and central bottlenecks from disruption.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Pressure Operator (</w:t>
      </w:r>
      <w:r w:rsidDel="00000000" w:rsidR="00000000" w:rsidRPr="00000000">
        <w:rPr>
          <w:rFonts w:ascii="Google Sans" w:cs="Google Sans" w:eastAsia="Google Sans" w:hAnsi="Google Sans"/>
          <w:b w:val="1"/>
          <w:bCs w:val="1"/>
          <w:color w:val="1f1f1f"/>
        </w:rPr>
        <w:drawing>
          <wp:inline distB="19050" distT="19050" distL="19050" distR="19050">
            <wp:extent cx="172283" cy="242763"/>
            <wp:effectExtent b="0" l="0" r="0" t="0"/>
            <wp:docPr id="6" name="image7.png"/>
            <a:graphic>
              <a:graphicData uri="http://schemas.openxmlformats.org/drawingml/2006/picture">
                <pic:pic>
                  <pic:nvPicPr>
                    <pic:cNvPr id="0" name="image7.png"/>
                    <pic:cNvPicPr preferRelativeResize="0"/>
                  </pic:nvPicPr>
                  <pic:blipFill>
                    <a:blip r:embed="rId36"/>
                    <a:srcRect b="0" l="0" r="0" t="0"/>
                    <a:stretch>
                      <a:fillRect/>
                    </a:stretch>
                  </pic:blipFill>
                  <pic:spPr>
                    <a:xfrm>
                      <a:off x="0" y="0"/>
                      <a:ext cx="172283" cy="242763"/>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This operator identifies precisely where defensive pressure concentrates when the system responds to external disturbances.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It combines leverage on the inferred effective objective with bottleneck centrality and the per-node coherence contribution.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Structural Pressure Localization proposition states that a cost-minimizing system will concentrate its defensive responses on the nodes that yield the highest objective-restoration per unit of cost.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If policymakers attempt to alter capital allocation rules through regulation, the financial system will instantly localize immense lobbying and structural pressure precisely at the legislative and institutional chokepoints that protect their effective objective of extraction.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Effective intervention must therefore bypass naive regulation and implement foundational structural topology shaping. The SEVC mechanism (</w:t>
      </w:r>
      <w:r w:rsidDel="00000000" w:rsidR="00000000" w:rsidRPr="00000000">
        <w:rPr>
          <w:rFonts w:ascii="Google Sans" w:cs="Google Sans" w:eastAsia="Google Sans" w:hAnsi="Google Sans"/>
          <w:color w:val="1f1f1f"/>
        </w:rPr>
        <w:drawing>
          <wp:inline distB="19050" distT="19050" distL="19050" distR="19050">
            <wp:extent cx="1261110" cy="236936"/>
            <wp:effectExtent b="0" l="0" r="0" t="0"/>
            <wp:docPr id="7"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1261110" cy="2369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outlined in the REACH framework represents the ultimate structural intervention.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By fundamentally altering the firm-level optimization function so that extraction guarantees a lower institutional score, the intervention neutralizes objective resistance entirely. The system no longer fights the intervention because the selfish optimum has been mathematically aligned with the moral and systemic optimum.</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Instead of policing bad behavior, the environment is engineered such that bad behavior is an arithmetic failure.</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rigorous application of the Agency Calculus and REACH frameworks to the modern financial system, utilizing the 2008 crisis as a primary diagnostic model, systematically dismantles the pervasive illusion that capital allocation is a purely emergent property of free, rational actors in an efficient market. The structural analysis unequivocally demonstrates that effective control over capital flows is not held by nominal investors or abstract market forces, but is tightly controlled by upstream constraint-setters—specifically the credit ratings agencies, liquidity providers, central banks, and the underwriting institutions that dictate the system's operational parameters and revenue models.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financial system did not fail to optimize prior to the crisis; it optimized perfectly, but it optimized for its revealed objective of short-term fee extraction, systemic risk deferral, and deal flow maximization, operating relentlessly under the destructive mechanics of </w:t>
      </w:r>
      <w:r w:rsidDel="00000000" w:rsidR="00000000" w:rsidRPr="00000000">
        <w:rPr>
          <w:rFonts w:ascii="Google Sans" w:cs="Google Sans" w:eastAsia="Google Sans" w:hAnsi="Google Sans"/>
          <w:color w:val="1f1f1f"/>
        </w:rPr>
        <w:drawing>
          <wp:inline distB="19050" distT="19050" distL="19050" distR="19050">
            <wp:extent cx="497562" cy="237299"/>
            <wp:effectExtent b="0" l="0" r="0" t="0"/>
            <wp:docPr id="8"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497562" cy="2372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economics. This massive incentive distortion actively rewarded the compression of the economic floor, utilizing subprime instruments to extract wealth directly from household balance sheets in order to fund local maxima at the highest institutional levels. The resulting catastrophic buildup of systemic risk was seamlessly hidden from the public by a profound Attribution-Integrity Gap, where decoy narratives and corrupted epistemic channels effectively masked the true locus of power and the compounding nature of economic bottlenecks.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future crises, actionable structural reform requires abandoning the false dichotomy of demand-side versus supply-side economics and moving well beyond easily captured external regulations. True intervention must target the underlying topology through mathematically sound incentives. By mandating firm-level governance architectures that optimize for the minimum across all stakeholder dimensions—such as the SEVC mechanism—institutions are structurally prevented from generating profit through systemic extraction. Long-term financial stability can only be assured when the architecture of the system guarantees that no entity can succeed by collapsing the floor upon which the entire interdependent economy relies.</w:t>
      </w:r>
    </w:p>
    <w:p w:rsidR="00000000" w:rsidDel="00000000" w:rsidP="00000000" w:rsidRDefault="00000000" w:rsidRPr="00000000" w14:paraId="0000005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6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Global Financial Crisis | Explainer | Education - Reserve Bank of Australia, accessed April 22, 2026, </w:t>
      </w:r>
      <w:hyperlink r:id="rId37">
        <w:r w:rsidDel="00000000" w:rsidR="00000000" w:rsidRPr="00000000">
          <w:rPr>
            <w:rFonts w:ascii="Google Sans" w:cs="Google Sans" w:eastAsia="Google Sans" w:hAnsi="Google Sans"/>
            <w:color w:val="0000ee"/>
            <w:sz w:val="24"/>
            <w:szCs w:val="24"/>
            <w:u w:val="single"/>
            <w:rtl w:val="0"/>
          </w:rPr>
          <w:t xml:space="preserve">https://www.rba.gov.au/education/resources/explainers/the-global-financial-crisis.html</w:t>
        </w:r>
      </w:hyperlink>
      <w:r w:rsidDel="00000000" w:rsidR="00000000" w:rsidRPr="00000000">
        <w:rPr>
          <w:rtl w:val="0"/>
        </w:rPr>
      </w:r>
    </w:p>
    <w:p w:rsidR="00000000" w:rsidDel="00000000" w:rsidP="00000000" w:rsidRDefault="00000000" w:rsidRPr="00000000" w14:paraId="0000006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The global financial crisis impact on stock market efficiency: a Fourier unit root tests analysis - Taylor &amp; Francis, accessed April 22, 2026, </w:t>
      </w:r>
      <w:hyperlink r:id="rId38">
        <w:r w:rsidDel="00000000" w:rsidR="00000000" w:rsidRPr="00000000">
          <w:rPr>
            <w:rFonts w:ascii="Google Sans" w:cs="Google Sans" w:eastAsia="Google Sans" w:hAnsi="Google Sans"/>
            <w:color w:val="0000ee"/>
            <w:sz w:val="24"/>
            <w:szCs w:val="24"/>
            <w:u w:val="single"/>
            <w:rtl w:val="0"/>
          </w:rPr>
          <w:t xml:space="preserve">https://www.tandfonline.com/doi/full/10.1080/23322039.2024.2392627</w:t>
        </w:r>
      </w:hyperlink>
      <w:r w:rsidDel="00000000" w:rsidR="00000000" w:rsidRPr="00000000">
        <w:rPr>
          <w:rtl w:val="0"/>
        </w:rPr>
      </w:r>
    </w:p>
    <w:p w:rsidR="00000000" w:rsidDel="00000000" w:rsidP="00000000" w:rsidRDefault="00000000" w:rsidRPr="00000000" w14:paraId="0000006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Learnings from the Global Financial Crisis - Reserve Bank of New Zealand - Te Pūtea Matua, accessed April 22, 2026, </w:t>
      </w:r>
      <w:hyperlink r:id="rId39">
        <w:r w:rsidDel="00000000" w:rsidR="00000000" w:rsidRPr="00000000">
          <w:rPr>
            <w:rFonts w:ascii="Google Sans" w:cs="Google Sans" w:eastAsia="Google Sans" w:hAnsi="Google Sans"/>
            <w:color w:val="0000ee"/>
            <w:sz w:val="24"/>
            <w:szCs w:val="24"/>
            <w:u w:val="single"/>
            <w:rtl w:val="0"/>
          </w:rPr>
          <w:t xml:space="preserve">https://www.rbnz.govt.nz/hub/publications/speech/2012/speech2012-08-09</w:t>
        </w:r>
      </w:hyperlink>
      <w:r w:rsidDel="00000000" w:rsidR="00000000" w:rsidRPr="00000000">
        <w:rPr>
          <w:rtl w:val="0"/>
        </w:rPr>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hidden_control_paper_v2_revised.docx</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Credit rating agencies and the subprime crisis - Wikipedia, accessed April 22, 2026, </w:t>
      </w:r>
      <w:hyperlink r:id="rId40">
        <w:r w:rsidDel="00000000" w:rsidR="00000000" w:rsidRPr="00000000">
          <w:rPr>
            <w:rFonts w:ascii="Google Sans" w:cs="Google Sans" w:eastAsia="Google Sans" w:hAnsi="Google Sans"/>
            <w:color w:val="0000ee"/>
            <w:sz w:val="24"/>
            <w:szCs w:val="24"/>
            <w:u w:val="single"/>
            <w:rtl w:val="0"/>
          </w:rPr>
          <w:t xml:space="preserve">https://en.wikipedia.org/wiki/Credit_rating_agencies_and_the_subprime_crisis</w:t>
        </w:r>
      </w:hyperlink>
      <w:r w:rsidDel="00000000" w:rsidR="00000000" w:rsidRPr="00000000">
        <w:rPr>
          <w:rtl w:val="0"/>
        </w:rPr>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Central bank operations in response to the financial turmoil, June 2008, accessed April 22, 2026, </w:t>
      </w:r>
      <w:hyperlink r:id="rId41">
        <w:r w:rsidDel="00000000" w:rsidR="00000000" w:rsidRPr="00000000">
          <w:rPr>
            <w:rFonts w:ascii="Google Sans" w:cs="Google Sans" w:eastAsia="Google Sans" w:hAnsi="Google Sans"/>
            <w:color w:val="0000ee"/>
            <w:sz w:val="24"/>
            <w:szCs w:val="24"/>
            <w:u w:val="single"/>
            <w:rtl w:val="0"/>
          </w:rPr>
          <w:t xml:space="preserve">https://www.bis.org/publ/cgfs31.pdf</w:t>
        </w:r>
      </w:hyperlink>
      <w:r w:rsidDel="00000000" w:rsidR="00000000" w:rsidRPr="00000000">
        <w:rPr>
          <w:rtl w:val="0"/>
        </w:rPr>
      </w:r>
    </w:p>
    <w:p w:rsidR="00000000" w:rsidDel="00000000" w:rsidP="00000000" w:rsidRDefault="00000000" w:rsidRPr="00000000" w14:paraId="0000006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Central Bank Response to the 2007–08 Financial Market Turbulence: Experiences and Lessons Drawn, accessed April 22, 2026, </w:t>
      </w:r>
      <w:hyperlink r:id="rId42">
        <w:r w:rsidDel="00000000" w:rsidR="00000000" w:rsidRPr="00000000">
          <w:rPr>
            <w:rFonts w:ascii="Google Sans" w:cs="Google Sans" w:eastAsia="Google Sans" w:hAnsi="Google Sans"/>
            <w:color w:val="0000ee"/>
            <w:sz w:val="24"/>
            <w:szCs w:val="24"/>
            <w:u w:val="single"/>
            <w:rtl w:val="0"/>
          </w:rPr>
          <w:t xml:space="preserve">https://www.imf.org/external/pubs/ft/wp/2008/wp08210.pdf</w:t>
        </w:r>
      </w:hyperlink>
      <w:r w:rsidDel="00000000" w:rsidR="00000000" w:rsidRPr="00000000">
        <w:rPr>
          <w:rtl w:val="0"/>
        </w:rPr>
      </w:r>
    </w:p>
    <w:p w:rsidR="00000000" w:rsidDel="00000000" w:rsidP="00000000" w:rsidRDefault="00000000" w:rsidRPr="00000000" w14:paraId="0000006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CREDIT RATING AGENCIES AND THE FINANCIAL CRISIS HEARING COMMITTEE ON OVERSIGHT AND GOVERNMENT REFORM HOUSE OF REPRESENTATIVES - GovInfo, accessed April 22, 2026, </w:t>
      </w:r>
      <w:hyperlink r:id="rId43">
        <w:r w:rsidDel="00000000" w:rsidR="00000000" w:rsidRPr="00000000">
          <w:rPr>
            <w:rFonts w:ascii="Google Sans" w:cs="Google Sans" w:eastAsia="Google Sans" w:hAnsi="Google Sans"/>
            <w:color w:val="0000ee"/>
            <w:sz w:val="24"/>
            <w:szCs w:val="24"/>
            <w:u w:val="single"/>
            <w:rtl w:val="0"/>
          </w:rPr>
          <w:t xml:space="preserve">https://www.govinfo.gov/content/pkg/CHRG-110hhrg51103/pdf/CHRG-110hhrg51103.pdf</w:t>
        </w:r>
      </w:hyperlink>
      <w:r w:rsidDel="00000000" w:rsidR="00000000" w:rsidRPr="00000000">
        <w:rPr>
          <w:rtl w:val="0"/>
        </w:rPr>
      </w:r>
    </w:p>
    <w:p w:rsidR="00000000" w:rsidDel="00000000" w:rsidP="00000000" w:rsidRDefault="00000000" w:rsidRPr="00000000" w14:paraId="0000006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Did Rating Agencies Do Such a Bad Job Rating Subprime Securities?, accessed April 22, 2026, </w:t>
      </w:r>
      <w:hyperlink r:id="rId44">
        <w:r w:rsidDel="00000000" w:rsidR="00000000" w:rsidRPr="00000000">
          <w:rPr>
            <w:rFonts w:ascii="Google Sans" w:cs="Google Sans" w:eastAsia="Google Sans" w:hAnsi="Google Sans"/>
            <w:color w:val="0000ee"/>
            <w:sz w:val="24"/>
            <w:szCs w:val="24"/>
            <w:u w:val="single"/>
            <w:rtl w:val="0"/>
          </w:rPr>
          <w:t xml:space="preserve">https://scholarship.law.umn.edu/cgi/viewcontent.cgi?article=1084&amp;context=faculty_articles</w:t>
        </w:r>
      </w:hyperlink>
      <w:r w:rsidDel="00000000" w:rsidR="00000000" w:rsidRPr="00000000">
        <w:rPr>
          <w:rtl w:val="0"/>
        </w:rPr>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Finance as the Binding Constraint to Growth, accessed April 22, 2026, </w:t>
      </w:r>
      <w:hyperlink r:id="rId45">
        <w:r w:rsidDel="00000000" w:rsidR="00000000" w:rsidRPr="00000000">
          <w:rPr>
            <w:rFonts w:ascii="Google Sans" w:cs="Google Sans" w:eastAsia="Google Sans" w:hAnsi="Google Sans"/>
            <w:color w:val="0000ee"/>
            <w:sz w:val="24"/>
            <w:szCs w:val="24"/>
            <w:u w:val="single"/>
            <w:rtl w:val="0"/>
          </w:rPr>
          <w:t xml:space="preserve">https://growthlab.hks.harvard.edu/sites/projects.iq.harvard.edu/files/2025-05-glwp-249-finance-binding-constraint-2021.pdf</w:t>
        </w:r>
      </w:hyperlink>
      <w:r w:rsidDel="00000000" w:rsidR="00000000" w:rsidRPr="00000000">
        <w:rPr>
          <w:rtl w:val="0"/>
        </w:rPr>
      </w:r>
    </w:p>
    <w:p w:rsidR="00000000" w:rsidDel="00000000" w:rsidP="00000000" w:rsidRDefault="00000000" w:rsidRPr="00000000" w14:paraId="0000006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2008 financial crisis - Wikipedia, accessed April 22, 2026, </w:t>
      </w:r>
      <w:hyperlink r:id="rId46">
        <w:r w:rsidDel="00000000" w:rsidR="00000000" w:rsidRPr="00000000">
          <w:rPr>
            <w:rFonts w:ascii="Google Sans" w:cs="Google Sans" w:eastAsia="Google Sans" w:hAnsi="Google Sans"/>
            <w:color w:val="0000ee"/>
            <w:sz w:val="24"/>
            <w:szCs w:val="24"/>
            <w:u w:val="single"/>
            <w:rtl w:val="0"/>
          </w:rPr>
          <w:t xml:space="preserve">https://en.wikipedia.org/wiki/2008_financial_crisis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3"/>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en.wikipedia.org/wiki/Credit_rating_agencies_and_the_subprime_crisis" TargetMode="External"/><Relationship Id="rId20" Type="http://schemas.openxmlformats.org/officeDocument/2006/relationships/image" Target="media/image24.png"/><Relationship Id="rId42" Type="http://schemas.openxmlformats.org/officeDocument/2006/relationships/hyperlink" Target="https://www.imf.org/external/pubs/ft/wp/2008/wp08210.pdf" TargetMode="External"/><Relationship Id="rId41" Type="http://schemas.openxmlformats.org/officeDocument/2006/relationships/hyperlink" Target="https://www.bis.org/publ/cgfs31.pdf" TargetMode="External"/><Relationship Id="rId22" Type="http://schemas.openxmlformats.org/officeDocument/2006/relationships/image" Target="media/image10.png"/><Relationship Id="rId44" Type="http://schemas.openxmlformats.org/officeDocument/2006/relationships/hyperlink" Target="https://scholarship.law.umn.edu/cgi/viewcontent.cgi?article=1084&amp;context=faculty_articles" TargetMode="External"/><Relationship Id="rId21" Type="http://schemas.openxmlformats.org/officeDocument/2006/relationships/image" Target="media/image26.png"/><Relationship Id="rId43" Type="http://schemas.openxmlformats.org/officeDocument/2006/relationships/hyperlink" Target="https://www.govinfo.gov/content/pkg/CHRG-110hhrg51103/pdf/CHRG-110hhrg51103.pdf" TargetMode="External"/><Relationship Id="rId24" Type="http://schemas.openxmlformats.org/officeDocument/2006/relationships/image" Target="media/image9.png"/><Relationship Id="rId46" Type="http://schemas.openxmlformats.org/officeDocument/2006/relationships/hyperlink" Target="https://en.wikipedia.org/wiki/2008_financial_crisis" TargetMode="External"/><Relationship Id="rId23" Type="http://schemas.openxmlformats.org/officeDocument/2006/relationships/image" Target="media/image27.png"/><Relationship Id="rId45" Type="http://schemas.openxmlformats.org/officeDocument/2006/relationships/hyperlink" Target="https://growthlab.hks.harvard.edu/sites/projects.iq.harvard.edu/files/2025-05-glwp-249-finance-binding-constraint-2021.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26" Type="http://schemas.openxmlformats.org/officeDocument/2006/relationships/image" Target="media/image4.png"/><Relationship Id="rId25" Type="http://schemas.openxmlformats.org/officeDocument/2006/relationships/image" Target="media/image18.png"/><Relationship Id="rId28" Type="http://schemas.openxmlformats.org/officeDocument/2006/relationships/image" Target="media/image1.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14.png"/><Relationship Id="rId29" Type="http://schemas.openxmlformats.org/officeDocument/2006/relationships/image" Target="media/image5.png"/><Relationship Id="rId7" Type="http://schemas.openxmlformats.org/officeDocument/2006/relationships/image" Target="media/image17.png"/><Relationship Id="rId8" Type="http://schemas.openxmlformats.org/officeDocument/2006/relationships/image" Target="media/image19.png"/><Relationship Id="rId31" Type="http://schemas.openxmlformats.org/officeDocument/2006/relationships/image" Target="media/image13.png"/><Relationship Id="rId30" Type="http://schemas.openxmlformats.org/officeDocument/2006/relationships/image" Target="media/image6.png"/><Relationship Id="rId11" Type="http://schemas.openxmlformats.org/officeDocument/2006/relationships/image" Target="media/image11.png"/><Relationship Id="rId33" Type="http://schemas.openxmlformats.org/officeDocument/2006/relationships/image" Target="media/image8.png"/><Relationship Id="rId10" Type="http://schemas.openxmlformats.org/officeDocument/2006/relationships/image" Target="media/image15.png"/><Relationship Id="rId32" Type="http://schemas.openxmlformats.org/officeDocument/2006/relationships/image" Target="media/image29.png"/><Relationship Id="rId13" Type="http://schemas.openxmlformats.org/officeDocument/2006/relationships/image" Target="media/image31.png"/><Relationship Id="rId35" Type="http://schemas.openxmlformats.org/officeDocument/2006/relationships/image" Target="media/image12.png"/><Relationship Id="rId12" Type="http://schemas.openxmlformats.org/officeDocument/2006/relationships/image" Target="media/image2.png"/><Relationship Id="rId34" Type="http://schemas.openxmlformats.org/officeDocument/2006/relationships/image" Target="media/image3.png"/><Relationship Id="rId15" Type="http://schemas.openxmlformats.org/officeDocument/2006/relationships/image" Target="media/image22.png"/><Relationship Id="rId37" Type="http://schemas.openxmlformats.org/officeDocument/2006/relationships/hyperlink" Target="https://www.rba.gov.au/education/resources/explainers/the-global-financial-crisis.html" TargetMode="External"/><Relationship Id="rId14" Type="http://schemas.openxmlformats.org/officeDocument/2006/relationships/image" Target="media/image21.png"/><Relationship Id="rId36" Type="http://schemas.openxmlformats.org/officeDocument/2006/relationships/image" Target="media/image7.png"/><Relationship Id="rId17" Type="http://schemas.openxmlformats.org/officeDocument/2006/relationships/image" Target="media/image28.png"/><Relationship Id="rId39" Type="http://schemas.openxmlformats.org/officeDocument/2006/relationships/hyperlink" Target="https://www.rbnz.govt.nz/hub/publications/speech/2012/speech2012-08-09" TargetMode="External"/><Relationship Id="rId16" Type="http://schemas.openxmlformats.org/officeDocument/2006/relationships/image" Target="media/image23.png"/><Relationship Id="rId38" Type="http://schemas.openxmlformats.org/officeDocument/2006/relationships/hyperlink" Target="https://www.tandfonline.com/doi/full/10.1080/23322039.2024.2392627" TargetMode="External"/><Relationship Id="rId19" Type="http://schemas.openxmlformats.org/officeDocument/2006/relationships/image" Target="media/image30.png"/><Relationship Id="rId18" Type="http://schemas.openxmlformats.org/officeDocument/2006/relationships/image" Target="media/image25.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