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Diagnostics of the U.S. Criminal Justice System: A Conservation-and-Coherence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criminal justice system operates as one of the most complex, decentralized, and highly scaled control architectures in modern governance, comprising thousands of intersecting federal, state, and local jurisdictions.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Evaluated through the Conservation-and-Coherence (C&amp;C) framework—a cybernetic and state-transition model derived from the Agency Calculus research program—the system reveals profound structural divergences between its nominal design and its operational reality.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Standard causal attribution within social and institutional systems frequently fails when actors deliberately obscure their roles or when influence operates through upstream constraint rather than direct, observable action.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applying structural operators—including Residual Closure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37"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Cross-System Coherence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3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Objective Mismatch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3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Attribution-Integrity Gap (AIG)—this report identifies the true control nodes, hidden optimization targets, and systemic bottlenecks driving U.S. incarceration outcomes.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analysis strictly avoids moral or ideological framing, focusing entirely on structural causality, incentive topologies, and the mathematical mechanics of mass incarceration.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Narrative vs Structural Paradox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the system's operational integrity, it is necessary to contrast the prevailing public and policy narrative against observable empirical patterns. The resulting divergence forms the foundation of the structural paradox that the C&amp;C framework seeks to resolve.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Stated Narrative of Mass Incarceration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public and policy narrative asserts that incarceration rates are a direct, mechanical response to crime rates, individual criminality, and public safety requirements.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Within this paradigm, the "War on Drugs" is widely cited as the primary engine of mass incarceration, operating under the assumption that federal and state prisons are predominantly filled with non-violent drug offenders targeted by aggressive, racially disparate drug policies.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narrative assumes that the criminal justice system acts as an aggregate responsive mechanism: when crime or drug use rises, incarceration rises; when they fall, incarceration falls.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Disruption of the Narrative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data systematically invalidates the responsive-mechanism narrative, demonstrating that the system's outputs have decoupled from its nominal inputs.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Incarceration vs. Violent Crime Trends:</w:t>
      </w:r>
      <w:r w:rsidDel="00000000" w:rsidR="00000000" w:rsidRPr="00000000">
        <w:rPr>
          <w:rFonts w:ascii="Google Sans" w:cs="Google Sans" w:eastAsia="Google Sans" w:hAnsi="Google Sans"/>
          <w:color w:val="1f1f1f"/>
          <w:rtl w:val="0"/>
        </w:rPr>
        <w:t xml:space="preserve"> U.S. violent crime rates peaked between 1991 and 1995 (reaching approximately 750 offenses per 100,000 residents) and have since declined by 53% to 66%, returning to levels not seen since the late 1960s.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Despite this historic and sustained drop in underlying criminal behavior, the U.S. incarceration rate remained largely decoupled from the decline, maintaining globally unprecedented levels of confinement (housing roughly 2.3 million people, or 25% of the world's prison population) well into the 21st century.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Drug War Fallacy:</w:t>
      </w:r>
      <w:r w:rsidDel="00000000" w:rsidR="00000000" w:rsidRPr="00000000">
        <w:rPr>
          <w:rFonts w:ascii="Google Sans" w:cs="Google Sans" w:eastAsia="Google Sans" w:hAnsi="Google Sans"/>
          <w:color w:val="1f1f1f"/>
          <w:rtl w:val="0"/>
        </w:rPr>
        <w:t xml:space="preserve"> The assumption that non-violent drug offenses drive state prison populations—the core tenet of the War on Drugs narrative—is empirically flawed. While drug policies heavily impact local jail churn and federal prisons (where drug offenses account for roughly 45% of sentences), more than 62% of individuals serving state prison sentences are incarcerated for violent crimes, compared to just 30% in 1970.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the structural analysis of John Pfaff indicates, releasing every drug offender would reduce the overall prison population by only a fraction.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Geographic Variation:</w:t>
      </w:r>
      <w:r w:rsidDel="00000000" w:rsidR="00000000" w:rsidRPr="00000000">
        <w:rPr>
          <w:rFonts w:ascii="Google Sans" w:cs="Google Sans" w:eastAsia="Google Sans" w:hAnsi="Google Sans"/>
          <w:color w:val="1f1f1f"/>
          <w:rtl w:val="0"/>
        </w:rPr>
        <w:t xml:space="preserve"> While jail populations in the nation's largest urban centers began declining in the early 2000s, incarceration has risen dramatically in smaller cities and rural areas.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Today, roughly half of all people incarcerated in local jails are in rural communities and small to mid-sized metros, indicating that localized institutional practices—rather than macro-level crime trends—drive confinement.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underlying crime rates plummeted and drug offenses represent a minority of the state prison burden, the massive expansion of the carceral state must be driven by endogenous institutional dynamics rather than exogenous criminal inputs. The system is not reacting to its environment; it is responding to its own internal optimization functions.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Narrative Claim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Structural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Crime rates and individual criminality.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Endogenous institutional processing and charging behaviors.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Prison Makeup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Predominantly non-violent drug offenders.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62% of state prisoners are incarcerated for violent offenses.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Incarceration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Tracks with violent crime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Decoupled; violent crime dropped 53% since 1991 while incarceration remained historically high.</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Geographic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Urban centers drive incarceration.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Rural and small-metro jails now account for ~50% of the jail population.</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Structural Attribution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identify why the system grew independently of crime rates, the analysis must move beyond nominal authority and map the true control structure using Layer 2 of the C&amp;C framework: </w:t>
      </w:r>
      <w:r w:rsidDel="00000000" w:rsidR="00000000" w:rsidRPr="00000000">
        <w:rPr>
          <w:rFonts w:ascii="Google Sans" w:cs="Google Sans" w:eastAsia="Google Sans" w:hAnsi="Google Sans"/>
          <w:b w:val="1"/>
          <w:bCs w:val="1"/>
          <w:color w:val="1f1f1f"/>
          <w:rtl w:val="0"/>
        </w:rPr>
        <w:t xml:space="preserve">Constraint Equivalence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nominal civic model, legislatures pass laws, law enforcement executes arrests, and judges act as the ultimate arbiters of sentencing. Under Layer 1 (Residual Closure) analysis, the attributed control shares (</w:t>
      </w:r>
      <w:r w:rsidDel="00000000" w:rsidR="00000000" w:rsidRPr="00000000">
        <w:rPr>
          <w:rFonts w:ascii="Google Sans" w:cs="Google Sans" w:eastAsia="Google Sans" w:hAnsi="Google Sans"/>
          <w:color w:val="1f1f1f"/>
        </w:rPr>
        <w:drawing>
          <wp:inline distB="19050" distT="19050" distL="19050" distR="19050">
            <wp:extent cx="133707" cy="243819"/>
            <wp:effectExtent b="0" l="0" r="0" t="0"/>
            <wp:docPr id="41"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33707" cy="243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 outcome are assigned to these highly visible actors.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one observes a lengthy prison sentence, the residual operator </w:t>
      </w:r>
      <w:r w:rsidDel="00000000" w:rsidR="00000000" w:rsidRPr="00000000">
        <w:rPr>
          <w:rFonts w:ascii="Google Sans" w:cs="Google Sans" w:eastAsia="Google Sans" w:hAnsi="Google Sans"/>
          <w:color w:val="1f1f1f"/>
        </w:rPr>
        <w:drawing>
          <wp:inline distB="19050" distT="19050" distL="19050" distR="19050">
            <wp:extent cx="1735579" cy="237017"/>
            <wp:effectExtent b="0" l="0" r="0" t="0"/>
            <wp:docPr id="4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735579" cy="237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assigns </w:t>
      </w:r>
      <w:r w:rsidDel="00000000" w:rsidR="00000000" w:rsidRPr="00000000">
        <w:rPr>
          <w:rFonts w:ascii="Google Sans" w:cs="Google Sans" w:eastAsia="Google Sans" w:hAnsi="Google Sans"/>
          <w:color w:val="1f1f1f"/>
        </w:rPr>
        <w:drawing>
          <wp:inline distB="19050" distT="19050" distL="19050" distR="19050">
            <wp:extent cx="732115" cy="236412"/>
            <wp:effectExtent b="0" l="0" r="0" t="0"/>
            <wp:docPr id="4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732115" cy="2364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returning a residual of zero. However, the framework proves that proxy control easily defeats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4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Theorem 3 (Constraint Equivalence) posits that an actor who controls another agent's feasible action set (</w:t>
      </w:r>
      <w:r w:rsidDel="00000000" w:rsidR="00000000" w:rsidRPr="00000000">
        <w:rPr>
          <w:rFonts w:ascii="Google Sans" w:cs="Google Sans" w:eastAsia="Google Sans" w:hAnsi="Google Sans"/>
          <w:color w:val="1f1f1f"/>
        </w:rPr>
        <w:drawing>
          <wp:inline distB="19050" distT="19050" distL="19050" distR="19050">
            <wp:extent cx="194548" cy="241240"/>
            <wp:effectExtent b="0" l="0" r="0" t="0"/>
            <wp:docPr id="5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94548" cy="241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exerts effective control over system outcomes.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measured by the constraint control coefficient: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5461"/>
            <wp:effectExtent b="0" l="0" r="0" t="0"/>
            <wp:docPr id="4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05500" cy="59546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a hidden actor </w:t>
      </w:r>
      <w:r w:rsidDel="00000000" w:rsidR="00000000" w:rsidRPr="00000000">
        <w:rPr>
          <w:rFonts w:ascii="Google Sans" w:cs="Google Sans" w:eastAsia="Google Sans" w:hAnsi="Google Sans"/>
          <w:color w:val="1f1f1f"/>
        </w:rPr>
        <w:drawing>
          <wp:inline distB="19050" distT="19050" distL="19050" distR="19050">
            <wp:extent cx="138351" cy="238271"/>
            <wp:effectExtent b="0" l="0" r="0" t="0"/>
            <wp:docPr id="5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38351"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applies a constraint map </w:t>
      </w:r>
      <w:r w:rsidDel="00000000" w:rsidR="00000000" w:rsidRPr="00000000">
        <w:rPr>
          <w:rFonts w:ascii="Google Sans" w:cs="Google Sans" w:eastAsia="Google Sans" w:hAnsi="Google Sans"/>
          <w:color w:val="1f1f1f"/>
        </w:rPr>
        <w:drawing>
          <wp:inline distB="19050" distT="19050" distL="19050" distR="19050">
            <wp:extent cx="216098" cy="239252"/>
            <wp:effectExtent b="0" l="0" r="0" t="0"/>
            <wp:docPr id="5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16098" cy="239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limit the proxy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5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nominal options.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Applying the </w:t>
      </w:r>
      <w:r w:rsidDel="00000000" w:rsidR="00000000" w:rsidRPr="00000000">
        <w:rPr>
          <w:rFonts w:ascii="Google Sans" w:cs="Google Sans" w:eastAsia="Google Sans" w:hAnsi="Google Sans"/>
          <w:color w:val="1f1f1f"/>
        </w:rPr>
        <w:drawing>
          <wp:inline distB="19050" distT="19050" distL="19050" distR="19050">
            <wp:extent cx="276820" cy="238373"/>
            <wp:effectExtent b="0" l="0" r="0" t="0"/>
            <wp:docPr id="5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6820" cy="238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 to the U.S. criminal justice system reveals the true control topology.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Legislatures: Upstream Constraint Setters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 and federal legislatures function as the macro-level constraint setters. Beginning in the 1970s and accelerating through the 1990s, legislatures implemented mandatory minimum sentences, "three-strikes" laws, and "Truth-in-Sentencing" (TIS) requirements (mandating that individuals serve 85% of their sentences before parole eligibility).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statutory changes fundamentally altered the system's topology. By creating rigid floors for sentencing, legislatures effectively removed the feasible action set (</w:t>
      </w:r>
      <w:r w:rsidDel="00000000" w:rsidR="00000000" w:rsidRPr="00000000">
        <w:rPr>
          <w:rFonts w:ascii="Google Sans" w:cs="Google Sans" w:eastAsia="Google Sans" w:hAnsi="Google Sans"/>
          <w:color w:val="1f1f1f"/>
        </w:rPr>
        <w:drawing>
          <wp:inline distB="19050" distT="19050" distL="19050" distR="19050">
            <wp:extent cx="454819" cy="234990"/>
            <wp:effectExtent b="0" l="0" r="0" t="0"/>
            <wp:docPr id="58"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54819" cy="2349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judiciary.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because mandatory minimums only apply if a specific charge is filed, the legislature did not retain this discretion; instead, they hydraulically displaced the discretion directly to the executive branch—specifically, the prosecutor.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Prosecutors: The True Control Nodes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the </w:t>
      </w:r>
      <w:r w:rsidDel="00000000" w:rsidR="00000000" w:rsidRPr="00000000">
        <w:rPr>
          <w:rFonts w:ascii="Google Sans" w:cs="Google Sans" w:eastAsia="Google Sans" w:hAnsi="Google Sans"/>
          <w:color w:val="1f1f1f"/>
        </w:rPr>
        <w:drawing>
          <wp:inline distB="19050" distT="19050" distL="19050" distR="19050">
            <wp:extent cx="276820" cy="238373"/>
            <wp:effectExtent b="0" l="0" r="0" t="0"/>
            <wp:docPr id="6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6820" cy="238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 reveals that the </w:t>
      </w:r>
      <w:r w:rsidDel="00000000" w:rsidR="00000000" w:rsidRPr="00000000">
        <w:rPr>
          <w:rFonts w:ascii="Google Sans" w:cs="Google Sans" w:eastAsia="Google Sans" w:hAnsi="Google Sans"/>
          <w:b w:val="1"/>
          <w:bCs w:val="1"/>
          <w:color w:val="1f1f1f"/>
          <w:rtl w:val="0"/>
        </w:rPr>
        <w:t xml:space="preserve">prosecutor</w:t>
      </w:r>
      <w:r w:rsidDel="00000000" w:rsidR="00000000" w:rsidRPr="00000000">
        <w:rPr>
          <w:rFonts w:ascii="Google Sans" w:cs="Google Sans" w:eastAsia="Google Sans" w:hAnsi="Google Sans"/>
          <w:color w:val="1f1f1f"/>
          <w:rtl w:val="0"/>
        </w:rPr>
        <w:t xml:space="preserve"> is the absolute control node of the U.S. criminal justice system. Prosecutors possess unparalleled, nearly unchecked discretion at the screening and charging phases.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selecting specific charges—particularly those triggering mandatory minimums or habitual offender enhancements—the prosecutor functionally rewrites the judge's feasible set.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a prosecutor charges a crime carrying a 10-year mandatory minimum, the judge's nominal sentencing options (</w:t>
      </w:r>
      <w:r w:rsidDel="00000000" w:rsidR="00000000" w:rsidRPr="00000000">
        <w:rPr>
          <w:rFonts w:ascii="Google Sans" w:cs="Google Sans" w:eastAsia="Google Sans" w:hAnsi="Google Sans"/>
          <w:color w:val="1f1f1f"/>
        </w:rPr>
        <w:drawing>
          <wp:inline distB="19050" distT="19050" distL="19050" distR="19050">
            <wp:extent cx="454819" cy="234990"/>
            <wp:effectExtent b="0" l="0" r="0" t="0"/>
            <wp:docPr id="62"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54819" cy="2349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0 to 20 years) are constrained to $O_{\text{judge}}' = $. The constraint control coefficient approaches 1.0, rendering the judge a procedural proxy.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research by John Pfaff identifies prosecutorial charging behavior as the primary mathematical driver of mass incarceration.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arrests fell alongside crime rates in the 1990s and 2000s, the probability that a prosecutor would file a felony charge per arrest skyrocketed.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system processed falling numbers of arrests by elevating a vastly higher percentage of them into the felony pipeline. Prosecutors control the constraint map (</w:t>
      </w:r>
      <w:r w:rsidDel="00000000" w:rsidR="00000000" w:rsidRPr="00000000">
        <w:rPr>
          <w:rFonts w:ascii="Google Sans" w:cs="Google Sans" w:eastAsia="Google Sans" w:hAnsi="Google Sans"/>
          <w:color w:val="1f1f1f"/>
        </w:rPr>
        <w:drawing>
          <wp:inline distB="19050" distT="19050" distL="19050" distR="19050">
            <wp:extent cx="708779" cy="238828"/>
            <wp:effectExtent b="0" l="0" r="0" t="0"/>
            <wp:docPr id="6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708779" cy="2388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making them the strategic leaders of the system, while judges and defendants are relegated to strategic followers.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Judges: Nominal Controllers Reduced to Proxies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Judges are systematically over-attributed as the drivers of mass incarceration in the public narrative. While they physically issue the sentences, their operational reality is that of a highly constrained proxy.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combination of mandatory minimums, sentencing guidelines, and prosecutor-driven plea bargains ensures that by the time a case reaches the sentencing phase, the outcome has already been mathematically locked in by upstream actors.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Law Enforcement Agencies: Revenue-Optimizing Feeders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Police departments serve as the initial feeders of the system. While they exercise broad discretion over who enters the system (arrest patterns), their behavior is heavily distorted by structural economic incentives. Civil asset forfeiture allows police departments to seize property and cash from civilians (often without filing criminal charges) and retain the proceeds for their own budgets.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creates a mechanism where law enforcement agencies act as budget-maximizing bureaucrats, prioritizing drug and property seizures over violent crime reduction due to the direct financial feedback loop.</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Agencies: Macro-Coherence Providers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Federal agencies, particularly the Department of Justice (DOJ), exert control not through direct prosecution of state crimes, but through funding leverage. Through the 1994 Crime Bill and programs like the Edward Byrne Memorial Justice Assistance Grant (Byrne JAG), the federal government subsidized state and local punitive policies.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tying billions of dollars in grants to specific enforcement metrics (e.g., drug arrest volumes) and the passage of Truth-in-Sentencing laws, federal agencies acted as macro-level constraint setters, ensuring cross-system coherence among thousands of independent local jurisdictions.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 Actors: The Exploitative Layer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Private prison corporations (e.g., CoreCivic, GEO Group) act as exploiters of the system's outputs. While they do not directly arrest or sentence individuals, they contractually alter the state's feasible set. By embedding occupancy guarantee clauses (quotas requiring the state to keep facilities 80% to 100% full) in their contracts, they impose "low-crime taxes" on municipalities.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If a state successfully reduces crime and decarcerates, it is financially penalized for leaving beds empty, creating an economic constraint that aligns state fiscal health with continuous incarceration.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Objective Mismatch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6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detection framework utilizes the Objective-Mismatch operator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6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quantify the divergence between the inferred effective objective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6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system and its stated objective (</w:t>
      </w:r>
      <w:r w:rsidDel="00000000" w:rsidR="00000000" w:rsidRPr="00000000">
        <w:rPr>
          <w:rFonts w:ascii="Google Sans" w:cs="Google Sans" w:eastAsia="Google Sans" w:hAnsi="Google Sans"/>
          <w:color w:val="1f1f1f"/>
        </w:rPr>
        <w:drawing>
          <wp:inline distB="19050" distT="19050" distL="19050" distR="19050">
            <wp:extent cx="480060" cy="240030"/>
            <wp:effectExtent b="0" l="0" r="0" t="0"/>
            <wp:docPr id="2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8006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formalized as </w:t>
      </w:r>
      <w:r w:rsidDel="00000000" w:rsidR="00000000" w:rsidRPr="00000000">
        <w:rPr>
          <w:rFonts w:ascii="Google Sans" w:cs="Google Sans" w:eastAsia="Google Sans" w:hAnsi="Google Sans"/>
          <w:color w:val="1f1f1f"/>
        </w:rPr>
        <w:drawing>
          <wp:inline distB="19050" distT="19050" distL="19050" distR="19050">
            <wp:extent cx="1472089" cy="244077"/>
            <wp:effectExtent b="0" l="0" r="0" t="0"/>
            <wp:docPr id="2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472089" cy="2440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Stated Objective (</w:t>
      </w:r>
      <w:r w:rsidDel="00000000" w:rsidR="00000000" w:rsidRPr="00000000">
        <w:rPr>
          <w:rFonts w:ascii="Google Sans" w:cs="Google Sans" w:eastAsia="Google Sans" w:hAnsi="Google Sans"/>
          <w:color w:val="1f1f1f"/>
        </w:rPr>
        <w:drawing>
          <wp:inline distB="19050" distT="19050" distL="19050" distR="19050">
            <wp:extent cx="480060" cy="240030"/>
            <wp:effectExtent b="0" l="0" r="0" t="0"/>
            <wp:docPr id="2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8006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publicly stated objectives of the U.S. criminal justice system are public safety, crime reduction, rehabilitation, and proportional justice.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If the system were actively optimizing for </w:t>
      </w:r>
      <w:r w:rsidDel="00000000" w:rsidR="00000000" w:rsidRPr="00000000">
        <w:rPr>
          <w:rFonts w:ascii="Google Sans" w:cs="Google Sans" w:eastAsia="Google Sans" w:hAnsi="Google Sans"/>
          <w:color w:val="1f1f1f"/>
        </w:rPr>
        <w:drawing>
          <wp:inline distB="19050" distT="19050" distL="19050" distR="19050">
            <wp:extent cx="480060" cy="240030"/>
            <wp:effectExtent b="0" l="0" r="0" t="0"/>
            <wp:docPr id="3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8006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operational behavior would reflect cost-benefit analyses prioritizing recidivism reduction, the minimization of criminogenic environments, and proportional responses to harm.</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Revealed Effective Objective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3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Inverse optimization applied to system behavior—observing what the system consistently achieves across decades regardless of external conditions—reveals a highly divergent set of effective objectives.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Conviction Rate Optimization (Prosecutors):</w:t>
      </w:r>
      <w:r w:rsidDel="00000000" w:rsidR="00000000" w:rsidRPr="00000000">
        <w:rPr>
          <w:rFonts w:ascii="Google Sans" w:cs="Google Sans" w:eastAsia="Google Sans" w:hAnsi="Google Sans"/>
          <w:color w:val="1f1f1f"/>
          <w:rtl w:val="0"/>
        </w:rPr>
        <w:t xml:space="preserve"> Prosecutorial performance metrics and career advancement are historically and structurally tied to conviction rates, total prison time obtained, and case processing volume rather than community health metrics.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creates a direct incentive to overcharge defendants to extract plea deals, optimizing for the frictionless accumulation of convictions while minimizing the resource expenditure of a trial.</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Budget Maximization (Law Enforcement &amp; Federal Subsidies):</w:t>
      </w:r>
      <w:r w:rsidDel="00000000" w:rsidR="00000000" w:rsidRPr="00000000">
        <w:rPr>
          <w:rFonts w:ascii="Google Sans" w:cs="Google Sans" w:eastAsia="Google Sans" w:hAnsi="Google Sans"/>
          <w:color w:val="1f1f1f"/>
          <w:rtl w:val="0"/>
        </w:rPr>
        <w:t xml:space="preserve"> Through civil asset forfeiture, police departments optimize for revenue generation.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Research indicates that when local municipal budgets are squeezed, law enforcement agencies ramp up forfeiture activity to compensate, treating seized assets as "pennies from heaven" to purchase military-grade equipment.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Concurrently, local governments optimized for federal grant maximization by inflating drug arrest rates to qualify for Byrne JAG funding, regardless of actual public safety needs.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Incarceration Maximization (Private Prisons):</w:t>
      </w:r>
      <w:r w:rsidDel="00000000" w:rsidR="00000000" w:rsidRPr="00000000">
        <w:rPr>
          <w:rFonts w:ascii="Google Sans" w:cs="Google Sans" w:eastAsia="Google Sans" w:hAnsi="Google Sans"/>
          <w:color w:val="1f1f1f"/>
          <w:rtl w:val="0"/>
        </w:rPr>
        <w:t xml:space="preserve"> Private prison operators have a fiduciary duty to maximize shareholder value. Their revealed objective is the commodification of human confinement, achieved by inserting 90-100% bed-day guarantees into government contracts.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They actively lobby for harsher sentencing laws to ensure the continuous supply of inmates required to meet these quotas.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Risk Avoidance and Political Signaling (Judges/Elected Officials):</w:t>
      </w:r>
      <w:r w:rsidDel="00000000" w:rsidR="00000000" w:rsidRPr="00000000">
        <w:rPr>
          <w:rFonts w:ascii="Google Sans" w:cs="Google Sans" w:eastAsia="Google Sans" w:hAnsi="Google Sans"/>
          <w:color w:val="1f1f1f"/>
          <w:rtl w:val="0"/>
        </w:rPr>
        <w:t xml:space="preserve"> For elected prosecutors and judges, the political cost of releasing a defendant who subsequently commits a crime is catastrophic. Conversely, the social cost of over-incarcerating thousands of low-risk individuals is diffuse and historically carried no political penalty.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Thus, the system optimizes for political risk avoidance through hyper-punitiveness.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3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 detects a massive divergence. The system does not optimize for public safety; it optimizes for institutional self-preservation, financial extraction, and the efficient administrative processing of human bodies through the conviction machinery.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Actor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Stated Objective (Ustated​)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Revealed Effective Objective (U^)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Prosecutors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Justice, Public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Conviction Rate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Overcharging, Trial Penalty leverage.</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Police Departments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Crime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Budget Maximization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Civil Asset Forfeiture (Equitable Sharing).</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Prisons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Safe Confinement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Incarceration Maximization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80-100% Occupancy Guarantees.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Governments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Efficient Administration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Federal Grant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Aligning arrests to Byrne JAG metrics.</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Attribution-Integrity Gap (AIG)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Attribution-Integrity Gap (AIG) is a content-specific refinement of Epistemic Health (EH) that measures the divergence between an information environment's claims regarding control/optimization (</w:t>
      </w:r>
      <w:r w:rsidDel="00000000" w:rsidR="00000000" w:rsidRPr="00000000">
        <w:rPr>
          <w:rFonts w:ascii="Google Sans" w:cs="Google Sans" w:eastAsia="Google Sans" w:hAnsi="Google Sans"/>
          <w:color w:val="1f1f1f"/>
        </w:rPr>
        <w:drawing>
          <wp:inline distB="19050" distT="19050" distL="19050" distR="19050">
            <wp:extent cx="324564" cy="239559"/>
            <wp:effectExtent b="0" l="0" r="0" t="0"/>
            <wp:docPr id="33"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24564" cy="239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actual structural reality (</w:t>
      </w:r>
      <w:r w:rsidDel="00000000" w:rsidR="00000000" w:rsidRPr="00000000">
        <w:rPr>
          <w:rFonts w:ascii="Google Sans" w:cs="Google Sans" w:eastAsia="Google Sans" w:hAnsi="Google Sans"/>
          <w:color w:val="1f1f1f"/>
        </w:rPr>
        <w:drawing>
          <wp:inline distB="19050" distT="19050" distL="19050" distR="19050">
            <wp:extent cx="458272" cy="236774"/>
            <wp:effectExtent b="0" l="0" r="0" t="0"/>
            <wp:docPr id="3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58272" cy="236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context of U.S. mass incarceration, the AIG is exceptionally high, resulting in widespread systemic misattribution by voters, media, and policymakers.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Over-Attributed Factors (</w:t>
      </w:r>
      <w:r w:rsidDel="00000000" w:rsidR="00000000" w:rsidRPr="00000000">
        <w:rPr>
          <w:rFonts w:ascii="Google Sans" w:cs="Google Sans" w:eastAsia="Google Sans" w:hAnsi="Google Sans"/>
          <w:color w:val="1f1f1f"/>
        </w:rPr>
        <w:drawing>
          <wp:inline distB="19050" distT="19050" distL="19050" distR="19050">
            <wp:extent cx="324564" cy="239559"/>
            <wp:effectExtent b="0" l="0" r="0" t="0"/>
            <wp:docPr id="3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24564" cy="239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information environment systematically over-attributes the causes of incarceration to:</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Individual Criminality and the Drug War:</w:t>
      </w:r>
      <w:r w:rsidDel="00000000" w:rsidR="00000000" w:rsidRPr="00000000">
        <w:rPr>
          <w:rFonts w:ascii="Google Sans" w:cs="Google Sans" w:eastAsia="Google Sans" w:hAnsi="Google Sans"/>
          <w:color w:val="1f1f1f"/>
          <w:rtl w:val="0"/>
        </w:rPr>
        <w:t xml:space="preserve"> The prevailing narrative suggests the system is filled because individuals commit more crimes, specifically non-violent drug offenses.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Judicial Sentencing:</w:t>
      </w:r>
      <w:r w:rsidDel="00000000" w:rsidR="00000000" w:rsidRPr="00000000">
        <w:rPr>
          <w:rFonts w:ascii="Google Sans" w:cs="Google Sans" w:eastAsia="Google Sans" w:hAnsi="Google Sans"/>
          <w:color w:val="1f1f1f"/>
          <w:rtl w:val="0"/>
        </w:rPr>
        <w:t xml:space="preserve"> The media and political campaigns frequently focus on judicial elections and the severity of specific judges as the primary locus of reform.</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Under-Attributed Factors (</w:t>
      </w:r>
      <w:r w:rsidDel="00000000" w:rsidR="00000000" w:rsidRPr="00000000">
        <w:rPr>
          <w:rFonts w:ascii="Google Sans" w:cs="Google Sans" w:eastAsia="Google Sans" w:hAnsi="Google Sans"/>
          <w:color w:val="1f1f1f"/>
        </w:rPr>
        <w:drawing>
          <wp:inline distB="19050" distT="19050" distL="19050" distR="19050">
            <wp:extent cx="458272" cy="236774"/>
            <wp:effectExtent b="0" l="0" r="0" t="0"/>
            <wp:docPr id="3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58272" cy="236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reality demonstrates that the true drivers of the system are systematically under-recognized:</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Prosecutorial Discretion:</w:t>
      </w:r>
      <w:r w:rsidDel="00000000" w:rsidR="00000000" w:rsidRPr="00000000">
        <w:rPr>
          <w:rFonts w:ascii="Google Sans" w:cs="Google Sans" w:eastAsia="Google Sans" w:hAnsi="Google Sans"/>
          <w:color w:val="1f1f1f"/>
          <w:rtl w:val="0"/>
        </w:rPr>
        <w:t xml:space="preserve"> The unchecked power of prosecutors to utilize the trial penalty and control the plea bargaining bottleneck operates almost entirely outside of public scrutiny (the "black box" of prosecution).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Incentive Structures:</w:t>
      </w:r>
      <w:r w:rsidDel="00000000" w:rsidR="00000000" w:rsidRPr="00000000">
        <w:rPr>
          <w:rFonts w:ascii="Google Sans" w:cs="Google Sans" w:eastAsia="Google Sans" w:hAnsi="Google Sans"/>
          <w:color w:val="1f1f1f"/>
          <w:rtl w:val="0"/>
        </w:rPr>
        <w:t xml:space="preserve"> The degree to which mass incarceration is sustained by economic bottlenecks—ranging from civil forfeiture slushes to private prison bed guarantees to federal grant conditionality—is largely absent from mainstream attribution.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Policy Design:</w:t>
      </w:r>
      <w:r w:rsidDel="00000000" w:rsidR="00000000" w:rsidRPr="00000000">
        <w:rPr>
          <w:rFonts w:ascii="Google Sans" w:cs="Google Sans" w:eastAsia="Google Sans" w:hAnsi="Google Sans"/>
          <w:color w:val="1f1f1f"/>
          <w:rtl w:val="0"/>
        </w:rPr>
        <w:t xml:space="preserve"> The structural impact of mandatory minimums in destroying the </w:t>
      </w:r>
      <w:r w:rsidDel="00000000" w:rsidR="00000000" w:rsidRPr="00000000">
        <w:rPr>
          <w:rFonts w:ascii="Google Sans" w:cs="Google Sans" w:eastAsia="Google Sans" w:hAnsi="Google Sans"/>
          <w:color w:val="1f1f1f"/>
        </w:rPr>
        <w:drawing>
          <wp:inline distB="19050" distT="19050" distL="19050" distR="19050">
            <wp:extent cx="194548" cy="241240"/>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94548" cy="241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judges is frequently misunderstood as a tool for safety rather than a tool for prosecutorial leverage.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AIG is so severe, democratic feedback loops are structurally paralyzed. Voters elect new judges to change sentencing outcomes, only to find outcomes unchanged because the prosecutor still controls the charges. Legislators attempt to reduce crime through enhanced policing budgets, unaware that police are structurally optimizing for revenue generation via forfeiture rather than public safety. High AIG ensures that reform efforts consistently target the wrong variables.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Bottleneck Typing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C&amp;C framework classifies the mechanisms of control by typing the bottlenecks within the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U.S. justice system, these bottlenecks are strategically engineered to strip agency from defendants and consolidate power in the hands of institutional leaders.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Bottlenecks: Forfeiture, Grants, and Quotas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Economic bottlenecks are points of capital or revenue concentration that compound over time.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Civil Asset Forfeiture:</w:t>
      </w:r>
      <w:r w:rsidDel="00000000" w:rsidR="00000000" w:rsidRPr="00000000">
        <w:rPr>
          <w:rFonts w:ascii="Google Sans" w:cs="Google Sans" w:eastAsia="Google Sans" w:hAnsi="Google Sans"/>
          <w:color w:val="1f1f1f"/>
          <w:rtl w:val="0"/>
        </w:rPr>
        <w:t xml:space="preserve"> Law enforcement agencies use forfeiture proceeds to purchase equipment outside the legislative appropriations process.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Federal "equitable sharing" allows local police to bypass restrictive state laws by partnering with federal agencies and retaining up to 80% of seized assets.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self-funding mechanism alters the incentive structure of policing from crime deterrence to revenue extraction.</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Federal Grant Incentives:</w:t>
      </w:r>
      <w:r w:rsidDel="00000000" w:rsidR="00000000" w:rsidRPr="00000000">
        <w:rPr>
          <w:rFonts w:ascii="Google Sans" w:cs="Google Sans" w:eastAsia="Google Sans" w:hAnsi="Google Sans"/>
          <w:color w:val="1f1f1f"/>
          <w:rtl w:val="0"/>
        </w:rPr>
        <w:t xml:space="preserve"> The $12.5 billion authorized by the 1994 Crime Bill, alongside the Byrne JAG program, tied federal funds to arrest volumes and the passage of punitive laws.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created an economic bottleneck where states could only access federal capital by artificially inflating their carceral footprints.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Private Prison Quotas:</w:t>
      </w:r>
      <w:r w:rsidDel="00000000" w:rsidR="00000000" w:rsidRPr="00000000">
        <w:rPr>
          <w:rFonts w:ascii="Google Sans" w:cs="Google Sans" w:eastAsia="Google Sans" w:hAnsi="Google Sans"/>
          <w:color w:val="1f1f1f"/>
          <w:rtl w:val="0"/>
        </w:rPr>
        <w:t xml:space="preserve"> Contracts containing 90% to 100% occupancy guarantees force states to either maintain high incarceration rates or pay millions in penalties for unused beds.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effectively places a hard economic floor under the incarceration rate, irrespective of actual crime levels.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Bottlenecks: Pretrial Detention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bottlenecks are deadlines or windows that constrain the feasibility space, uniquely possessing the ability to reverse strategic-order positions.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Pretrial detention</w:t>
      </w:r>
      <w:r w:rsidDel="00000000" w:rsidR="00000000" w:rsidRPr="00000000">
        <w:rPr>
          <w:rFonts w:ascii="Google Sans" w:cs="Google Sans" w:eastAsia="Google Sans" w:hAnsi="Google Sans"/>
          <w:color w:val="1f1f1f"/>
          <w:rtl w:val="0"/>
        </w:rPr>
        <w:t xml:space="preserve"> is the most severe temporal bottleneck in the justice system. Currently, over 60% of people in local jails are legally innocent and awaiting trial.</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When a defendant cannot afford cash bail, the temporal pressure of detention radically alters their feasible set. Time spent in detention threatens employment, housing, and child custody.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Prosecutors exploit this temporal bottleneck by offering "time-served" or lenient probation deals in exchange for immediate guilty pleas. Empirical data demonstrates that pretrial detainees plead guilty nearly 3 times faster (2.86x) than released defendants and are 3.76 to 5.41 times more likely to be sentenced to prison or jail.</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temporal bottleneck mathematically breaks defendant resistance.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Bottlenecks: The Opacity of Plea Bargaining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Informational bottlenecks represent points of knowledge asymmetry.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U.S. system, 90% to 97% of all criminal convictions are resolved via plea bargains.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process occurs entirely behind closed doors, functionally removing the criminal adjudication process from public, judicial, and jury oversight. The prosecutor possesses asymmetric information regarding evidence strength and systemic leverage, placing the defendant at a severe epistemic disadvantage.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Legal/Institutional Bottlenecks: Mandatory Minimums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Legal bottlenecks structurally limit the feasible options (</w:t>
      </w:r>
      <w:r w:rsidDel="00000000" w:rsidR="00000000" w:rsidRPr="00000000">
        <w:rPr>
          <w:rFonts w:ascii="Google Sans" w:cs="Google Sans" w:eastAsia="Google Sans" w:hAnsi="Google Sans"/>
          <w:color w:val="1f1f1f"/>
        </w:rPr>
        <w:drawing>
          <wp:inline distB="19050" distT="19050" distL="19050" distR="19050">
            <wp:extent cx="194548" cy="24124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94548" cy="241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actors. Mandatory minimums and Truth-in-Sentencing laws serve as ultimate legal constraint maps. By forcing rigid, severe penalties based strictly on statutory triggers, legislatures successfully transferred discretion from judges (who previously evaluated individualized context) to prosecutors (who determine whether to pull the statutory trigger via charging).</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System Topology and Lock-In Dynamics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analyzing the flow of individuals through the system, the framework maps the action-response topology to identify where outcomes are definitively locked in. The nominal civic topology suggests a linear progression of distinct phases: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Arrest </w:t>
      </w:r>
      <w:r w:rsidDel="00000000" w:rsidR="00000000" w:rsidRPr="00000000">
        <w:rPr>
          <w:rFonts w:ascii="Google Sans" w:cs="Google Sans" w:eastAsia="Google Sans" w:hAnsi="Google Sans"/>
          <w:b w:val="1"/>
          <w:bCs w:val="1"/>
          <w:color w:val="1f1f1f"/>
        </w:rPr>
        <w:drawing>
          <wp:inline distB="19050" distT="19050" distL="19050" distR="19050">
            <wp:extent cx="184428" cy="224521"/>
            <wp:effectExtent b="0" l="0" r="0" t="0"/>
            <wp:docPr id="1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Charging </w:t>
      </w:r>
      <w:r w:rsidDel="00000000" w:rsidR="00000000" w:rsidRPr="00000000">
        <w:rPr>
          <w:rFonts w:ascii="Google Sans" w:cs="Google Sans" w:eastAsia="Google Sans" w:hAnsi="Google Sans"/>
          <w:b w:val="1"/>
          <w:bCs w:val="1"/>
          <w:color w:val="1f1f1f"/>
        </w:rPr>
        <w:drawing>
          <wp:inline distB="19050" distT="19050" distL="19050" distR="19050">
            <wp:extent cx="184428" cy="224521"/>
            <wp:effectExtent b="0" l="0" r="0" t="0"/>
            <wp:docPr id="1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Trial </w:t>
      </w:r>
      <w:r w:rsidDel="00000000" w:rsidR="00000000" w:rsidRPr="00000000">
        <w:rPr>
          <w:rFonts w:ascii="Google Sans" w:cs="Google Sans" w:eastAsia="Google Sans" w:hAnsi="Google Sans"/>
          <w:b w:val="1"/>
          <w:bCs w:val="1"/>
          <w:color w:val="1f1f1f"/>
        </w:rPr>
        <w:drawing>
          <wp:inline distB="19050" distT="19050" distL="19050" distR="19050">
            <wp:extent cx="184428" cy="224521"/>
            <wp:effectExtent b="0" l="0" r="0" t="0"/>
            <wp:docPr id="1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Sentencing </w:t>
      </w:r>
      <w:r w:rsidDel="00000000" w:rsidR="00000000" w:rsidRPr="00000000">
        <w:rPr>
          <w:rFonts w:ascii="Google Sans" w:cs="Google Sans" w:eastAsia="Google Sans" w:hAnsi="Google Sans"/>
          <w:b w:val="1"/>
          <w:bCs w:val="1"/>
          <w:color w:val="1f1f1f"/>
        </w:rPr>
        <w:drawing>
          <wp:inline distB="19050" distT="19050" distL="19050" distR="19050">
            <wp:extent cx="184428" cy="224521"/>
            <wp:effectExtent b="0" l="0" r="0" t="0"/>
            <wp:docPr id="1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Incarceration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operational topology is fundamentally truncated: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Arrest </w:t>
      </w:r>
      <w:r w:rsidDel="00000000" w:rsidR="00000000" w:rsidRPr="00000000">
        <w:rPr>
          <w:rFonts w:ascii="Google Sans" w:cs="Google Sans" w:eastAsia="Google Sans" w:hAnsi="Google Sans"/>
          <w:b w:val="1"/>
          <w:bCs w:val="1"/>
          <w:color w:val="1f1f1f"/>
        </w:rPr>
        <w:drawing>
          <wp:inline distB="19050" distT="19050" distL="19050" distR="19050">
            <wp:extent cx="184428" cy="224521"/>
            <wp:effectExtent b="0" l="0" r="0" t="0"/>
            <wp:docPr id="1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Charging/Plea Negotiation </w:t>
      </w:r>
      <w:r w:rsidDel="00000000" w:rsidR="00000000" w:rsidRPr="00000000">
        <w:rPr>
          <w:rFonts w:ascii="Google Sans" w:cs="Google Sans" w:eastAsia="Google Sans" w:hAnsi="Google Sans"/>
          <w:b w:val="1"/>
          <w:bCs w:val="1"/>
          <w:color w:val="1f1f1f"/>
        </w:rPr>
        <w:drawing>
          <wp:inline distB="19050" distT="19050" distL="19050" distR="19050">
            <wp:extent cx="184428" cy="224521"/>
            <wp:effectExtent b="0" l="0" r="0" t="0"/>
            <wp:docPr id="1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Incarceration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mechanism enforcing this truncated topology is the </w:t>
      </w:r>
      <w:r w:rsidDel="00000000" w:rsidR="00000000" w:rsidRPr="00000000">
        <w:rPr>
          <w:rFonts w:ascii="Google Sans" w:cs="Google Sans" w:eastAsia="Google Sans" w:hAnsi="Google Sans"/>
          <w:b w:val="1"/>
          <w:bCs w:val="1"/>
          <w:color w:val="1f1f1f"/>
          <w:rtl w:val="0"/>
        </w:rPr>
        <w:t xml:space="preserve">Trial Penalty</w:t>
      </w:r>
      <w:r w:rsidDel="00000000" w:rsidR="00000000" w:rsidRPr="00000000">
        <w:rPr>
          <w:rFonts w:ascii="Google Sans" w:cs="Google Sans" w:eastAsia="Google Sans" w:hAnsi="Google Sans"/>
          <w:color w:val="1f1f1f"/>
          <w:rtl w:val="0"/>
        </w:rPr>
        <w:t xml:space="preserve"> (or trial tax). A trial penalty occurs when the sentence offered during a plea bargain is massively discounted compared to the sentence threatened if the defendant exercises their Sixth Amendment right to a jury trial and loses.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In federal courts, defendants convicted at trial receive sentences that are, on average, 64% to 300% longer than those who plead guilty to similar offenses.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Agency Calculus terms, the prosecutor uses the trial penalty to manipulate the defendant's Option distribution (</w:t>
      </w:r>
      <w:r w:rsidDel="00000000" w:rsidR="00000000" w:rsidRPr="00000000">
        <w:rPr>
          <w:rFonts w:ascii="Google Sans" w:cs="Google Sans" w:eastAsia="Google Sans" w:hAnsi="Google Sans"/>
          <w:color w:val="1f1f1f"/>
        </w:rPr>
        <w:drawing>
          <wp:inline distB="19050" distT="19050" distL="19050" distR="19050">
            <wp:extent cx="705922" cy="237865"/>
            <wp:effectExtent b="0" l="0" r="0" t="0"/>
            <wp:docPr id="1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705922" cy="237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pairing an artificially inflated worst-case scenario (e.g., stacking charges that carry mandatory minimums) with a highly discounted plea offer, the prosecutor artificially degrades the expected utility of the trial option.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creates a definitive </w:t>
      </w:r>
      <w:r w:rsidDel="00000000" w:rsidR="00000000" w:rsidRPr="00000000">
        <w:rPr>
          <w:rFonts w:ascii="Google Sans" w:cs="Google Sans" w:eastAsia="Google Sans" w:hAnsi="Google Sans"/>
          <w:b w:val="1"/>
          <w:bCs w:val="1"/>
          <w:color w:val="1f1f1f"/>
          <w:rtl w:val="0"/>
        </w:rPr>
        <w:t xml:space="preserve">lock-in point</w:t>
      </w:r>
      <w:r w:rsidDel="00000000" w:rsidR="00000000" w:rsidRPr="00000000">
        <w:rPr>
          <w:rFonts w:ascii="Google Sans" w:cs="Google Sans" w:eastAsia="Google Sans" w:hAnsi="Google Sans"/>
          <w:color w:val="1f1f1f"/>
          <w:rtl w:val="0"/>
        </w:rPr>
        <w:t xml:space="preserve">. Once the plea is secured under the shadow of the trial penalty and pretrial detention, the outcome is mechanically locked. Discretion is entirely concentrated at the charging node. The judge's role at sentencing is reduced to a procedural formality, validating a constraint map designed entirely by the prosecutor. The trial penalty is not an aberration; it is the load-bearing structural mechanism that prevents the system from collapsing under its own weight, ensuring the efficient administrative processing of millions of cases annually without the cost of trials.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Intervention Analysis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2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the structural response framework, we can evaluate where interventions have the highest leverage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how the system reactively resists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where defensive pressure concentrates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Greatest Gains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High-Leverage Intervention Points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Greatest Gains operator (</w:t>
      </w:r>
      <w:r w:rsidDel="00000000" w:rsidR="00000000" w:rsidRPr="00000000">
        <w:rPr>
          <w:rFonts w:ascii="Google Sans" w:cs="Google Sans" w:eastAsia="Google Sans" w:hAnsi="Google Sans"/>
          <w:color w:val="1f1f1f"/>
        </w:rPr>
        <w:drawing>
          <wp:inline distB="19050" distT="19050" distL="19050" distR="19050">
            <wp:extent cx="198834" cy="237072"/>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98834" cy="237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measures the marginal causal sensitivity of the stated objective to interventions at specific nodes.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achieve decarceration and align the system with </w:t>
      </w:r>
      <w:r w:rsidDel="00000000" w:rsidR="00000000" w:rsidRPr="00000000">
        <w:rPr>
          <w:rFonts w:ascii="Google Sans" w:cs="Google Sans" w:eastAsia="Google Sans" w:hAnsi="Google Sans"/>
          <w:color w:val="1f1f1f"/>
        </w:rPr>
        <w:drawing>
          <wp:inline distB="19050" distT="19050" distL="19050" distR="19050">
            <wp:extent cx="480060" cy="240030"/>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8006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(public safety), interventions must target the constraint maps.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Eliminating Cash Bail:</w:t>
      </w:r>
      <w:r w:rsidDel="00000000" w:rsidR="00000000" w:rsidRPr="00000000">
        <w:rPr>
          <w:rFonts w:ascii="Google Sans" w:cs="Google Sans" w:eastAsia="Google Sans" w:hAnsi="Google Sans"/>
          <w:color w:val="1f1f1f"/>
          <w:rtl w:val="0"/>
        </w:rPr>
        <w:t xml:space="preserve"> Intervening on the temporal bottleneck of pretrial detention yields massive leverage. If defendants operate from a state of liberty, they have the agency to reject coercive plea deals, forcing prosecutors to align charges with actual evidentiary strength rather than temporal desperation.</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Repealing Mandatory Minimums:</w:t>
      </w:r>
      <w:r w:rsidDel="00000000" w:rsidR="00000000" w:rsidRPr="00000000">
        <w:rPr>
          <w:rFonts w:ascii="Google Sans" w:cs="Google Sans" w:eastAsia="Google Sans" w:hAnsi="Google Sans"/>
          <w:color w:val="1f1f1f"/>
          <w:rtl w:val="0"/>
        </w:rPr>
        <w:t xml:space="preserve"> Dismantling statutory minimums restores the feasible action set (</w:t>
      </w:r>
      <w:r w:rsidDel="00000000" w:rsidR="00000000" w:rsidRPr="00000000">
        <w:rPr>
          <w:rFonts w:ascii="Google Sans" w:cs="Google Sans" w:eastAsia="Google Sans" w:hAnsi="Google Sans"/>
          <w:color w:val="1f1f1f"/>
        </w:rPr>
        <w:drawing>
          <wp:inline distB="19050" distT="19050" distL="19050" distR="19050">
            <wp:extent cx="194548" cy="241240"/>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94548" cy="241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judiciary. This degrades the constraint control coefficient (</w:t>
      </w:r>
      <w:r w:rsidDel="00000000" w:rsidR="00000000" w:rsidRPr="00000000">
        <w:rPr>
          <w:rFonts w:ascii="Google Sans" w:cs="Google Sans" w:eastAsia="Google Sans" w:hAnsi="Google Sans"/>
          <w:color w:val="1f1f1f"/>
        </w:rPr>
        <w:drawing>
          <wp:inline distB="19050" distT="19050" distL="19050" distR="19050">
            <wp:extent cx="276820" cy="238373"/>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6820" cy="238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prosecutor, reintroducing an OR-gate logic to sentencing that breaks the prosecutor's absolute monopoly.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Severing Economic Incentives:</w:t>
      </w:r>
      <w:r w:rsidDel="00000000" w:rsidR="00000000" w:rsidRPr="00000000">
        <w:rPr>
          <w:rFonts w:ascii="Google Sans" w:cs="Google Sans" w:eastAsia="Google Sans" w:hAnsi="Google Sans"/>
          <w:color w:val="1f1f1f"/>
          <w:rtl w:val="0"/>
        </w:rPr>
        <w:t xml:space="preserve"> Banning minimum occupancy quotas in private prison contracts and ending equitable sharing in civil forfeiture physically removes the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4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(budget maximization) incentive. If arresting citizens no longer generates departmental revenue or fulfills state contract quotas, behavior rapidly realigns with baseline public safety needs.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Resistance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4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Hydraulic Displacement of Discretion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Resistance operator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4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measures the system's endogenous reactive response to intervention, separated from normal causal-graph nonlinearity.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criminal justice, this manifests prominently as the </w:t>
      </w:r>
      <w:r w:rsidDel="00000000" w:rsidR="00000000" w:rsidRPr="00000000">
        <w:rPr>
          <w:rFonts w:ascii="Google Sans" w:cs="Google Sans" w:eastAsia="Google Sans" w:hAnsi="Google Sans"/>
          <w:b w:val="1"/>
          <w:bCs w:val="1"/>
          <w:color w:val="1f1f1f"/>
          <w:rtl w:val="0"/>
        </w:rPr>
        <w:t xml:space="preserve">hydraulic displacement of discretion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reformers attempt to cap discretion in one area, the system's actors fluidly shift their control to an adjacent, unregulated node. For example, when judicial sentencing guidelines were introduced to create uniformity, judges lost discretion, but the power simply displaced hydraulically to prosecutors, who absorbed it by controlling the initial charges that dictated the guidelines.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If a legislature restricts plea bargaining, the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4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 predicts that prosecutors will simply shift their leverage earlier in the timeline, utilizing extreme overcharging at the arrest phase to force compliance.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resistance is visible in recent bail reform efforts. In Harris County, Texas, following the ODonnell consent decree that severely restricted wealth-based detention for misdemeanors, the system realized massive cost savings and preserved public safety.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However, the system reactively resisted through political backlash and attempts to reclassify offenses or increase surveillance, demonstrating how entrenched actors fight to preserve their control topographies.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5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Localization of Defensive Action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Pressure operator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5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identifies where a system will concentrate its defensive resources to maintain its equilibrium.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Defensive pressure within the U.S. justice system consistently concentrates on protecting </w:t>
      </w:r>
      <w:r w:rsidDel="00000000" w:rsidR="00000000" w:rsidRPr="00000000">
        <w:rPr>
          <w:rFonts w:ascii="Google Sans" w:cs="Google Sans" w:eastAsia="Google Sans" w:hAnsi="Google Sans"/>
          <w:b w:val="1"/>
          <w:bCs w:val="1"/>
          <w:color w:val="1f1f1f"/>
          <w:rtl w:val="0"/>
        </w:rPr>
        <w:t xml:space="preserve">informational opacity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economic autonomy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Law enforcement unions and prosecutorial associations aggressively lobby against data transparency initiatives (which would dissolve the informational bottleneck of the plea-bargaining black box) and fight to preserve civil asset forfeiture and qualified immunity.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system correctly identifies that exposing its effective optimization targets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5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sunlight or severing its endogenous funding streams would terminally disrupt its control architecture.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Coherence Signals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5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diagnostic question arises: if there are more than 3,000 independent county prosecutor offices and thousands of distinct local police departments, how did they universally converge on the exact same hyper-punitive behaviors driving mass incarceration?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6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(Cross-System Coherence) operator identifies that when nominally independent actors exhibit excessive alignment, it is diagnostic of shared hidden structure rather than coincidence.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behavior of local justice systems did not organically converge; it was structurally aligned through powerful federal economic incentives, acting as the conditioning covariate (</w:t>
      </w:r>
      <w:r w:rsidDel="00000000" w:rsidR="00000000" w:rsidRPr="00000000">
        <w:rPr>
          <w:rFonts w:ascii="Google Sans" w:cs="Google Sans" w:eastAsia="Google Sans" w:hAnsi="Google Sans"/>
          <w:color w:val="1f1f1f"/>
        </w:rPr>
        <w:drawing>
          <wp:inline distB="19050" distT="19050" distL="19050" distR="19050">
            <wp:extent cx="139065" cy="239501"/>
            <wp:effectExtent b="0" l="0" r="0" t="0"/>
            <wp:docPr id="6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39065" cy="239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federal government utilized its grant-making authority to build a shared macroeconomic environment that aggressively subsidized punitive policies. The 1994 Crime Bill authorized $12.5 billion in grants for states to build or expand prisons, specifically earmarking 50% of those funds for states that adopted "Truth-in-Sentencing" laws.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federal financial leverage coerced independent state legislatures into simultaneously adopting identical, rigid constraint mechanisms.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Edward Byrne Memorial Justice Assistance Grant (Byrne JAG) program distributed billions to local police and prosecutors. Historically, these funds were evaluated and distributed based on volume metrics, such as the number of drug arrests and prosecutions.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Applying the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4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operator, we observe that local police departments across vastly different geographies simultaneously escalated drug enforcement not due to local necessity, but because federal funding formulas rewarded those specific outputs. The cross-system coherence is fully explained by the shared hidden structure of federal budget maximization.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Confidence Tier Classification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epistemic rigor, the framework classifications within this report are tiered based on their evidentiary foundation:</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Observable (Direct Documentation):</w:t>
      </w:r>
      <w:r w:rsidDel="00000000" w:rsidR="00000000" w:rsidRPr="00000000">
        <w:rPr>
          <w:rFonts w:ascii="Google Sans" w:cs="Google Sans" w:eastAsia="Google Sans" w:hAnsi="Google Sans"/>
          <w:color w:val="1f1f1f"/>
          <w:rtl w:val="0"/>
        </w:rPr>
        <w:t xml:space="preserve"> The existence and operational mechanics of economic bottlenecks are observable. Private prison contracts containing explicit 80% to 100% minimum occupancy guarantees (low-crime taxes) are documented in public records.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Federal grant formulas (e.g., Byrne JAG allocations based on arrest volumes) and statutory mandatory minimum laws are direct, observable constraint maps.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Environmental (Strong External Evidence):</w:t>
      </w:r>
      <w:r w:rsidDel="00000000" w:rsidR="00000000" w:rsidRPr="00000000">
        <w:rPr>
          <w:rFonts w:ascii="Google Sans" w:cs="Google Sans" w:eastAsia="Google Sans" w:hAnsi="Google Sans"/>
          <w:color w:val="1f1f1f"/>
          <w:rtl w:val="0"/>
        </w:rPr>
        <w:t xml:space="preserve"> The mechanics of the trial penalty and pretrial detention bottlenecks are environmental. While the exact internal negotiations of a plea bargain are opaque, the statistical output—that trial sentences are 64% to 300% longer than plea sentences, and that pretrial detainees plead guilty nearly 3 times faster—provides robust, externally verified environmental evidence of constraint manipulation.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Inferred (Model-Based):</w:t>
      </w:r>
      <w:r w:rsidDel="00000000" w:rsidR="00000000" w:rsidRPr="00000000">
        <w:rPr>
          <w:rFonts w:ascii="Google Sans" w:cs="Google Sans" w:eastAsia="Google Sans" w:hAnsi="Google Sans"/>
          <w:color w:val="1f1f1f"/>
          <w:rtl w:val="0"/>
        </w:rPr>
        <w:t xml:space="preserve"> The identification of the specific effective objective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2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prosecutors as "conviction rate optimization" is inferred. Because true intent is unobservable, the framework utilizes inverse optimization to deduce that the consistent, cross-jurisdictional reliance on overcharging and the trial penalty mathematically maximizes conviction outputs while minimizing trial costs, establishing it as the effective utility function.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the Conservation-and-Coherence framework to the U.S. criminal justice system demystifies the mechanics of mass incarceration. The phenomenon was not a direct mechanical response to a violent crime wave, nor an uncontrollable sociological inevitability. It was the deterministic output of a highly optimized, strategically inverted control structure.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reality (</w:t>
      </w:r>
      <w:r w:rsidDel="00000000" w:rsidR="00000000" w:rsidRPr="00000000">
        <w:rPr>
          <w:rFonts w:ascii="Google Sans" w:cs="Google Sans" w:eastAsia="Google Sans" w:hAnsi="Google Sans"/>
          <w:color w:val="1f1f1f"/>
        </w:rPr>
        <w:drawing>
          <wp:inline distB="19050" distT="19050" distL="19050" distR="19050">
            <wp:extent cx="458272" cy="236774"/>
            <wp:effectExtent b="0" l="0" r="0" t="0"/>
            <wp:docPr id="2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58272" cy="236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that </w:t>
      </w:r>
      <w:r w:rsidDel="00000000" w:rsidR="00000000" w:rsidRPr="00000000">
        <w:rPr>
          <w:rFonts w:ascii="Google Sans" w:cs="Google Sans" w:eastAsia="Google Sans" w:hAnsi="Google Sans"/>
          <w:b w:val="1"/>
          <w:bCs w:val="1"/>
          <w:color w:val="1f1f1f"/>
          <w:rtl w:val="0"/>
        </w:rPr>
        <w:t xml:space="preserve">prosecutors</w:t>
      </w:r>
      <w:r w:rsidDel="00000000" w:rsidR="00000000" w:rsidRPr="00000000">
        <w:rPr>
          <w:rFonts w:ascii="Google Sans" w:cs="Google Sans" w:eastAsia="Google Sans" w:hAnsi="Google Sans"/>
          <w:color w:val="1f1f1f"/>
          <w:rtl w:val="0"/>
        </w:rPr>
        <w:t xml:space="preserve"> serve as the absolute control nodes, holding near-total constraint authority (</w:t>
      </w:r>
      <w:r w:rsidDel="00000000" w:rsidR="00000000" w:rsidRPr="00000000">
        <w:rPr>
          <w:rFonts w:ascii="Google Sans" w:cs="Google Sans" w:eastAsia="Google Sans" w:hAnsi="Google Sans"/>
          <w:color w:val="1f1f1f"/>
        </w:rPr>
        <w:drawing>
          <wp:inline distB="19050" distT="19050" distL="19050" distR="19050">
            <wp:extent cx="110014" cy="227362"/>
            <wp:effectExtent b="0" l="0" r="0" t="0"/>
            <wp:docPr id="2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10014" cy="227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feasible action sets of both judges and defendants. Through the weaponization of the </w:t>
      </w:r>
      <w:r w:rsidDel="00000000" w:rsidR="00000000" w:rsidRPr="00000000">
        <w:rPr>
          <w:rFonts w:ascii="Google Sans" w:cs="Google Sans" w:eastAsia="Google Sans" w:hAnsi="Google Sans"/>
          <w:b w:val="1"/>
          <w:bCs w:val="1"/>
          <w:color w:val="1f1f1f"/>
          <w:rtl w:val="0"/>
        </w:rPr>
        <w:t xml:space="preserve">trial penalty</w:t>
      </w:r>
      <w:r w:rsidDel="00000000" w:rsidR="00000000" w:rsidRPr="00000000">
        <w:rPr>
          <w:rFonts w:ascii="Google Sans" w:cs="Google Sans" w:eastAsia="Google Sans" w:hAnsi="Google Sans"/>
          <w:color w:val="1f1f1f"/>
          <w:rtl w:val="0"/>
        </w:rPr>
        <w:t xml:space="preserve">, supported by the extreme temporal bottleneck of </w:t>
      </w:r>
      <w:r w:rsidDel="00000000" w:rsidR="00000000" w:rsidRPr="00000000">
        <w:rPr>
          <w:rFonts w:ascii="Google Sans" w:cs="Google Sans" w:eastAsia="Google Sans" w:hAnsi="Google Sans"/>
          <w:b w:val="1"/>
          <w:bCs w:val="1"/>
          <w:color w:val="1f1f1f"/>
          <w:rtl w:val="0"/>
        </w:rPr>
        <w:t xml:space="preserve">pretrial detention</w:t>
      </w:r>
      <w:r w:rsidDel="00000000" w:rsidR="00000000" w:rsidRPr="00000000">
        <w:rPr>
          <w:rFonts w:ascii="Google Sans" w:cs="Google Sans" w:eastAsia="Google Sans" w:hAnsi="Google Sans"/>
          <w:color w:val="1f1f1f"/>
          <w:rtl w:val="0"/>
        </w:rPr>
        <w:t xml:space="preserve">, the system bypassed the constitutional trial process to create a closed, high-velocity plea bargaining loop.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w:t>
      </w:r>
      <w:r w:rsidDel="00000000" w:rsidR="00000000" w:rsidRPr="00000000">
        <w:rPr>
          <w:rFonts w:ascii="Google Sans" w:cs="Google Sans" w:eastAsia="Google Sans" w:hAnsi="Google Sans"/>
          <w:b w:val="1"/>
          <w:bCs w:val="1"/>
          <w:color w:val="1f1f1f"/>
          <w:rtl w:val="0"/>
        </w:rPr>
        <w:t xml:space="preserve">economic bottlenecks</w:t>
      </w:r>
      <w:r w:rsidDel="00000000" w:rsidR="00000000" w:rsidRPr="00000000">
        <w:rPr>
          <w:rFonts w:ascii="Google Sans" w:cs="Google Sans" w:eastAsia="Google Sans" w:hAnsi="Google Sans"/>
          <w:color w:val="1f1f1f"/>
          <w:rtl w:val="0"/>
        </w:rPr>
        <w:t xml:space="preserve">—ranging from federal Byrne JAG grants to civil asset forfeiture and private prison quotas—established a robust Cross-System Coherence (</w:t>
      </w:r>
      <w:r w:rsidDel="00000000" w:rsidR="00000000" w:rsidRPr="00000000">
        <w:rPr>
          <w:rFonts w:ascii="Google Sans" w:cs="Google Sans" w:eastAsia="Google Sans" w:hAnsi="Google Sans"/>
          <w:color w:val="1f1f1f"/>
        </w:rPr>
        <w:drawing>
          <wp:inline distB="19050" distT="19050" distL="19050" distR="19050">
            <wp:extent cx="227171" cy="234744"/>
            <wp:effectExtent b="0" l="0" r="0" t="0"/>
            <wp:docPr id="2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These financial architectures provided a shared hidden structure that incentivized thousands of localized, independent agencies to abandon the stated objective of public safety (</w:t>
      </w:r>
      <w:r w:rsidDel="00000000" w:rsidR="00000000" w:rsidRPr="00000000">
        <w:rPr>
          <w:rFonts w:ascii="Google Sans" w:cs="Google Sans" w:eastAsia="Google Sans" w:hAnsi="Google Sans"/>
          <w:color w:val="1f1f1f"/>
        </w:rPr>
        <w:drawing>
          <wp:inline distB="19050" distT="19050" distL="19050" distR="19050">
            <wp:extent cx="480060" cy="240030"/>
            <wp:effectExtent b="0" l="0" r="0" t="0"/>
            <wp:docPr id="2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80060" cy="24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favor of the effective objectives (</w:t>
      </w:r>
      <w:r w:rsidDel="00000000" w:rsidR="00000000" w:rsidRPr="00000000">
        <w:rPr>
          <w:rFonts w:ascii="Google Sans" w:cs="Google Sans" w:eastAsia="Google Sans" w:hAnsi="Google Sans"/>
          <w:color w:val="1f1f1f"/>
        </w:rPr>
        <w:drawing>
          <wp:inline distB="19050" distT="19050" distL="19050" distR="19050">
            <wp:extent cx="145971" cy="243284"/>
            <wp:effectExtent b="0" l="0" r="0" t="0"/>
            <wp:docPr id="2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5971" cy="24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budget maximization and conviction optimization.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persistence of this system relies on maintaining a severe </w:t>
      </w:r>
      <w:r w:rsidDel="00000000" w:rsidR="00000000" w:rsidRPr="00000000">
        <w:rPr>
          <w:rFonts w:ascii="Google Sans" w:cs="Google Sans" w:eastAsia="Google Sans" w:hAnsi="Google Sans"/>
          <w:b w:val="1"/>
          <w:bCs w:val="1"/>
          <w:color w:val="1f1f1f"/>
          <w:rtl w:val="0"/>
        </w:rPr>
        <w:t xml:space="preserve">Attribution-Integrity Gap (AIG)</w:t>
      </w:r>
      <w:r w:rsidDel="00000000" w:rsidR="00000000" w:rsidRPr="00000000">
        <w:rPr>
          <w:rFonts w:ascii="Google Sans" w:cs="Google Sans" w:eastAsia="Google Sans" w:hAnsi="Google Sans"/>
          <w:color w:val="1f1f1f"/>
          <w:rtl w:val="0"/>
        </w:rPr>
        <w:t xml:space="preserve">. By allowing the public narrative to falsely attribute causal blame to judges, drug prevalence, and individual moral failure, the true constraint-setters operate entirely shielded from democratic feedback. Meaningful intervention requires structural topology shaping: dissolving the temporal bottleneck of cash bail, explicitly regulating the prosecutorial constraint map to eliminate the coercive trial penalty, and categorically severing the economic feedback loops that tie justice system funding to carceral extraction.</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Incarceration: The Whole Pie 2025 | Prison Policy Initiative, accessed April 22, 2026, </w:t>
      </w:r>
      <w:hyperlink r:id="rId33">
        <w:r w:rsidDel="00000000" w:rsidR="00000000" w:rsidRPr="00000000">
          <w:rPr>
            <w:rFonts w:ascii="Google Sans" w:cs="Google Sans" w:eastAsia="Google Sans" w:hAnsi="Google Sans"/>
            <w:color w:val="0000ee"/>
            <w:sz w:val="24"/>
            <w:szCs w:val="24"/>
            <w:u w:val="single"/>
            <w:rtl w:val="0"/>
          </w:rPr>
          <w:t xml:space="preserve">https://www.prisonpolicy.org/reports/pie2025.html</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hidden_control_paper_v2_revised.docx</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Incarceration Trends - The Sentencing Project, accessed April 22, 2026, </w:t>
      </w:r>
      <w:hyperlink r:id="rId34">
        <w:r w:rsidDel="00000000" w:rsidR="00000000" w:rsidRPr="00000000">
          <w:rPr>
            <w:rFonts w:ascii="Google Sans" w:cs="Google Sans" w:eastAsia="Google Sans" w:hAnsi="Google Sans"/>
            <w:color w:val="0000ee"/>
            <w:sz w:val="24"/>
            <w:szCs w:val="24"/>
            <w:u w:val="single"/>
            <w:rtl w:val="0"/>
          </w:rPr>
          <w:t xml:space="preserve">https://www.sentencingproject.org/reports/mass-incarceration-trends/</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History, Race, and Prison | Vera Institute, accessed April 22, 2026, </w:t>
      </w:r>
      <w:hyperlink r:id="rId35">
        <w:r w:rsidDel="00000000" w:rsidR="00000000" w:rsidRPr="00000000">
          <w:rPr>
            <w:rFonts w:ascii="Google Sans" w:cs="Google Sans" w:eastAsia="Google Sans" w:hAnsi="Google Sans"/>
            <w:color w:val="0000ee"/>
            <w:sz w:val="24"/>
            <w:szCs w:val="24"/>
            <w:u w:val="single"/>
            <w:rtl w:val="0"/>
          </w:rPr>
          <w:t xml:space="preserve">https://www.vera.org/reimagining-prison-web-report/american-history-race-and-prison</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 Mass Incarceration, and the Disastrous War on Drugs | Brennan Center for Justice, accessed April 22, 2026, </w:t>
      </w:r>
      <w:hyperlink r:id="rId36">
        <w:r w:rsidDel="00000000" w:rsidR="00000000" w:rsidRPr="00000000">
          <w:rPr>
            <w:rFonts w:ascii="Google Sans" w:cs="Google Sans" w:eastAsia="Google Sans" w:hAnsi="Google Sans"/>
            <w:color w:val="0000ee"/>
            <w:sz w:val="24"/>
            <w:szCs w:val="24"/>
            <w:u w:val="single"/>
            <w:rtl w:val="0"/>
          </w:rPr>
          <w:t xml:space="preserve">https://www.brennancenter.org/our-work/analysis-opinion/race-mass-incarceration-and-disastrous-war-drugs</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 and the War on Drugs - NACDL, accessed April 22, 2026, </w:t>
      </w:r>
      <w:hyperlink r:id="rId37">
        <w:r w:rsidDel="00000000" w:rsidR="00000000" w:rsidRPr="00000000">
          <w:rPr>
            <w:rFonts w:ascii="Google Sans" w:cs="Google Sans" w:eastAsia="Google Sans" w:hAnsi="Google Sans"/>
            <w:color w:val="0000ee"/>
            <w:sz w:val="24"/>
            <w:szCs w:val="24"/>
            <w:u w:val="single"/>
            <w:rtl w:val="0"/>
          </w:rPr>
          <w:t xml:space="preserve">https://www.nacdl.org/Content/Race-and-the-War-on-Drugs</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Gets Arrested in America: Trends Across Four Decades, 1980-2024, accessed April 22, 2026, </w:t>
      </w:r>
      <w:hyperlink r:id="rId38">
        <w:r w:rsidDel="00000000" w:rsidR="00000000" w:rsidRPr="00000000">
          <w:rPr>
            <w:rFonts w:ascii="Google Sans" w:cs="Google Sans" w:eastAsia="Google Sans" w:hAnsi="Google Sans"/>
            <w:color w:val="0000ee"/>
            <w:sz w:val="24"/>
            <w:szCs w:val="24"/>
            <w:u w:val="single"/>
            <w:rtl w:val="0"/>
          </w:rPr>
          <w:t xml:space="preserve">https://counciloncj.org/who-gets-arrested-in-america-trends-across-four-decades-1980-2024/</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have crime rates in the United States changed over the last 50 years?, accessed April 22, 2026, </w:t>
      </w:r>
      <w:hyperlink r:id="rId39">
        <w:r w:rsidDel="00000000" w:rsidR="00000000" w:rsidRPr="00000000">
          <w:rPr>
            <w:rFonts w:ascii="Google Sans" w:cs="Google Sans" w:eastAsia="Google Sans" w:hAnsi="Google Sans"/>
            <w:color w:val="0000ee"/>
            <w:sz w:val="24"/>
            <w:szCs w:val="24"/>
            <w:u w:val="single"/>
            <w:rtl w:val="0"/>
          </w:rPr>
          <w:t xml:space="preserve">https://ourworldindata.org/us-crime-rates</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America's Incarceration Crossroads: Reversing Progress Amid Record-Low Crime Rates, accessed April 22, 2026, </w:t>
      </w:r>
      <w:hyperlink r:id="rId40">
        <w:r w:rsidDel="00000000" w:rsidR="00000000" w:rsidRPr="00000000">
          <w:rPr>
            <w:rFonts w:ascii="Google Sans" w:cs="Google Sans" w:eastAsia="Google Sans" w:hAnsi="Google Sans"/>
            <w:color w:val="0000ee"/>
            <w:sz w:val="24"/>
            <w:szCs w:val="24"/>
            <w:u w:val="single"/>
            <w:rtl w:val="0"/>
          </w:rPr>
          <w:t xml:space="preserve">https://www.sentencingproject.org/policy-brief/americas-incarceration-crossroads-reversing-progress-amid-record-low-crime-rates/</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Incarceration in the United States - Ballard Brief - BYU, accessed April 22, 2026, </w:t>
      </w:r>
      <w:hyperlink r:id="rId41">
        <w:r w:rsidDel="00000000" w:rsidR="00000000" w:rsidRPr="00000000">
          <w:rPr>
            <w:rFonts w:ascii="Google Sans" w:cs="Google Sans" w:eastAsia="Google Sans" w:hAnsi="Google Sans"/>
            <w:color w:val="0000ee"/>
            <w:sz w:val="24"/>
            <w:szCs w:val="24"/>
            <w:u w:val="single"/>
            <w:rtl w:val="0"/>
          </w:rPr>
          <w:t xml:space="preserve">https://ballardbrief.byu.edu/issue-briefs/mass-incarceration-in-the-united-states</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Prosecutorial Overreach (Chapter 2) - Ending Overcriminalization and Mass Incarceration, accessed April 22, 2026, </w:t>
      </w:r>
      <w:hyperlink r:id="rId42">
        <w:r w:rsidDel="00000000" w:rsidR="00000000" w:rsidRPr="00000000">
          <w:rPr>
            <w:rFonts w:ascii="Google Sans" w:cs="Google Sans" w:eastAsia="Google Sans" w:hAnsi="Google Sans"/>
            <w:color w:val="0000ee"/>
            <w:sz w:val="24"/>
            <w:szCs w:val="24"/>
            <w:u w:val="single"/>
            <w:rtl w:val="0"/>
          </w:rPr>
          <w:t xml:space="preserve">https://www.cambridge.org/core/books/ending-overcriminalization-and-mass-incarceration/prosecutorial-overreach/8047AC185D9519379DD82E0FCEA7A0E1</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We've Been Explaining Mass Incarceration In All The Wrong Ways - Fordham Law News, accessed April 22, 2026, </w:t>
      </w:r>
      <w:hyperlink r:id="rId43">
        <w:r w:rsidDel="00000000" w:rsidR="00000000" w:rsidRPr="00000000">
          <w:rPr>
            <w:rFonts w:ascii="Google Sans" w:cs="Google Sans" w:eastAsia="Google Sans" w:hAnsi="Google Sans"/>
            <w:color w:val="0000ee"/>
            <w:sz w:val="24"/>
            <w:szCs w:val="24"/>
            <w:u w:val="single"/>
            <w:rtl w:val="0"/>
          </w:rPr>
          <w:t xml:space="preserve">https://news.law.fordham.edu/blog/2017/03/10/weve-been-explaining-mass-incarceration-in-all-the-wrong-ways/</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War on Drugs and Prison Growth: Limited Importance, and Limited Legislative Options, accessed April 22, 2026, </w:t>
      </w:r>
      <w:hyperlink r:id="rId44">
        <w:r w:rsidDel="00000000" w:rsidR="00000000" w:rsidRPr="00000000">
          <w:rPr>
            <w:rFonts w:ascii="Google Sans" w:cs="Google Sans" w:eastAsia="Google Sans" w:hAnsi="Google Sans"/>
            <w:color w:val="0000ee"/>
            <w:sz w:val="24"/>
            <w:szCs w:val="24"/>
            <w:u w:val="single"/>
            <w:rtl w:val="0"/>
          </w:rPr>
          <w:t xml:space="preserve">https://ir.lawnet.fordham.edu/context/faculty_scholarship/article/1650/viewcontent/Pfaff__20The_20War_20on_20Drugs_20and_20Prison_20Growth.pdf</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Incarceration Trends | Vera Institute of Justice, accessed April 22, 2026, </w:t>
      </w:r>
      <w:hyperlink r:id="rId45">
        <w:r w:rsidDel="00000000" w:rsidR="00000000" w:rsidRPr="00000000">
          <w:rPr>
            <w:rFonts w:ascii="Google Sans" w:cs="Google Sans" w:eastAsia="Google Sans" w:hAnsi="Google Sans"/>
            <w:color w:val="0000ee"/>
            <w:sz w:val="24"/>
            <w:szCs w:val="24"/>
            <w:u w:val="single"/>
            <w:rtl w:val="0"/>
          </w:rPr>
          <w:t xml:space="preserve">https://trends.vera.org/</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Overlooked Key to Reversing Mass Incarceration: Reforming the Law to Reduce Prosecutorial Power in Plea Bargaining, accessed April 22, 2026, </w:t>
      </w:r>
      <w:hyperlink r:id="rId46">
        <w:r w:rsidDel="00000000" w:rsidR="00000000" w:rsidRPr="00000000">
          <w:rPr>
            <w:rFonts w:ascii="Google Sans" w:cs="Google Sans" w:eastAsia="Google Sans" w:hAnsi="Google Sans"/>
            <w:color w:val="0000ee"/>
            <w:sz w:val="24"/>
            <w:szCs w:val="24"/>
            <w:u w:val="single"/>
            <w:rtl w:val="0"/>
          </w:rPr>
          <w:t xml:space="preserve">https://scholarship.law.tamu.edu/context/facscholar/article/1861/viewcontent/An_Overlooked_Key_to_Reversing_Mass_Incarceration__Reforming_the.pdf</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Mandatory Minimums Perpetuate Mass Incarceration and What to Do About It, accessed April 22, 2026, </w:t>
      </w:r>
      <w:hyperlink r:id="rId47">
        <w:r w:rsidDel="00000000" w:rsidR="00000000" w:rsidRPr="00000000">
          <w:rPr>
            <w:rFonts w:ascii="Google Sans" w:cs="Google Sans" w:eastAsia="Google Sans" w:hAnsi="Google Sans"/>
            <w:color w:val="0000ee"/>
            <w:sz w:val="24"/>
            <w:szCs w:val="24"/>
            <w:u w:val="single"/>
            <w:rtl w:val="0"/>
          </w:rPr>
          <w:t xml:space="preserve">https://www.sentencingproject.org/fact-sheet/how-mandatory-minimums-perpetuate-mass-incarceration-and-what-to-do-about-it/</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Mandatory Minimums Perpetuate Mass Incarceration and What to Do About It - The Sentencing Project, accessed April 22, 2026, </w:t>
      </w:r>
      <w:hyperlink r:id="rId48">
        <w:r w:rsidDel="00000000" w:rsidR="00000000" w:rsidRPr="00000000">
          <w:rPr>
            <w:rFonts w:ascii="Google Sans" w:cs="Google Sans" w:eastAsia="Google Sans" w:hAnsi="Google Sans"/>
            <w:color w:val="0000ee"/>
            <w:sz w:val="24"/>
            <w:szCs w:val="24"/>
            <w:u w:val="single"/>
            <w:rtl w:val="0"/>
          </w:rPr>
          <w:t xml:space="preserve">https://www.sentencingproject.org/app/uploads/2024/01/How-Mandatory-Minimums-Perpetuate-Mass-Incarceration-and-What-to-Do-About-It.pdf</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Charging and Plea Bargaining Practices under Determinate Sentencing: An Investigation of the Hydraulic Displacement of Discretion - Scholarly Commons, accessed April 22, 2026, </w:t>
      </w:r>
      <w:hyperlink r:id="rId49">
        <w:r w:rsidDel="00000000" w:rsidR="00000000" w:rsidRPr="00000000">
          <w:rPr>
            <w:rFonts w:ascii="Google Sans" w:cs="Google Sans" w:eastAsia="Google Sans" w:hAnsi="Google Sans"/>
            <w:color w:val="0000ee"/>
            <w:sz w:val="24"/>
            <w:szCs w:val="24"/>
            <w:u w:val="single"/>
            <w:rtl w:val="0"/>
          </w:rPr>
          <w:t xml:space="preserve">https://scholarlycommons.law.northwestern.edu/cgi/viewcontent.cgi?article=6550&amp;context=jclc</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MINNESOTA/S FELONY SENTENCING GUIDELINES SUBMITTED TO THE NATIONAL INSTITUTE OF JUSTICE .' If you have issues view, accessed April 22, 2026, </w:t>
      </w:r>
      <w:hyperlink r:id="rId50">
        <w:r w:rsidDel="00000000" w:rsidR="00000000" w:rsidRPr="00000000">
          <w:rPr>
            <w:rFonts w:ascii="Google Sans" w:cs="Google Sans" w:eastAsia="Google Sans" w:hAnsi="Google Sans"/>
            <w:color w:val="0000ee"/>
            <w:sz w:val="24"/>
            <w:szCs w:val="24"/>
            <w:u w:val="single"/>
            <w:rtl w:val="0"/>
          </w:rPr>
          <w:t xml:space="preserve">https://www.ojp.gov/pdffiles1/Digitization/107743NCJRS.pdf</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the Black Box of Prosecutor Discretion" by Megan Wright, Shima Baradaran Baughman et al. - Scholarly Commons at Boston University School of Law, accessed April 22, 2026, </w:t>
      </w:r>
      <w:hyperlink r:id="rId51">
        <w:r w:rsidDel="00000000" w:rsidR="00000000" w:rsidRPr="00000000">
          <w:rPr>
            <w:rFonts w:ascii="Google Sans" w:cs="Google Sans" w:eastAsia="Google Sans" w:hAnsi="Google Sans"/>
            <w:color w:val="0000ee"/>
            <w:sz w:val="24"/>
            <w:szCs w:val="24"/>
            <w:u w:val="single"/>
            <w:rtl w:val="0"/>
          </w:rPr>
          <w:t xml:space="preserve">https://scholarship.law.bu.edu/faculty_scholarship/1182/</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 Idea: Local Politics, Reform Prosecutors, and Reshaping Mass Incarceration - Fordham Law News, accessed April 22, 2026, </w:t>
      </w:r>
      <w:hyperlink r:id="rId52">
        <w:r w:rsidDel="00000000" w:rsidR="00000000" w:rsidRPr="00000000">
          <w:rPr>
            <w:rFonts w:ascii="Google Sans" w:cs="Google Sans" w:eastAsia="Google Sans" w:hAnsi="Google Sans"/>
            <w:color w:val="0000ee"/>
            <w:sz w:val="24"/>
            <w:szCs w:val="24"/>
            <w:u w:val="single"/>
            <w:rtl w:val="0"/>
          </w:rPr>
          <w:t xml:space="preserve">https://news.law.fordham.edu/blog/2025/03/31/the-big-idea-local-politics-reform-prosecutors-and-reshaping-mass-incarceration/</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the Crime Fit the Penalty: The Role of Prosecutorial Discretion under Mandatory Minimum Sentencing* | The Journal of Law and Economics: Vol 48, No 2, accessed April 22, 2026, </w:t>
      </w:r>
      <w:hyperlink r:id="rId53">
        <w:r w:rsidDel="00000000" w:rsidR="00000000" w:rsidRPr="00000000">
          <w:rPr>
            <w:rFonts w:ascii="Google Sans" w:cs="Google Sans" w:eastAsia="Google Sans" w:hAnsi="Google Sans"/>
            <w:color w:val="0000ee"/>
            <w:sz w:val="24"/>
            <w:szCs w:val="24"/>
            <w:u w:val="single"/>
            <w:rtl w:val="0"/>
          </w:rPr>
          <w:t xml:space="preserve">https://www.journals.uchicago.edu/doi/10.1086/429980</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Prosecutor Power #1: John Pfaff on Mass Incarceration - Center for Justice Innovation, accessed April 22, 2026, </w:t>
      </w:r>
      <w:hyperlink r:id="rId54">
        <w:r w:rsidDel="00000000" w:rsidR="00000000" w:rsidRPr="00000000">
          <w:rPr>
            <w:rFonts w:ascii="Google Sans" w:cs="Google Sans" w:eastAsia="Google Sans" w:hAnsi="Google Sans"/>
            <w:color w:val="0000ee"/>
            <w:sz w:val="24"/>
            <w:szCs w:val="24"/>
            <w:u w:val="single"/>
            <w:rtl w:val="0"/>
          </w:rPr>
          <w:t xml:space="preserve">https://www.innovatingjustice.org/resources/john-pfaff-podcast</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Incentive - The Institute for Justice, accessed April 22, 2026, </w:t>
      </w:r>
      <w:hyperlink r:id="rId55">
        <w:r w:rsidDel="00000000" w:rsidR="00000000" w:rsidRPr="00000000">
          <w:rPr>
            <w:rFonts w:ascii="Google Sans" w:cs="Google Sans" w:eastAsia="Google Sans" w:hAnsi="Google Sans"/>
            <w:color w:val="0000ee"/>
            <w:sz w:val="24"/>
            <w:szCs w:val="24"/>
            <w:u w:val="single"/>
            <w:rtl w:val="0"/>
          </w:rPr>
          <w:t xml:space="preserve">https://ij.org/report/policing-for-profit-4/grading-civil-forfeiture-laws/financial-incentive/</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 - Dollars for Collars: Civil Asset Forfeiture and the Breakdown of Constitutional Rights | Law Review - Drexel University, accessed April 22, 2026, </w:t>
      </w:r>
      <w:hyperlink r:id="rId56">
        <w:r w:rsidDel="00000000" w:rsidR="00000000" w:rsidRPr="00000000">
          <w:rPr>
            <w:rFonts w:ascii="Google Sans" w:cs="Google Sans" w:eastAsia="Google Sans" w:hAnsi="Google Sans"/>
            <w:color w:val="0000ee"/>
            <w:sz w:val="24"/>
            <w:szCs w:val="24"/>
            <w:u w:val="single"/>
            <w:rtl w:val="0"/>
          </w:rPr>
          <w:t xml:space="preserve">https://drexel.edu/law/lawreview/issues/Archives/dlro-v7/rogin/</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Forfeiture Laws, Policing Incentives, and Local Budgets - NBER, accessed April 22, 2026, </w:t>
      </w:r>
      <w:hyperlink r:id="rId57">
        <w:r w:rsidDel="00000000" w:rsidR="00000000" w:rsidRPr="00000000">
          <w:rPr>
            <w:rFonts w:ascii="Google Sans" w:cs="Google Sans" w:eastAsia="Google Sans" w:hAnsi="Google Sans"/>
            <w:color w:val="0000ee"/>
            <w:sz w:val="24"/>
            <w:szCs w:val="24"/>
            <w:u w:val="single"/>
            <w:rtl w:val="0"/>
          </w:rPr>
          <w:t xml:space="preserve">https://www.nber.org/digest/oct04/forfeiture-laws-policing-incentives-and-local-budgets</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1994 Crime Bill and Beyond: How Federal Funding Shapes the Criminal Justice System, accessed April 22, 2026, </w:t>
      </w:r>
      <w:hyperlink r:id="rId58">
        <w:r w:rsidDel="00000000" w:rsidR="00000000" w:rsidRPr="00000000">
          <w:rPr>
            <w:rFonts w:ascii="Google Sans" w:cs="Google Sans" w:eastAsia="Google Sans" w:hAnsi="Google Sans"/>
            <w:color w:val="0000ee"/>
            <w:sz w:val="24"/>
            <w:szCs w:val="24"/>
            <w:u w:val="single"/>
            <w:rtl w:val="0"/>
          </w:rPr>
          <w:t xml:space="preserve">https://www.brennancenter.org/our-work/analysis-opinion/1994-crime-bill-and-beyond-how-federal-funding-shapes-criminal-justice</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Byrne Justice Assistance Grant Program: Leading Change in State and Local Justice Systems, accessed April 22, 2026, </w:t>
      </w:r>
      <w:hyperlink r:id="rId59">
        <w:r w:rsidDel="00000000" w:rsidR="00000000" w:rsidRPr="00000000">
          <w:rPr>
            <w:rFonts w:ascii="Google Sans" w:cs="Google Sans" w:eastAsia="Google Sans" w:hAnsi="Google Sans"/>
            <w:color w:val="0000ee"/>
            <w:sz w:val="24"/>
            <w:szCs w:val="24"/>
            <w:u w:val="single"/>
            <w:rtl w:val="0"/>
          </w:rPr>
          <w:t xml:space="preserve">https://ojp.gov/library/publications/byrne-justice-assistance-grant-program-leading-change-state-and-local-justice</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Justice Department Issues Changes to Largest Criminal Justice Grant, accessed April 22, 2026, </w:t>
      </w:r>
      <w:hyperlink r:id="rId60">
        <w:r w:rsidDel="00000000" w:rsidR="00000000" w:rsidRPr="00000000">
          <w:rPr>
            <w:rFonts w:ascii="Google Sans" w:cs="Google Sans" w:eastAsia="Google Sans" w:hAnsi="Google Sans"/>
            <w:color w:val="0000ee"/>
            <w:sz w:val="24"/>
            <w:szCs w:val="24"/>
            <w:u w:val="single"/>
            <w:rtl w:val="0"/>
          </w:rPr>
          <w:t xml:space="preserve">https://www.brennancenter.org/our-work/analysis-opinion/justice-department-issues-changes-largest-criminal-justice-grant</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Criminal: How Lockup Quotas and "Low-Crime Taxes" Guarantee Profits for Private Prison Corporations - In the Public Interest, accessed April 22, 2026, </w:t>
      </w:r>
      <w:hyperlink r:id="rId61">
        <w:r w:rsidDel="00000000" w:rsidR="00000000" w:rsidRPr="00000000">
          <w:rPr>
            <w:rFonts w:ascii="Google Sans" w:cs="Google Sans" w:eastAsia="Google Sans" w:hAnsi="Google Sans"/>
            <w:color w:val="0000ee"/>
            <w:sz w:val="24"/>
            <w:szCs w:val="24"/>
            <w:u w:val="single"/>
            <w:rtl w:val="0"/>
          </w:rPr>
          <w:t xml:space="preserve">https://inthepublicinterest.org/criminal-how-lockup-quotas-and-low-crime-taxes-guarantee-profits-for-private-prison-corporations/</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Criminal: How Lockup Quotas and "Low-Crime Taxes" Guarantee Profits for Private Prison Corporations | Office of Justice Programs, accessed April 22, 2026, </w:t>
      </w:r>
      <w:hyperlink r:id="rId62">
        <w:r w:rsidDel="00000000" w:rsidR="00000000" w:rsidRPr="00000000">
          <w:rPr>
            <w:rFonts w:ascii="Google Sans" w:cs="Google Sans" w:eastAsia="Google Sans" w:hAnsi="Google Sans"/>
            <w:color w:val="0000ee"/>
            <w:sz w:val="24"/>
            <w:szCs w:val="24"/>
            <w:u w:val="single"/>
            <w:rtl w:val="0"/>
          </w:rPr>
          <w:t xml:space="preserve">https://www.ojp.gov/ncjrs/virtual-library/abstracts/criminal-how-lockup-quotas-and-low-crime-taxes-guarantee-profits</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Criminal .. - Prison Policy Initiative, accessed April 22, 2026, </w:t>
      </w:r>
      <w:hyperlink r:id="rId63">
        <w:r w:rsidDel="00000000" w:rsidR="00000000" w:rsidRPr="00000000">
          <w:rPr>
            <w:rFonts w:ascii="Google Sans" w:cs="Google Sans" w:eastAsia="Google Sans" w:hAnsi="Google Sans"/>
            <w:color w:val="0000ee"/>
            <w:sz w:val="24"/>
            <w:szCs w:val="24"/>
            <w:u w:val="single"/>
            <w:rtl w:val="0"/>
          </w:rPr>
          <w:t xml:space="preserve">https://static.prisonpolicy.org/scans/in_the_public_interest/Criminal-Lockup-Quota-Report-1.pdf</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Economic Costs of the U.S. Criminal Justice System - AAF - The American Action Forum, accessed April 22, 2026, </w:t>
      </w:r>
      <w:hyperlink r:id="rId64">
        <w:r w:rsidDel="00000000" w:rsidR="00000000" w:rsidRPr="00000000">
          <w:rPr>
            <w:rFonts w:ascii="Google Sans" w:cs="Google Sans" w:eastAsia="Google Sans" w:hAnsi="Google Sans"/>
            <w:color w:val="0000ee"/>
            <w:sz w:val="24"/>
            <w:szCs w:val="24"/>
            <w:u w:val="single"/>
            <w:rtl w:val="0"/>
          </w:rPr>
          <w:t xml:space="preserve">https://www.americanactionforum.org/research/the-economic-costs-of-the-u-s-criminal-justice-system/</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Lower Conviction Rates Mean Prosecutors' Offices Are Performing Poorly? - Biblioteca Cejamericas, accessed April 22, 2026, </w:t>
      </w:r>
      <w:hyperlink r:id="rId65">
        <w:r w:rsidDel="00000000" w:rsidR="00000000" w:rsidRPr="00000000">
          <w:rPr>
            <w:rFonts w:ascii="Google Sans" w:cs="Google Sans" w:eastAsia="Google Sans" w:hAnsi="Google Sans"/>
            <w:color w:val="0000ee"/>
            <w:sz w:val="24"/>
            <w:szCs w:val="24"/>
            <w:u w:val="single"/>
            <w:rtl w:val="0"/>
          </w:rPr>
          <w:t xml:space="preserve">https://biblioteca.cejamericas.org/bitstream/handle/2015/1802/do_lower_conviction_rates_07.pdf?sequence=1&amp;isAllowed=y</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Convictions versus Conviction Rates: The Prosecutor's Choice - Harvard Law School, accessed April 22, 2026, </w:t>
      </w:r>
      <w:hyperlink r:id="rId66">
        <w:r w:rsidDel="00000000" w:rsidR="00000000" w:rsidRPr="00000000">
          <w:rPr>
            <w:rFonts w:ascii="Google Sans" w:cs="Google Sans" w:eastAsia="Google Sans" w:hAnsi="Google Sans"/>
            <w:color w:val="0000ee"/>
            <w:sz w:val="24"/>
            <w:szCs w:val="24"/>
            <w:u w:val="single"/>
            <w:rtl w:val="0"/>
          </w:rPr>
          <w:t xml:space="preserve">https://hls.harvard.edu/bibliography/convictions-versus-conviction-rates-the-prosecutors-choice/</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prosecutors' performance - Texas Public Policy Foundation, accessed April 22, 2026, </w:t>
      </w:r>
      <w:hyperlink r:id="rId67">
        <w:r w:rsidDel="00000000" w:rsidR="00000000" w:rsidRPr="00000000">
          <w:rPr>
            <w:rFonts w:ascii="Google Sans" w:cs="Google Sans" w:eastAsia="Google Sans" w:hAnsi="Google Sans"/>
            <w:color w:val="0000ee"/>
            <w:sz w:val="24"/>
            <w:szCs w:val="24"/>
            <w:u w:val="single"/>
            <w:rtl w:val="0"/>
          </w:rPr>
          <w:t xml:space="preserve">https://www.texaspolicy.com/measuring-prosecutors-performance/</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Shadows: A Review of the Research on Plea Bargaining - Vera Institute, accessed April 22, 2026, </w:t>
      </w:r>
      <w:hyperlink r:id="rId68">
        <w:r w:rsidDel="00000000" w:rsidR="00000000" w:rsidRPr="00000000">
          <w:rPr>
            <w:rFonts w:ascii="Google Sans" w:cs="Google Sans" w:eastAsia="Google Sans" w:hAnsi="Google Sans"/>
            <w:color w:val="0000ee"/>
            <w:sz w:val="24"/>
            <w:szCs w:val="24"/>
            <w:u w:val="single"/>
            <w:rtl w:val="0"/>
          </w:rPr>
          <w:t xml:space="preserve">https://www.vera.org/publications/in-the-shadows-plea-bargaining</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Financing the War on Drugs: The Impact of Law Enforcement Grants on Racial Disparities in Drug Arrests | - AJA Blog, accessed April 22, 2026, </w:t>
      </w:r>
      <w:hyperlink r:id="rId69">
        <w:r w:rsidDel="00000000" w:rsidR="00000000" w:rsidRPr="00000000">
          <w:rPr>
            <w:rFonts w:ascii="Google Sans" w:cs="Google Sans" w:eastAsia="Google Sans" w:hAnsi="Google Sans"/>
            <w:color w:val="0000ee"/>
            <w:sz w:val="24"/>
            <w:szCs w:val="24"/>
            <w:u w:val="single"/>
            <w:rtl w:val="0"/>
          </w:rPr>
          <w:t xml:space="preserve">https://blog.amjudges.org/2017/10/17/financing-the-war-on-drugs-the-impact-of-law-enforcement-grants-on-racial-disparities-in-drug-arrests/</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Prison Contracts: Profits &amp; Politics - Tufts University, accessed April 22, 2026, </w:t>
      </w:r>
      <w:hyperlink r:id="rId70">
        <w:r w:rsidDel="00000000" w:rsidR="00000000" w:rsidRPr="00000000">
          <w:rPr>
            <w:rFonts w:ascii="Google Sans" w:cs="Google Sans" w:eastAsia="Google Sans" w:hAnsi="Google Sans"/>
            <w:color w:val="0000ee"/>
            <w:sz w:val="24"/>
            <w:szCs w:val="24"/>
            <w:u w:val="single"/>
            <w:rtl w:val="0"/>
          </w:rPr>
          <w:t xml:space="preserve">https://sites.tufts.edu/prisondivestment/prison-contracts/</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Prosecutor Institutions and Incentives, accessed April 22, 2026, </w:t>
      </w:r>
      <w:hyperlink r:id="rId71">
        <w:r w:rsidDel="00000000" w:rsidR="00000000" w:rsidRPr="00000000">
          <w:rPr>
            <w:rFonts w:ascii="Google Sans" w:cs="Google Sans" w:eastAsia="Google Sans" w:hAnsi="Google Sans"/>
            <w:color w:val="0000ee"/>
            <w:sz w:val="24"/>
            <w:szCs w:val="24"/>
            <w:u w:val="single"/>
            <w:rtl w:val="0"/>
          </w:rPr>
          <w:t xml:space="preserve">https://law.asu.edu/sites/g/files/litvpz156/files/pdf/academy_for_justice/3_Reforming-Criminal-Justice_Vol_3_Prosecutor-Institutions-and-Incentives.pdf</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the Byrne Justice Assistance Grant Program How Byrne JAG is Changing the Criminal Justice System - Prison Policy Initiative, accessed April 22, 2026, </w:t>
      </w:r>
      <w:hyperlink r:id="rId72">
        <w:r w:rsidDel="00000000" w:rsidR="00000000" w:rsidRPr="00000000">
          <w:rPr>
            <w:rFonts w:ascii="Google Sans" w:cs="Google Sans" w:eastAsia="Google Sans" w:hAnsi="Google Sans"/>
            <w:color w:val="0000ee"/>
            <w:sz w:val="24"/>
            <w:szCs w:val="24"/>
            <w:u w:val="single"/>
            <w:rtl w:val="0"/>
          </w:rPr>
          <w:t xml:space="preserve">https://www.prisonpolicy.org/scans/System-Change-Through-the-Byrne-JAG-Program-NCJA-10-13.pdf</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Policing for Profit: The Shocking Cost of Civil Asset Forfeiture - ACLU of Tennessee, accessed April 22, 2026, </w:t>
      </w:r>
      <w:hyperlink r:id="rId73">
        <w:r w:rsidDel="00000000" w:rsidR="00000000" w:rsidRPr="00000000">
          <w:rPr>
            <w:rFonts w:ascii="Google Sans" w:cs="Google Sans" w:eastAsia="Google Sans" w:hAnsi="Google Sans"/>
            <w:color w:val="0000ee"/>
            <w:sz w:val="24"/>
            <w:szCs w:val="24"/>
            <w:u w:val="single"/>
            <w:rtl w:val="0"/>
          </w:rPr>
          <w:t xml:space="preserve">https://www.aclu-tn.org/policing-profit-shocking-cost-civil-asset-forfeiture/</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 Mandatory Minimums | Brennan Center for Justice, accessed April 22, 2026, </w:t>
      </w:r>
      <w:hyperlink r:id="rId74">
        <w:r w:rsidDel="00000000" w:rsidR="00000000" w:rsidRPr="00000000">
          <w:rPr>
            <w:rFonts w:ascii="Google Sans" w:cs="Google Sans" w:eastAsia="Google Sans" w:hAnsi="Google Sans"/>
            <w:color w:val="0000ee"/>
            <w:sz w:val="24"/>
            <w:szCs w:val="24"/>
            <w:u w:val="single"/>
            <w:rtl w:val="0"/>
          </w:rPr>
          <w:t xml:space="preserve">https://www.brennancenter.org/our-work/analysis-opinion/end-mandatory-minimums</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Civil asset forfeiture, equitable sharing, and policing for profit in the United States By - CORE, accessed April 22, 2026, </w:t>
      </w:r>
      <w:hyperlink r:id="rId75">
        <w:r w:rsidDel="00000000" w:rsidR="00000000" w:rsidRPr="00000000">
          <w:rPr>
            <w:rFonts w:ascii="Google Sans" w:cs="Google Sans" w:eastAsia="Google Sans" w:hAnsi="Google Sans"/>
            <w:color w:val="0000ee"/>
            <w:sz w:val="24"/>
            <w:szCs w:val="24"/>
            <w:u w:val="single"/>
            <w:rtl w:val="0"/>
          </w:rPr>
          <w:t xml:space="preserve">https://core.ac.uk/download/pdf/345080814.pdf</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Incentives Matter: The Not-So-Civil Side of Civil Forfeiture, accessed April 22, 2026, </w:t>
      </w:r>
      <w:hyperlink r:id="rId76">
        <w:r w:rsidDel="00000000" w:rsidR="00000000" w:rsidRPr="00000000">
          <w:rPr>
            <w:rFonts w:ascii="Google Sans" w:cs="Google Sans" w:eastAsia="Google Sans" w:hAnsi="Google Sans"/>
            <w:color w:val="0000ee"/>
            <w:sz w:val="24"/>
            <w:szCs w:val="24"/>
            <w:u w:val="single"/>
            <w:rtl w:val="0"/>
          </w:rPr>
          <w:t xml:space="preserve">https://www.fedbar.org/wp-content/uploads/2019/12/Civil-Forfeiture-pdf.pdf</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Bail Reform in New York's Justice Courts, accessed April 22, 2026, </w:t>
      </w:r>
      <w:hyperlink r:id="rId77">
        <w:r w:rsidDel="00000000" w:rsidR="00000000" w:rsidRPr="00000000">
          <w:rPr>
            <w:rFonts w:ascii="Google Sans" w:cs="Google Sans" w:eastAsia="Google Sans" w:hAnsi="Google Sans"/>
            <w:color w:val="0000ee"/>
            <w:sz w:val="24"/>
            <w:szCs w:val="24"/>
            <w:u w:val="single"/>
            <w:rtl w:val="0"/>
          </w:rPr>
          <w:t xml:space="preserve">https://datacollaborativeforjustice.org/wp-content/uploads/2023/12/Finn_Final_Bail_Reform_Report.pdf</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Justice Denied: The Harmful and Lasting Effects of Pretrial Detention - Vera Institute, accessed April 22, 2026, </w:t>
      </w:r>
      <w:hyperlink r:id="rId78">
        <w:r w:rsidDel="00000000" w:rsidR="00000000" w:rsidRPr="00000000">
          <w:rPr>
            <w:rFonts w:ascii="Google Sans" w:cs="Google Sans" w:eastAsia="Google Sans" w:hAnsi="Google Sans"/>
            <w:color w:val="0000ee"/>
            <w:sz w:val="24"/>
            <w:szCs w:val="24"/>
            <w:u w:val="single"/>
            <w:rtl w:val="0"/>
          </w:rPr>
          <w:t xml:space="preserve">https://www.vera.org/publications/for-the-record-justice-denied-pretrial-detention</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Waiting: Economic and Social Impacts of Pretrial Detention, accessed April 22, 2026, </w:t>
      </w:r>
      <w:hyperlink r:id="rId79">
        <w:r w:rsidDel="00000000" w:rsidR="00000000" w:rsidRPr="00000000">
          <w:rPr>
            <w:rFonts w:ascii="Google Sans" w:cs="Google Sans" w:eastAsia="Google Sans" w:hAnsi="Google Sans"/>
            <w:color w:val="0000ee"/>
            <w:sz w:val="24"/>
            <w:szCs w:val="24"/>
            <w:u w:val="single"/>
            <w:rtl w:val="0"/>
          </w:rPr>
          <w:t xml:space="preserve">https://a2jlab.org/the-cost-of-waiting-economic-and-social-impacts-of-pretrial-detention/</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the Impact of Pretrial Detention on Sentencing Outcomes - Prison Policy Initiative, accessed April 22, 2026, </w:t>
      </w:r>
      <w:hyperlink r:id="rId80">
        <w:r w:rsidDel="00000000" w:rsidR="00000000" w:rsidRPr="00000000">
          <w:rPr>
            <w:rFonts w:ascii="Google Sans" w:cs="Google Sans" w:eastAsia="Google Sans" w:hAnsi="Google Sans"/>
            <w:color w:val="0000ee"/>
            <w:sz w:val="24"/>
            <w:szCs w:val="24"/>
            <w:u w:val="single"/>
            <w:rtl w:val="0"/>
          </w:rPr>
          <w:t xml:space="preserve">https://static.prisonpolicy.org/scans/ljaf/LJAF_Report_state-sentencing_FNL.pdf</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Detainees Plead Guilty Faster? A Survival Analysis of Pretrial Detention and the Timing of Guilty Pleas - Nyapsa, accessed April 22, 2026, </w:t>
      </w:r>
      <w:hyperlink r:id="rId81">
        <w:r w:rsidDel="00000000" w:rsidR="00000000" w:rsidRPr="00000000">
          <w:rPr>
            <w:rFonts w:ascii="Google Sans" w:cs="Google Sans" w:eastAsia="Google Sans" w:hAnsi="Google Sans"/>
            <w:color w:val="0000ee"/>
            <w:sz w:val="24"/>
            <w:szCs w:val="24"/>
            <w:u w:val="single"/>
            <w:rtl w:val="0"/>
          </w:rPr>
          <w:t xml:space="preserve">https://www.nyapsa.org/assets/files/0887403419838020.pdf</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Trial Penalty and Evidence Strength on Plea Deal Decisio" by Yaritza Diaz - Montclair State University Digital Commons, accessed April 22, 2026, </w:t>
      </w:r>
      <w:hyperlink r:id="rId82">
        <w:r w:rsidDel="00000000" w:rsidR="00000000" w:rsidRPr="00000000">
          <w:rPr>
            <w:rFonts w:ascii="Google Sans" w:cs="Google Sans" w:eastAsia="Google Sans" w:hAnsi="Google Sans"/>
            <w:color w:val="0000ee"/>
            <w:sz w:val="24"/>
            <w:szCs w:val="24"/>
            <w:u w:val="single"/>
            <w:rtl w:val="0"/>
          </w:rPr>
          <w:t xml:space="preserve">https://digitalcommons.montclair.edu/etd/397/</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Sentencing in an Era of Plea Bargains - Carolina Law Scholarship Repository, accessed April 22, 2026, </w:t>
      </w:r>
      <w:hyperlink r:id="rId83">
        <w:r w:rsidDel="00000000" w:rsidR="00000000" w:rsidRPr="00000000">
          <w:rPr>
            <w:rFonts w:ascii="Google Sans" w:cs="Google Sans" w:eastAsia="Google Sans" w:hAnsi="Google Sans"/>
            <w:color w:val="0000ee"/>
            <w:sz w:val="24"/>
            <w:szCs w:val="24"/>
            <w:u w:val="single"/>
            <w:rtl w:val="0"/>
          </w:rPr>
          <w:t xml:space="preserve">https://scholarship.law.unc.edu/cgi/viewcontent.cgi?article=6952&amp;context=nclr</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Noname manuscript No. (will be inserted by the editor) An economic analysis of a trial penalty, accessed April 22, 2026, </w:t>
      </w:r>
      <w:hyperlink r:id="rId84">
        <w:r w:rsidDel="00000000" w:rsidR="00000000" w:rsidRPr="00000000">
          <w:rPr>
            <w:rFonts w:ascii="Google Sans" w:cs="Google Sans" w:eastAsia="Google Sans" w:hAnsi="Google Sans"/>
            <w:color w:val="0000ee"/>
            <w:sz w:val="24"/>
            <w:szCs w:val="24"/>
            <w:u w:val="single"/>
            <w:rtl w:val="0"/>
          </w:rPr>
          <w:t xml:space="preserve">https://home.fau.edu/cboudreaux/web/JEF_trial_penalty_plea_bargain_final%20version.pdf</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the Trial Penalty Must Go - Innocence Project, accessed April 22, 2026, </w:t>
      </w:r>
      <w:hyperlink r:id="rId85">
        <w:r w:rsidDel="00000000" w:rsidR="00000000" w:rsidRPr="00000000">
          <w:rPr>
            <w:rFonts w:ascii="Google Sans" w:cs="Google Sans" w:eastAsia="Google Sans" w:hAnsi="Google Sans"/>
            <w:color w:val="0000ee"/>
            <w:sz w:val="24"/>
            <w:szCs w:val="24"/>
            <w:u w:val="single"/>
            <w:rtl w:val="0"/>
          </w:rPr>
          <w:t xml:space="preserve">https://innocenceproject.org/news/why-the-trial-penalty-must-go/</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TIME AM I LOOKING AT?”: PLEA BARGAINS, HARSH PUNISHMENTS, AND LOW TRIAL RATES IN SOUTHWEST BORDER DISTRICTS - Walter I. Gonçalves, Jr.* ABSTRACT - Georgetown Law, accessed April 22, 2026, </w:t>
      </w:r>
      <w:hyperlink r:id="rId86">
        <w:r w:rsidDel="00000000" w:rsidR="00000000" w:rsidRPr="00000000">
          <w:rPr>
            <w:rFonts w:ascii="Google Sans" w:cs="Google Sans" w:eastAsia="Google Sans" w:hAnsi="Google Sans"/>
            <w:color w:val="0000ee"/>
            <w:sz w:val="24"/>
            <w:szCs w:val="24"/>
            <w:u w:val="single"/>
            <w:rtl w:val="0"/>
          </w:rPr>
          <w:t xml:space="preserve">https://www.law.georgetown.edu/american-criminal-law-review/wp-content/uploads/sites/15/2022/04/59-2_Goncalves-How_Much_Time.pdf</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Trial Penalty - NACDL, accessed April 22, 2026, </w:t>
      </w:r>
      <w:hyperlink r:id="rId87">
        <w:r w:rsidDel="00000000" w:rsidR="00000000" w:rsidRPr="00000000">
          <w:rPr>
            <w:rFonts w:ascii="Google Sans" w:cs="Google Sans" w:eastAsia="Google Sans" w:hAnsi="Google Sans"/>
            <w:color w:val="0000ee"/>
            <w:sz w:val="24"/>
            <w:szCs w:val="24"/>
            <w:u w:val="single"/>
            <w:rtl w:val="0"/>
          </w:rPr>
          <w:t xml:space="preserve">https://www.nacdl.org/Landing/TheTrialPenalty</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Unconstitutionality of Modern Plea Bargaining: Curbing Prosecutorial Vindictiveness, accessed April 22, 2026, </w:t>
      </w:r>
      <w:hyperlink r:id="rId88">
        <w:r w:rsidDel="00000000" w:rsidR="00000000" w:rsidRPr="00000000">
          <w:rPr>
            <w:rFonts w:ascii="Google Sans" w:cs="Google Sans" w:eastAsia="Google Sans" w:hAnsi="Google Sans"/>
            <w:color w:val="0000ee"/>
            <w:sz w:val="24"/>
            <w:szCs w:val="24"/>
            <w:u w:val="single"/>
            <w:rtl w:val="0"/>
          </w:rPr>
          <w:t xml:space="preserve">https://legaljournal.princeton.edu/the-unconstitutionality-of-modern-plea-bargaining-curbing-prosecutorial-vindictiveness/</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Bail Reform Delivers Justice, Safety, and Savings - Public Policy Research Institute, accessed April 22, 2026, </w:t>
      </w:r>
      <w:hyperlink r:id="rId89">
        <w:r w:rsidDel="00000000" w:rsidR="00000000" w:rsidRPr="00000000">
          <w:rPr>
            <w:rFonts w:ascii="Google Sans" w:cs="Google Sans" w:eastAsia="Google Sans" w:hAnsi="Google Sans"/>
            <w:color w:val="0000ee"/>
            <w:sz w:val="24"/>
            <w:szCs w:val="24"/>
            <w:u w:val="single"/>
            <w:rtl w:val="0"/>
          </w:rPr>
          <w:t xml:space="preserve">https://ppri.tamu.edu/2026/03/04/odonnelldelivers/</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Revenue Over Public Safety - Brennan Center for Justice, accessed April 22, 2026, </w:t>
      </w:r>
      <w:hyperlink r:id="rId90">
        <w:r w:rsidDel="00000000" w:rsidR="00000000" w:rsidRPr="00000000">
          <w:rPr>
            <w:rFonts w:ascii="Google Sans" w:cs="Google Sans" w:eastAsia="Google Sans" w:hAnsi="Google Sans"/>
            <w:color w:val="0000ee"/>
            <w:sz w:val="24"/>
            <w:szCs w:val="24"/>
            <w:u w:val="single"/>
            <w:rtl w:val="0"/>
          </w:rPr>
          <w:t xml:space="preserve">https://www.brennancenter.org/media/9813/download/2022_06_Perverse_Incentives_Report.pdf</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Prison Inc. from Pushing Lockup Quotas - Capital &amp; Main, accessed April 22, 2026, </w:t>
      </w:r>
      <w:hyperlink r:id="rId91">
        <w:r w:rsidDel="00000000" w:rsidR="00000000" w:rsidRPr="00000000">
          <w:rPr>
            <w:rFonts w:ascii="Google Sans" w:cs="Google Sans" w:eastAsia="Google Sans" w:hAnsi="Google Sans"/>
            <w:color w:val="0000ee"/>
            <w:sz w:val="24"/>
            <w:szCs w:val="24"/>
            <w:u w:val="single"/>
            <w:rtl w:val="0"/>
          </w:rPr>
          <w:t xml:space="preserve">https://capitalandmain.com/stop-prison-inc-from-pushing-lockup-quotas</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the Power to Arrest: Lessons from Research - International Association of Chiefs of Police, accessed April 22, 2026, </w:t>
      </w:r>
      <w:hyperlink r:id="rId92">
        <w:r w:rsidDel="00000000" w:rsidR="00000000" w:rsidRPr="00000000">
          <w:rPr>
            <w:rFonts w:ascii="Google Sans" w:cs="Google Sans" w:eastAsia="Google Sans" w:hAnsi="Google Sans"/>
            <w:color w:val="0000ee"/>
            <w:sz w:val="24"/>
            <w:szCs w:val="24"/>
            <w:u w:val="single"/>
            <w:rtl w:val="0"/>
          </w:rPr>
          <w:t xml:space="preserve">https://www.theiacp.org/sites/default/files/2018-08/CPRP_Deconstructing%20the%20Power%20to%20Arrest_FINAL.PDF</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DRAFT – DO NOT CITE WITHOUT PERMISSION*** Lauren O'Neill Shermer** Department of Criminal Justice Widener Univers - ICPSR, accessed April 22, 2026, </w:t>
      </w:r>
      <w:hyperlink r:id="rId93">
        <w:r w:rsidDel="00000000" w:rsidR="00000000" w:rsidRPr="00000000">
          <w:rPr>
            <w:rFonts w:ascii="Google Sans" w:cs="Google Sans" w:eastAsia="Google Sans" w:hAnsi="Google Sans"/>
            <w:color w:val="0000ee"/>
            <w:sz w:val="24"/>
            <w:szCs w:val="24"/>
            <w:u w:val="single"/>
            <w:rtl w:val="0"/>
          </w:rPr>
          <w:t xml:space="preserve">https://www.icpsr.umich.edu/summerprog/2009/nijworkshop/CriminalProsecutions_JusticeQuarterly.pdf</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OCA Press Releases - Office of County Administration, accessed April 22, 2026, </w:t>
      </w:r>
      <w:hyperlink r:id="rId94">
        <w:r w:rsidDel="00000000" w:rsidR="00000000" w:rsidRPr="00000000">
          <w:rPr>
            <w:rFonts w:ascii="Google Sans" w:cs="Google Sans" w:eastAsia="Google Sans" w:hAnsi="Google Sans"/>
            <w:color w:val="0000ee"/>
            <w:sz w:val="24"/>
            <w:szCs w:val="24"/>
            <w:u w:val="single"/>
            <w:rtl w:val="0"/>
          </w:rPr>
          <w:t xml:space="preserve">https://oca.harriscountytx.gov/Media/OCA-Press-Releases/harris-county-misdemeanor-bail-reform-is-helping-to-reduce-crime</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Attorney General Seeks to Overturn Harris County Misdemeanor Bail Reforms and Return to Unconstitutional Practices - Civil Rights Corps, accessed April 22, 2026, </w:t>
      </w:r>
      <w:hyperlink r:id="rId95">
        <w:r w:rsidDel="00000000" w:rsidR="00000000" w:rsidRPr="00000000">
          <w:rPr>
            <w:rFonts w:ascii="Google Sans" w:cs="Google Sans" w:eastAsia="Google Sans" w:hAnsi="Google Sans"/>
            <w:color w:val="0000ee"/>
            <w:sz w:val="24"/>
            <w:szCs w:val="24"/>
            <w:u w:val="single"/>
            <w:rtl w:val="0"/>
          </w:rPr>
          <w:t xml:space="preserve">https://civilrightscorps.org/texas-attorney-general-seeks-to-overturn-harris-county-misdemeanor-bail-reforms-and-return-to-unconstitutional-practices/</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Prosecutorial Data Transparency and Data Justice - University of Minnesota Law School Scholarship Repository, accessed April 22, 2026, </w:t>
      </w:r>
      <w:hyperlink r:id="rId96">
        <w:r w:rsidDel="00000000" w:rsidR="00000000" w:rsidRPr="00000000">
          <w:rPr>
            <w:rFonts w:ascii="Google Sans" w:cs="Google Sans" w:eastAsia="Google Sans" w:hAnsi="Google Sans"/>
            <w:color w:val="0000ee"/>
            <w:sz w:val="24"/>
            <w:szCs w:val="24"/>
            <w:u w:val="single"/>
            <w:rtl w:val="0"/>
          </w:rPr>
          <w:t xml:space="preserve">https://scholarship.law.umn.edu/cgi/viewcontent.cgi?article=2086&amp;context=faculty_articles</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Truth in Sentencing and State Sentencing Practices | National Institute of Justice, accessed April 22, 2026, </w:t>
      </w:r>
      <w:hyperlink r:id="rId97">
        <w:r w:rsidDel="00000000" w:rsidR="00000000" w:rsidRPr="00000000">
          <w:rPr>
            <w:rFonts w:ascii="Google Sans" w:cs="Google Sans" w:eastAsia="Google Sans" w:hAnsi="Google Sans"/>
            <w:color w:val="0000ee"/>
            <w:sz w:val="24"/>
            <w:szCs w:val="24"/>
            <w:u w:val="single"/>
            <w:rtl w:val="0"/>
          </w:rPr>
          <w:t xml:space="preserve">https://nij.ojp.gov/topics/articles/truth-sentencing-and-state-sentencing-practices</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Federal Funding that Fuels Mass Incarceration | Brennan Center for Justice, accessed April 22, 2026, </w:t>
      </w:r>
      <w:hyperlink r:id="rId98">
        <w:r w:rsidDel="00000000" w:rsidR="00000000" w:rsidRPr="00000000">
          <w:rPr>
            <w:rFonts w:ascii="Google Sans" w:cs="Google Sans" w:eastAsia="Google Sans" w:hAnsi="Google Sans"/>
            <w:color w:val="0000ee"/>
            <w:sz w:val="24"/>
            <w:szCs w:val="24"/>
            <w:u w:val="single"/>
            <w:rtl w:val="0"/>
          </w:rPr>
          <w:t xml:space="preserve">https://www.brennancenter.org/our-work/analysis-opinion/federal-funding-fuels-mass-incarceration</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Justice Assistance Grant (JAG) Program, 2024, accessed April 22, 2026, </w:t>
      </w:r>
      <w:hyperlink r:id="rId99">
        <w:r w:rsidDel="00000000" w:rsidR="00000000" w:rsidRPr="00000000">
          <w:rPr>
            <w:rFonts w:ascii="Google Sans" w:cs="Google Sans" w:eastAsia="Google Sans" w:hAnsi="Google Sans"/>
            <w:color w:val="0000ee"/>
            <w:sz w:val="24"/>
            <w:szCs w:val="24"/>
            <w:u w:val="single"/>
            <w:rtl w:val="0"/>
          </w:rPr>
          <w:t xml:space="preserve">https://bjs.ojp.gov/library/publications/justice-assistance-grant-jag-program-2024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ntencingproject.org/policy-brief/americas-incarceration-crossroads-reversing-progress-amid-record-low-crime-rates/" TargetMode="External"/><Relationship Id="rId42" Type="http://schemas.openxmlformats.org/officeDocument/2006/relationships/hyperlink" Target="https://www.cambridge.org/core/books/ending-overcriminalization-and-mass-incarceration/prosecutorial-overreach/8047AC185D9519379DD82E0FCEA7A0E1" TargetMode="External"/><Relationship Id="rId41" Type="http://schemas.openxmlformats.org/officeDocument/2006/relationships/hyperlink" Target="https://ballardbrief.byu.edu/issue-briefs/mass-incarceration-in-the-united-states" TargetMode="External"/><Relationship Id="rId44" Type="http://schemas.openxmlformats.org/officeDocument/2006/relationships/hyperlink" Target="https://ir.lawnet.fordham.edu/context/faculty_scholarship/article/1650/viewcontent/Pfaff__20The_20War_20on_20Drugs_20and_20Prison_20Growth.pdf" TargetMode="External"/><Relationship Id="rId43" Type="http://schemas.openxmlformats.org/officeDocument/2006/relationships/hyperlink" Target="https://news.law.fordham.edu/blog/2017/03/10/weve-been-explaining-mass-incarceration-in-all-the-wrong-ways/" TargetMode="External"/><Relationship Id="rId46" Type="http://schemas.openxmlformats.org/officeDocument/2006/relationships/hyperlink" Target="https://scholarship.law.tamu.edu/context/facscholar/article/1861/viewcontent/An_Overlooked_Key_to_Reversing_Mass_Incarceration__Reforming_the.pdf" TargetMode="External"/><Relationship Id="rId45" Type="http://schemas.openxmlformats.org/officeDocument/2006/relationships/hyperlink" Target="https://trends.vera.org/" TargetMode="External"/><Relationship Id="rId48" Type="http://schemas.openxmlformats.org/officeDocument/2006/relationships/hyperlink" Target="https://www.sentencingproject.org/app/uploads/2024/01/How-Mandatory-Minimums-Perpetuate-Mass-Incarceration-and-What-to-Do-About-It.pdf" TargetMode="External"/><Relationship Id="rId47" Type="http://schemas.openxmlformats.org/officeDocument/2006/relationships/hyperlink" Target="https://www.sentencingproject.org/fact-sheet/how-mandatory-minimums-perpetuate-mass-incarceration-and-what-to-do-about-it/" TargetMode="External"/><Relationship Id="rId49" Type="http://schemas.openxmlformats.org/officeDocument/2006/relationships/hyperlink" Target="https://scholarlycommons.law.northwestern.edu/cgi/viewcontent.cgi?article=6550&amp;context=jclc" TargetMode="External"/><Relationship Id="rId31" Type="http://schemas.openxmlformats.org/officeDocument/2006/relationships/image" Target="media/image17.png"/><Relationship Id="rId30" Type="http://schemas.openxmlformats.org/officeDocument/2006/relationships/image" Target="media/image3.png"/><Relationship Id="rId33" Type="http://schemas.openxmlformats.org/officeDocument/2006/relationships/hyperlink" Target="https://www.prisonpolicy.org/reports/pie2025.html" TargetMode="External"/><Relationship Id="rId32" Type="http://schemas.openxmlformats.org/officeDocument/2006/relationships/image" Target="media/image5.png"/><Relationship Id="rId35" Type="http://schemas.openxmlformats.org/officeDocument/2006/relationships/hyperlink" Target="https://www.vera.org/reimagining-prison-web-report/american-history-race-and-prison" TargetMode="External"/><Relationship Id="rId34" Type="http://schemas.openxmlformats.org/officeDocument/2006/relationships/hyperlink" Target="https://www.sentencingproject.org/reports/mass-incarceration-trends/" TargetMode="External"/><Relationship Id="rId37" Type="http://schemas.openxmlformats.org/officeDocument/2006/relationships/hyperlink" Target="https://www.nacdl.org/Content/Race-and-the-War-on-Drugs" TargetMode="External"/><Relationship Id="rId36" Type="http://schemas.openxmlformats.org/officeDocument/2006/relationships/hyperlink" Target="https://www.brennancenter.org/our-work/analysis-opinion/race-mass-incarceration-and-disastrous-war-drugs" TargetMode="External"/><Relationship Id="rId39" Type="http://schemas.openxmlformats.org/officeDocument/2006/relationships/hyperlink" Target="https://ourworldindata.org/us-crime-rates" TargetMode="External"/><Relationship Id="rId38" Type="http://schemas.openxmlformats.org/officeDocument/2006/relationships/hyperlink" Target="https://counciloncj.org/who-gets-arrested-in-america-trends-across-four-decades-1980-2024/" TargetMode="External"/><Relationship Id="rId20" Type="http://schemas.openxmlformats.org/officeDocument/2006/relationships/image" Target="media/image14.png"/><Relationship Id="rId22" Type="http://schemas.openxmlformats.org/officeDocument/2006/relationships/image" Target="media/image6.png"/><Relationship Id="rId21" Type="http://schemas.openxmlformats.org/officeDocument/2006/relationships/image" Target="media/image13.png"/><Relationship Id="rId24" Type="http://schemas.openxmlformats.org/officeDocument/2006/relationships/image" Target="media/image11.png"/><Relationship Id="rId23"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image" Target="media/image1.png"/><Relationship Id="rId29" Type="http://schemas.openxmlformats.org/officeDocument/2006/relationships/image" Target="media/image10.png"/><Relationship Id="rId95" Type="http://schemas.openxmlformats.org/officeDocument/2006/relationships/hyperlink" Target="https://civilrightscorps.org/texas-attorney-general-seeks-to-overturn-harris-county-misdemeanor-bail-reforms-and-return-to-unconstitutional-practices/" TargetMode="External"/><Relationship Id="rId94" Type="http://schemas.openxmlformats.org/officeDocument/2006/relationships/hyperlink" Target="https://oca.harriscountytx.gov/Media/OCA-Press-Releases/harris-county-misdemeanor-bail-reform-is-helping-to-reduce-crime" TargetMode="External"/><Relationship Id="rId97" Type="http://schemas.openxmlformats.org/officeDocument/2006/relationships/hyperlink" Target="https://nij.ojp.gov/topics/articles/truth-sentencing-and-state-sentencing-practices" TargetMode="External"/><Relationship Id="rId96" Type="http://schemas.openxmlformats.org/officeDocument/2006/relationships/hyperlink" Target="https://scholarship.law.umn.edu/cgi/viewcontent.cgi?article=2086&amp;context=faculty_articles" TargetMode="External"/><Relationship Id="rId11" Type="http://schemas.openxmlformats.org/officeDocument/2006/relationships/image" Target="media/image21.png"/><Relationship Id="rId99" Type="http://schemas.openxmlformats.org/officeDocument/2006/relationships/hyperlink" Target="https://bjs.ojp.gov/library/publications/justice-assistance-grant-jag-program-2024" TargetMode="External"/><Relationship Id="rId10" Type="http://schemas.openxmlformats.org/officeDocument/2006/relationships/image" Target="media/image15.png"/><Relationship Id="rId98" Type="http://schemas.openxmlformats.org/officeDocument/2006/relationships/hyperlink" Target="https://www.brennancenter.org/our-work/analysis-opinion/federal-funding-fuels-mass-incarceration" TargetMode="External"/><Relationship Id="rId13" Type="http://schemas.openxmlformats.org/officeDocument/2006/relationships/image" Target="media/image25.png"/><Relationship Id="rId12" Type="http://schemas.openxmlformats.org/officeDocument/2006/relationships/image" Target="media/image12.png"/><Relationship Id="rId91" Type="http://schemas.openxmlformats.org/officeDocument/2006/relationships/hyperlink" Target="https://capitalandmain.com/stop-prison-inc-from-pushing-lockup-quotas" TargetMode="External"/><Relationship Id="rId90" Type="http://schemas.openxmlformats.org/officeDocument/2006/relationships/hyperlink" Target="https://www.brennancenter.org/media/9813/download/2022_06_Perverse_Incentives_Report.pdf" TargetMode="External"/><Relationship Id="rId93" Type="http://schemas.openxmlformats.org/officeDocument/2006/relationships/hyperlink" Target="https://www.icpsr.umich.edu/summerprog/2009/nijworkshop/CriminalProsecutions_JusticeQuarterly.pdf" TargetMode="External"/><Relationship Id="rId92" Type="http://schemas.openxmlformats.org/officeDocument/2006/relationships/hyperlink" Target="https://www.theiacp.org/sites/default/files/2018-08/CPRP_Deconstructing%20the%20Power%20to%20Arrest_FINAL.PDF" TargetMode="External"/><Relationship Id="rId15" Type="http://schemas.openxmlformats.org/officeDocument/2006/relationships/image" Target="media/image24.png"/><Relationship Id="rId14" Type="http://schemas.openxmlformats.org/officeDocument/2006/relationships/image" Target="media/image16.png"/><Relationship Id="rId17" Type="http://schemas.openxmlformats.org/officeDocument/2006/relationships/image" Target="media/image8.png"/><Relationship Id="rId16" Type="http://schemas.openxmlformats.org/officeDocument/2006/relationships/image" Target="media/image23.png"/><Relationship Id="rId19" Type="http://schemas.openxmlformats.org/officeDocument/2006/relationships/image" Target="media/image22.png"/><Relationship Id="rId18" Type="http://schemas.openxmlformats.org/officeDocument/2006/relationships/image" Target="media/image27.png"/><Relationship Id="rId84" Type="http://schemas.openxmlformats.org/officeDocument/2006/relationships/hyperlink" Target="https://home.fau.edu/cboudreaux/web/JEF_trial_penalty_plea_bargain_final%20version.pdf" TargetMode="External"/><Relationship Id="rId83" Type="http://schemas.openxmlformats.org/officeDocument/2006/relationships/hyperlink" Target="https://scholarship.law.unc.edu/cgi/viewcontent.cgi?article=6952&amp;context=nclr" TargetMode="External"/><Relationship Id="rId86" Type="http://schemas.openxmlformats.org/officeDocument/2006/relationships/hyperlink" Target="https://www.law.georgetown.edu/american-criminal-law-review/wp-content/uploads/sites/15/2022/04/59-2_Goncalves-How_Much_Time.pdf" TargetMode="External"/><Relationship Id="rId85" Type="http://schemas.openxmlformats.org/officeDocument/2006/relationships/hyperlink" Target="https://innocenceproject.org/news/why-the-trial-penalty-must-go/" TargetMode="External"/><Relationship Id="rId88" Type="http://schemas.openxmlformats.org/officeDocument/2006/relationships/hyperlink" Target="https://legaljournal.princeton.edu/the-unconstitutionality-of-modern-plea-bargaining-curbing-prosecutorial-vindictiveness/" TargetMode="External"/><Relationship Id="rId87" Type="http://schemas.openxmlformats.org/officeDocument/2006/relationships/hyperlink" Target="https://www.nacdl.org/Landing/TheTrialPenalty" TargetMode="External"/><Relationship Id="rId89" Type="http://schemas.openxmlformats.org/officeDocument/2006/relationships/hyperlink" Target="https://ppri.tamu.edu/2026/03/04/odonnelldelivers/" TargetMode="External"/><Relationship Id="rId80" Type="http://schemas.openxmlformats.org/officeDocument/2006/relationships/hyperlink" Target="https://static.prisonpolicy.org/scans/ljaf/LJAF_Report_state-sentencing_FNL.pdf" TargetMode="External"/><Relationship Id="rId82" Type="http://schemas.openxmlformats.org/officeDocument/2006/relationships/hyperlink" Target="https://digitalcommons.montclair.edu/etd/397/" TargetMode="External"/><Relationship Id="rId81" Type="http://schemas.openxmlformats.org/officeDocument/2006/relationships/hyperlink" Target="https://www.nyapsa.org/assets/files/088740341983802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7.png"/><Relationship Id="rId8" Type="http://schemas.openxmlformats.org/officeDocument/2006/relationships/image" Target="media/image9.png"/><Relationship Id="rId73" Type="http://schemas.openxmlformats.org/officeDocument/2006/relationships/hyperlink" Target="https://www.aclu-tn.org/policing-profit-shocking-cost-civil-asset-forfeiture/" TargetMode="External"/><Relationship Id="rId72" Type="http://schemas.openxmlformats.org/officeDocument/2006/relationships/hyperlink" Target="https://www.prisonpolicy.org/scans/System-Change-Through-the-Byrne-JAG-Program-NCJA-10-13.pdf" TargetMode="External"/><Relationship Id="rId75" Type="http://schemas.openxmlformats.org/officeDocument/2006/relationships/hyperlink" Target="https://core.ac.uk/download/pdf/345080814.pdf" TargetMode="External"/><Relationship Id="rId74" Type="http://schemas.openxmlformats.org/officeDocument/2006/relationships/hyperlink" Target="https://www.brennancenter.org/our-work/analysis-opinion/end-mandatory-minimums" TargetMode="External"/><Relationship Id="rId77" Type="http://schemas.openxmlformats.org/officeDocument/2006/relationships/hyperlink" Target="https://datacollaborativeforjustice.org/wp-content/uploads/2023/12/Finn_Final_Bail_Reform_Report.pdf" TargetMode="External"/><Relationship Id="rId76" Type="http://schemas.openxmlformats.org/officeDocument/2006/relationships/hyperlink" Target="https://www.fedbar.org/wp-content/uploads/2019/12/Civil-Forfeiture-pdf.pdf" TargetMode="External"/><Relationship Id="rId79" Type="http://schemas.openxmlformats.org/officeDocument/2006/relationships/hyperlink" Target="https://a2jlab.org/the-cost-of-waiting-economic-and-social-impacts-of-pretrial-detention/" TargetMode="External"/><Relationship Id="rId78" Type="http://schemas.openxmlformats.org/officeDocument/2006/relationships/hyperlink" Target="https://www.vera.org/publications/for-the-record-justice-denied-pretrial-detention" TargetMode="External"/><Relationship Id="rId71" Type="http://schemas.openxmlformats.org/officeDocument/2006/relationships/hyperlink" Target="https://law.asu.edu/sites/g/files/litvpz156/files/pdf/academy_for_justice/3_Reforming-Criminal-Justice_Vol_3_Prosecutor-Institutions-and-Incentives.pdf" TargetMode="External"/><Relationship Id="rId70" Type="http://schemas.openxmlformats.org/officeDocument/2006/relationships/hyperlink" Target="https://sites.tufts.edu/prisondivestment/prison-contracts/" TargetMode="External"/><Relationship Id="rId62" Type="http://schemas.openxmlformats.org/officeDocument/2006/relationships/hyperlink" Target="https://www.ojp.gov/ncjrs/virtual-library/abstracts/criminal-how-lockup-quotas-and-low-crime-taxes-guarantee-profits" TargetMode="External"/><Relationship Id="rId61" Type="http://schemas.openxmlformats.org/officeDocument/2006/relationships/hyperlink" Target="https://inthepublicinterest.org/criminal-how-lockup-quotas-and-low-crime-taxes-guarantee-profits-for-private-prison-corporations/" TargetMode="External"/><Relationship Id="rId64" Type="http://schemas.openxmlformats.org/officeDocument/2006/relationships/hyperlink" Target="https://www.americanactionforum.org/research/the-economic-costs-of-the-u-s-criminal-justice-system/" TargetMode="External"/><Relationship Id="rId63" Type="http://schemas.openxmlformats.org/officeDocument/2006/relationships/hyperlink" Target="https://static.prisonpolicy.org/scans/in_the_public_interest/Criminal-Lockup-Quota-Report-1.pdf" TargetMode="External"/><Relationship Id="rId66" Type="http://schemas.openxmlformats.org/officeDocument/2006/relationships/hyperlink" Target="https://hls.harvard.edu/bibliography/convictions-versus-conviction-rates-the-prosecutors-choice/" TargetMode="External"/><Relationship Id="rId65" Type="http://schemas.openxmlformats.org/officeDocument/2006/relationships/hyperlink" Target="https://biblioteca.cejamericas.org/bitstream/handle/2015/1802/do_lower_conviction_rates_07.pdf?sequence=1&amp;isAllowed=y" TargetMode="External"/><Relationship Id="rId68" Type="http://schemas.openxmlformats.org/officeDocument/2006/relationships/hyperlink" Target="https://www.vera.org/publications/in-the-shadows-plea-bargaining" TargetMode="External"/><Relationship Id="rId67" Type="http://schemas.openxmlformats.org/officeDocument/2006/relationships/hyperlink" Target="https://www.texaspolicy.com/measuring-prosecutors-performance/" TargetMode="External"/><Relationship Id="rId60" Type="http://schemas.openxmlformats.org/officeDocument/2006/relationships/hyperlink" Target="https://www.brennancenter.org/our-work/analysis-opinion/justice-department-issues-changes-largest-criminal-justice-grant" TargetMode="External"/><Relationship Id="rId69" Type="http://schemas.openxmlformats.org/officeDocument/2006/relationships/hyperlink" Target="https://blog.amjudges.org/2017/10/17/financing-the-war-on-drugs-the-impact-of-law-enforcement-grants-on-racial-disparities-in-drug-arrests/" TargetMode="External"/><Relationship Id="rId51" Type="http://schemas.openxmlformats.org/officeDocument/2006/relationships/hyperlink" Target="https://scholarship.law.bu.edu/faculty_scholarship/1182/" TargetMode="External"/><Relationship Id="rId50" Type="http://schemas.openxmlformats.org/officeDocument/2006/relationships/hyperlink" Target="https://www.ojp.gov/pdffiles1/Digitization/107743NCJRS.pdf" TargetMode="External"/><Relationship Id="rId53" Type="http://schemas.openxmlformats.org/officeDocument/2006/relationships/hyperlink" Target="https://www.journals.uchicago.edu/doi/10.1086/429980" TargetMode="External"/><Relationship Id="rId52" Type="http://schemas.openxmlformats.org/officeDocument/2006/relationships/hyperlink" Target="https://news.law.fordham.edu/blog/2025/03/31/the-big-idea-local-politics-reform-prosecutors-and-reshaping-mass-incarceration/" TargetMode="External"/><Relationship Id="rId55" Type="http://schemas.openxmlformats.org/officeDocument/2006/relationships/hyperlink" Target="https://ij.org/report/policing-for-profit-4/grading-civil-forfeiture-laws/financial-incentive/" TargetMode="External"/><Relationship Id="rId54" Type="http://schemas.openxmlformats.org/officeDocument/2006/relationships/hyperlink" Target="https://www.innovatingjustice.org/resources/john-pfaff-podcast" TargetMode="External"/><Relationship Id="rId57" Type="http://schemas.openxmlformats.org/officeDocument/2006/relationships/hyperlink" Target="https://www.nber.org/digest/oct04/forfeiture-laws-policing-incentives-and-local-budgets" TargetMode="External"/><Relationship Id="rId56" Type="http://schemas.openxmlformats.org/officeDocument/2006/relationships/hyperlink" Target="https://drexel.edu/law/lawreview/issues/Archives/dlro-v7/rogin/" TargetMode="External"/><Relationship Id="rId59" Type="http://schemas.openxmlformats.org/officeDocument/2006/relationships/hyperlink" Target="https://ojp.gov/library/publications/byrne-justice-assistance-grant-program-leading-change-state-and-local-justice" TargetMode="External"/><Relationship Id="rId58" Type="http://schemas.openxmlformats.org/officeDocument/2006/relationships/hyperlink" Target="https://www.brennancenter.org/our-work/analysis-opinion/1994-crime-bill-and-beyond-how-federal-funding-shapes-criminal-just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