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Attribution Analysis of the U.S. Criminal Justice System: A Conservation-and-Coherence Framework Application</w:t>
      </w:r>
    </w:p>
    <w:p w:rsidR="00000000" w:rsidDel="00000000" w:rsidP="00000000" w:rsidRDefault="00000000" w:rsidRPr="00000000" w14:paraId="00000002">
      <w:pPr>
        <w:pStyle w:val="Heading2"/>
        <w:spacing w:after="80" w:before="360" w:line="275.9999942779541" w:lineRule="auto"/>
        <w:rPr>
          <w:rFonts w:ascii="Google Sans" w:cs="Google Sans" w:eastAsia="Google Sans" w:hAnsi="Google Sans"/>
          <w:color w:val="1f1f1f"/>
          <w:sz w:val="34"/>
          <w:szCs w:val="34"/>
        </w:rPr>
      </w:pPr>
      <w:bookmarkStart w:colFirst="0" w:colLast="0" w:name="_wq6o0wcviwf8" w:id="0"/>
      <w:bookmarkEnd w:id="0"/>
      <w:r w:rsidDel="00000000" w:rsidR="00000000" w:rsidRPr="00000000">
        <w:rPr>
          <w:rFonts w:ascii="Google Sans" w:cs="Google Sans" w:eastAsia="Google Sans" w:hAnsi="Google Sans"/>
          <w:color w:val="1f1f1f"/>
          <w:sz w:val="34"/>
          <w:szCs w:val="34"/>
          <w:rtl w:val="0"/>
        </w:rPr>
        <w:t xml:space="preserve">1. Narrative versus Structural Paradox</w:t>
      </w:r>
    </w:p>
    <w:p w:rsidR="00000000" w:rsidDel="00000000" w:rsidP="00000000" w:rsidRDefault="00000000" w:rsidRPr="00000000" w14:paraId="0000000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criminal justice system constitutes one of the most complex institutional architectures in modern governance, encompassing an extensive network of law enforcement agencies, courts, and correctional institutions that collectively supervise approximately six million individuals, with nearly two million in direct physical custody.¹ For an analyst applying the Conservation-and-Coherence (C&amp;C) framework suite alongside the Agency Calculus primitive, this system presents a central analytical problem: a divergence between </w:t>
      </w:r>
      <w:r w:rsidDel="00000000" w:rsidR="00000000" w:rsidRPr="00000000">
        <w:rPr>
          <w:rFonts w:ascii="Google Sans" w:cs="Google Sans" w:eastAsia="Google Sans" w:hAnsi="Google Sans"/>
          <w:b w:val="1"/>
          <w:bCs w:val="1"/>
          <w:color w:val="1f1f1f"/>
          <w:rtl w:val="0"/>
        </w:rPr>
        <w:t xml:space="preserve">narrative attribution</w:t>
      </w:r>
      <w:r w:rsidDel="00000000" w:rsidR="00000000" w:rsidRPr="00000000">
        <w:rPr>
          <w:rFonts w:ascii="Google Sans" w:cs="Google Sans" w:eastAsia="Google Sans" w:hAnsi="Google Sans"/>
          <w:color w:val="1f1f1f"/>
          <w:rtl w:val="0"/>
        </w:rPr>
        <w:t xml:space="preserve">—how the system’s causal structure is publicly described—and </w:t>
      </w:r>
      <w:r w:rsidDel="00000000" w:rsidR="00000000" w:rsidRPr="00000000">
        <w:rPr>
          <w:rFonts w:ascii="Google Sans" w:cs="Google Sans" w:eastAsia="Google Sans" w:hAnsi="Google Sans"/>
          <w:b w:val="1"/>
          <w:bCs w:val="1"/>
          <w:color w:val="1f1f1f"/>
          <w:rtl w:val="0"/>
        </w:rPr>
        <w:t xml:space="preserve">structural attribution</w:t>
      </w:r>
      <w:r w:rsidDel="00000000" w:rsidR="00000000" w:rsidRPr="00000000">
        <w:rPr>
          <w:rFonts w:ascii="Google Sans" w:cs="Google Sans" w:eastAsia="Google Sans" w:hAnsi="Google Sans"/>
          <w:color w:val="1f1f1f"/>
          <w:rtl w:val="0"/>
        </w:rPr>
        <w:t xml:space="preserve">—how outcomes are generated in practice.</w:t>
      </w:r>
    </w:p>
    <w:p w:rsidR="00000000" w:rsidDel="00000000" w:rsidP="00000000" w:rsidRDefault="00000000" w:rsidRPr="00000000" w14:paraId="0000000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attribution of the U.S. criminal justice system is organized around a deliberately adversarial model of fact-finding. In this stated causal structure, independent actors operate within defined procedural roles: law enforcement gathers evidence, prosecutors represent the state, defense attorneys challenge the case, juries adjudicate factual guilt, and judges exercise discretion to impose proportionate sentences. Under this model, outcomes are presumed to emerge from symmetrical adversarial testing, with the system implicitly optimizing for truth, public safety, and proportional justice.</w:t>
      </w:r>
    </w:p>
    <w:p w:rsidR="00000000" w:rsidDel="00000000" w:rsidP="00000000" w:rsidRDefault="00000000" w:rsidRPr="00000000" w14:paraId="0000000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observed system behavior over the past four decades exhibits patterns that are difficult to reconcile with this model. The United States has maintained the highest incarceration rate among developed nations while sustaining a system-wide annual cost estimated at $417.1 billion, despite substantial long-term declines in aggregate crime rates and recent reductions in arrest volumes.¹ The scale of custodial supervision remains markedly elevated relative to historical baselines; in the early 1970s, the incarcerated population was approximately 360,000, representing a fraction of current levels.¹</w:t>
      </w:r>
    </w:p>
    <w:p w:rsidR="00000000" w:rsidDel="00000000" w:rsidP="00000000" w:rsidRDefault="00000000" w:rsidRPr="00000000" w14:paraId="0000000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significantly, the procedural center of the system has shifted away from adversarial adjudication. More than 90% of criminal convictions at both the state and federal levels are obtained through plea agreements rather than trial.⁴ In many jurisdictions, trial rates fall below 5%, and in some periods approach zero.⁵ As a result, the adversarial trial—formally positioned as the system’s primary mechanism for truth determination—functions as a statistically infrequent pathway for resolving cases.</w:t>
      </w:r>
    </w:p>
    <w:p w:rsidR="00000000" w:rsidDel="00000000" w:rsidP="00000000" w:rsidRDefault="00000000" w:rsidRPr="00000000" w14:paraId="0000000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patterns suggest a structural tension:</w:t>
      </w:r>
    </w:p>
    <w:p w:rsidR="00000000" w:rsidDel="00000000" w:rsidP="00000000" w:rsidRDefault="00000000" w:rsidRPr="00000000" w14:paraId="00000008">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formally organized around adversarial trial produces outcomes primarily through administrative settlement mechanisms.</w:t>
      </w:r>
    </w:p>
    <w:p w:rsidR="00000000" w:rsidDel="00000000" w:rsidP="00000000" w:rsidRDefault="00000000" w:rsidRPr="00000000" w14:paraId="0000000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divergence motivates a structural analysis. To reconcile the stated model with observed outcomes, this report applies the Conservation-and-Coherence framework sequentially, treating the criminal justice system as a constrained multi-agent process governed by </w:t>
      </w:r>
      <w:r w:rsidDel="00000000" w:rsidR="00000000" w:rsidRPr="00000000">
        <w:rPr>
          <w:rFonts w:ascii="Google Sans" w:cs="Google Sans" w:eastAsia="Google Sans" w:hAnsi="Google Sans"/>
          <w:b w:val="1"/>
          <w:bCs w:val="1"/>
          <w:color w:val="1f1f1f"/>
          <w:rtl w:val="0"/>
        </w:rPr>
        <w:t xml:space="preserve">feasible-set modification (φ)</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bottleneck control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inferred objective functions (Û)</w:t>
      </w:r>
      <w:r w:rsidDel="00000000" w:rsidR="00000000" w:rsidRPr="00000000">
        <w:rPr>
          <w:rFonts w:ascii="Google Sans" w:cs="Google Sans" w:eastAsia="Google Sans" w:hAnsi="Google Sans"/>
          <w:color w:val="1f1f1f"/>
          <w:rtl w:val="0"/>
        </w:rPr>
        <w:t xml:space="preserve">. The goal is not to infer intent or assign normative judgment, but to identify the constraint structures that shape system behavior and determine how control is distributed across actors.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Style w:val="Heading2"/>
        <w:spacing w:after="80" w:before="360" w:line="275.9999942779541" w:lineRule="auto"/>
        <w:rPr>
          <w:rFonts w:ascii="Google Sans" w:cs="Google Sans" w:eastAsia="Google Sans" w:hAnsi="Google Sans"/>
          <w:color w:val="1f1f1f"/>
          <w:sz w:val="34"/>
          <w:szCs w:val="34"/>
        </w:rPr>
      </w:pPr>
      <w:bookmarkStart w:colFirst="0" w:colLast="0" w:name="_fntrlikrygo2" w:id="1"/>
      <w:bookmarkEnd w:id="1"/>
      <w:r w:rsidDel="00000000" w:rsidR="00000000" w:rsidRPr="00000000">
        <w:rPr>
          <w:rFonts w:ascii="Google Sans" w:cs="Google Sans" w:eastAsia="Google Sans" w:hAnsi="Google Sans"/>
          <w:color w:val="1f1f1f"/>
          <w:sz w:val="34"/>
          <w:szCs w:val="34"/>
          <w:rtl w:val="0"/>
        </w:rPr>
        <w:t xml:space="preserve">2. System Definition and Bottlenecks</w:t>
      </w:r>
    </w:p>
    <w:p w:rsidR="00000000" w:rsidDel="00000000" w:rsidP="00000000" w:rsidRDefault="00000000" w:rsidRPr="00000000" w14:paraId="0000000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application of the Conservation-and-Coherence (C&amp;C) framework requires explicit definition of system boundaries, primary outputs, actor classes, and the structural bottlenecks through which causal influence is transmitted. These elements establish the analytical substrate on which attribution and control can be evaluated.</w:t>
      </w:r>
    </w:p>
    <w:p w:rsidR="00000000" w:rsidDel="00000000" w:rsidP="00000000" w:rsidRDefault="00000000" w:rsidRPr="00000000" w14:paraId="0000000D">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before="280" w:line="275.9999942779541" w:lineRule="auto"/>
        <w:rPr>
          <w:rFonts w:ascii="Google Sans" w:cs="Google Sans" w:eastAsia="Google Sans" w:hAnsi="Google Sans"/>
          <w:color w:val="1f1f1f"/>
          <w:sz w:val="26"/>
          <w:szCs w:val="26"/>
        </w:rPr>
      </w:pPr>
      <w:bookmarkStart w:colFirst="0" w:colLast="0" w:name="_6tzz3ctlirs" w:id="2"/>
      <w:bookmarkEnd w:id="2"/>
      <w:r w:rsidDel="00000000" w:rsidR="00000000" w:rsidRPr="00000000">
        <w:rPr>
          <w:rFonts w:ascii="Google Sans" w:cs="Google Sans" w:eastAsia="Google Sans" w:hAnsi="Google Sans"/>
          <w:color w:val="1f1f1f"/>
          <w:sz w:val="26"/>
          <w:szCs w:val="26"/>
          <w:rtl w:val="0"/>
        </w:rPr>
        <w:t xml:space="preserve">2.1 Primary System Outputs</w:t>
      </w:r>
    </w:p>
    <w:p w:rsidR="00000000" w:rsidDel="00000000" w:rsidP="00000000" w:rsidRDefault="00000000" w:rsidRPr="00000000" w14:paraId="0000000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criminal justice system generates several measurable physical and administrative outputs that function as dependent variables for structural analysis:</w:t>
      </w:r>
    </w:p>
    <w:p w:rsidR="00000000" w:rsidDel="00000000" w:rsidP="00000000" w:rsidRDefault="00000000" w:rsidRPr="00000000" w14:paraId="00000010">
      <w:pPr>
        <w:numPr>
          <w:ilvl w:val="0"/>
          <w:numId w:val="4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Incarceration Rates:</w:t>
        <w:br w:type="textWrapping"/>
      </w:r>
      <w:r w:rsidDel="00000000" w:rsidR="00000000" w:rsidRPr="00000000">
        <w:rPr>
          <w:rFonts w:ascii="Google Sans" w:cs="Google Sans" w:eastAsia="Google Sans" w:hAnsi="Google Sans"/>
          <w:color w:val="1f1f1f"/>
          <w:rtl w:val="0"/>
        </w:rPr>
        <w:t xml:space="preserve"> The system produces an aggregate national imprisonment rate of approximately 355 per 100,000 residents, with substantial demographic and geographic variation.⁶ Racial disparities remain pronounced, with a Black–White incarceration ratio of approximately 4.8:1 nationally, and higher ratios in specific states.⁶ Total annual government expenditure on public prisons and jails is estimated at $417.1 billion, with private facilities contributing an additional $5.5 billion.³</w:t>
      </w:r>
    </w:p>
    <w:p w:rsidR="00000000" w:rsidDel="00000000" w:rsidP="00000000" w:rsidRDefault="00000000" w:rsidRPr="00000000" w14:paraId="00000011">
      <w:pPr>
        <w:numPr>
          <w:ilvl w:val="0"/>
          <w:numId w:val="4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Sentence Length:</w:t>
        <w:br w:type="textWrapping"/>
      </w:r>
      <w:r w:rsidDel="00000000" w:rsidR="00000000" w:rsidRPr="00000000">
        <w:rPr>
          <w:rFonts w:ascii="Google Sans" w:cs="Google Sans" w:eastAsia="Google Sans" w:hAnsi="Google Sans"/>
          <w:color w:val="1f1f1f"/>
          <w:rtl w:val="0"/>
        </w:rPr>
        <w:t xml:space="preserve"> The duration of custodial sanctions varies systematically by adjudication pathway. Empirical evidence indicates the presence of a “trial penalty,” where sentences imposed following trial are, on average, significantly longer than those resulting from plea agreements for comparable offenses.⁴</w:t>
      </w:r>
    </w:p>
    <w:p w:rsidR="00000000" w:rsidDel="00000000" w:rsidP="00000000" w:rsidRDefault="00000000" w:rsidRPr="00000000" w14:paraId="00000012">
      <w:pPr>
        <w:numPr>
          <w:ilvl w:val="0"/>
          <w:numId w:val="4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Pretrial Detention:</w:t>
        <w:br w:type="textWrapping"/>
      </w:r>
      <w:r w:rsidDel="00000000" w:rsidR="00000000" w:rsidRPr="00000000">
        <w:rPr>
          <w:rFonts w:ascii="Google Sans" w:cs="Google Sans" w:eastAsia="Google Sans" w:hAnsi="Google Sans"/>
          <w:color w:val="1f1f1f"/>
          <w:rtl w:val="0"/>
        </w:rPr>
        <w:t xml:space="preserve"> Approximately 450,000 individuals are held in jail pretrial on any given day, representing roughly 70% of the local jail population.⁷ This population consists of legally unconvicted individuals and imposes an estimated annual cost of $13.6 billion.⁷</w:t>
      </w:r>
    </w:p>
    <w:p w:rsidR="00000000" w:rsidDel="00000000" w:rsidP="00000000" w:rsidRDefault="00000000" w:rsidRPr="00000000" w14:paraId="00000013">
      <w:pPr>
        <w:numPr>
          <w:ilvl w:val="0"/>
          <w:numId w:val="4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Plea Rates:</w:t>
        <w:br w:type="textWrapping"/>
      </w:r>
      <w:r w:rsidDel="00000000" w:rsidR="00000000" w:rsidRPr="00000000">
        <w:rPr>
          <w:rFonts w:ascii="Google Sans" w:cs="Google Sans" w:eastAsia="Google Sans" w:hAnsi="Google Sans"/>
          <w:color w:val="1f1f1f"/>
          <w:rtl w:val="0"/>
        </w:rPr>
        <w:t xml:space="preserve"> Case resolution through negotiated plea agreements constitutes the dominant processing mechanism, accounting for approximately 90–97% of convictions across federal and large state jurisdictions.⁴</w:t>
      </w:r>
    </w:p>
    <w:p w:rsidR="00000000" w:rsidDel="00000000" w:rsidP="00000000" w:rsidRDefault="00000000" w:rsidRPr="00000000" w14:paraId="0000001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outputs define the observable outcome space that the framework seeks to explain.</w:t>
      </w:r>
    </w:p>
    <w:p w:rsidR="00000000" w:rsidDel="00000000" w:rsidP="00000000" w:rsidRDefault="00000000" w:rsidRPr="00000000" w14:paraId="00000015">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spacing w:after="80" w:before="280" w:line="275.9999942779541" w:lineRule="auto"/>
        <w:rPr>
          <w:rFonts w:ascii="Google Sans" w:cs="Google Sans" w:eastAsia="Google Sans" w:hAnsi="Google Sans"/>
          <w:color w:val="1f1f1f"/>
          <w:sz w:val="26"/>
          <w:szCs w:val="26"/>
        </w:rPr>
      </w:pPr>
      <w:bookmarkStart w:colFirst="0" w:colLast="0" w:name="_vs8dzgmc1347" w:id="3"/>
      <w:bookmarkEnd w:id="3"/>
      <w:r w:rsidDel="00000000" w:rsidR="00000000" w:rsidRPr="00000000">
        <w:rPr>
          <w:rFonts w:ascii="Google Sans" w:cs="Google Sans" w:eastAsia="Google Sans" w:hAnsi="Google Sans"/>
          <w:color w:val="1f1f1f"/>
          <w:sz w:val="26"/>
          <w:szCs w:val="26"/>
          <w:rtl w:val="0"/>
        </w:rPr>
        <w:t xml:space="preserve">2.2 Actor Classes</w:t>
      </w:r>
    </w:p>
    <w:p w:rsidR="00000000" w:rsidDel="00000000" w:rsidP="00000000" w:rsidRDefault="00000000" w:rsidRPr="00000000" w14:paraId="0000001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observed actor set A\mathcal{A}A consist of the following:</w:t>
      </w:r>
    </w:p>
    <w:p w:rsidR="00000000" w:rsidDel="00000000" w:rsidP="00000000" w:rsidRDefault="00000000" w:rsidRPr="00000000" w14:paraId="00000018">
      <w:pPr>
        <w:numPr>
          <w:ilvl w:val="0"/>
          <w:numId w:val="2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Legislatures:</w:t>
      </w:r>
      <w:r w:rsidDel="00000000" w:rsidR="00000000" w:rsidRPr="00000000">
        <w:rPr>
          <w:rFonts w:ascii="Google Sans" w:cs="Google Sans" w:eastAsia="Google Sans" w:hAnsi="Google Sans"/>
          <w:color w:val="1f1f1f"/>
          <w:rtl w:val="0"/>
        </w:rPr>
        <w:t xml:space="preserve"> Define statutory constraints, including sentencing rules, bail structures, and funding allocations</w:t>
      </w:r>
    </w:p>
    <w:p w:rsidR="00000000" w:rsidDel="00000000" w:rsidP="00000000" w:rsidRDefault="00000000" w:rsidRPr="00000000" w14:paraId="00000019">
      <w:pPr>
        <w:numPr>
          <w:ilvl w:val="0"/>
          <w:numId w:val="2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Prosecutors:</w:t>
      </w:r>
      <w:r w:rsidDel="00000000" w:rsidR="00000000" w:rsidRPr="00000000">
        <w:rPr>
          <w:rFonts w:ascii="Google Sans" w:cs="Google Sans" w:eastAsia="Google Sans" w:hAnsi="Google Sans"/>
          <w:color w:val="1f1f1f"/>
          <w:rtl w:val="0"/>
        </w:rPr>
        <w:t xml:space="preserve"> Exercise charging discretion, negotiate plea agreements, and manage case flow</w:t>
      </w:r>
    </w:p>
    <w:p w:rsidR="00000000" w:rsidDel="00000000" w:rsidP="00000000" w:rsidRDefault="00000000" w:rsidRPr="00000000" w14:paraId="0000001A">
      <w:pPr>
        <w:numPr>
          <w:ilvl w:val="0"/>
          <w:numId w:val="2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Judges:</w:t>
      </w:r>
      <w:r w:rsidDel="00000000" w:rsidR="00000000" w:rsidRPr="00000000">
        <w:rPr>
          <w:rFonts w:ascii="Google Sans" w:cs="Google Sans" w:eastAsia="Google Sans" w:hAnsi="Google Sans"/>
          <w:color w:val="1f1f1f"/>
          <w:rtl w:val="0"/>
        </w:rPr>
        <w:t xml:space="preserve"> Oversee procedure, rule on motions, and impose sentences within defined constraints</w:t>
      </w:r>
    </w:p>
    <w:p w:rsidR="00000000" w:rsidDel="00000000" w:rsidP="00000000" w:rsidRDefault="00000000" w:rsidRPr="00000000" w14:paraId="0000001B">
      <w:pPr>
        <w:numPr>
          <w:ilvl w:val="0"/>
          <w:numId w:val="2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Law Enforcement:</w:t>
      </w:r>
      <w:r w:rsidDel="00000000" w:rsidR="00000000" w:rsidRPr="00000000">
        <w:rPr>
          <w:rFonts w:ascii="Google Sans" w:cs="Google Sans" w:eastAsia="Google Sans" w:hAnsi="Google Sans"/>
          <w:color w:val="1f1f1f"/>
          <w:rtl w:val="0"/>
        </w:rPr>
        <w:t xml:space="preserve"> Initiate system entry through investigation and arrest</w:t>
      </w:r>
    </w:p>
    <w:p w:rsidR="00000000" w:rsidDel="00000000" w:rsidP="00000000" w:rsidRDefault="00000000" w:rsidRPr="00000000" w14:paraId="0000001C">
      <w:pPr>
        <w:numPr>
          <w:ilvl w:val="0"/>
          <w:numId w:val="2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Defense Counsel (Public/Private):</w:t>
      </w:r>
      <w:r w:rsidDel="00000000" w:rsidR="00000000" w:rsidRPr="00000000">
        <w:rPr>
          <w:rFonts w:ascii="Google Sans" w:cs="Google Sans" w:eastAsia="Google Sans" w:hAnsi="Google Sans"/>
          <w:color w:val="1f1f1f"/>
          <w:rtl w:val="0"/>
        </w:rPr>
        <w:t xml:space="preserve"> Represent defendants and provide adversarial challenge within available resources</w:t>
      </w:r>
    </w:p>
    <w:p w:rsidR="00000000" w:rsidDel="00000000" w:rsidP="00000000" w:rsidRDefault="00000000" w:rsidRPr="00000000" w14:paraId="0000001D">
      <w:pPr>
        <w:numPr>
          <w:ilvl w:val="0"/>
          <w:numId w:val="2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Private Contractors:</w:t>
      </w:r>
      <w:r w:rsidDel="00000000" w:rsidR="00000000" w:rsidRPr="00000000">
        <w:rPr>
          <w:rFonts w:ascii="Google Sans" w:cs="Google Sans" w:eastAsia="Google Sans" w:hAnsi="Google Sans"/>
          <w:color w:val="1f1f1f"/>
          <w:rtl w:val="0"/>
        </w:rPr>
        <w:t xml:space="preserve"> Operate detention facilities and related services within the correctional system</w:t>
      </w:r>
    </w:p>
    <w:p w:rsidR="00000000" w:rsidDel="00000000" w:rsidP="00000000" w:rsidRDefault="00000000" w:rsidRPr="00000000" w14:paraId="0000001E">
      <w:pPr>
        <w:numPr>
          <w:ilvl w:val="0"/>
          <w:numId w:val="2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Defendants:</w:t>
      </w:r>
      <w:r w:rsidDel="00000000" w:rsidR="00000000" w:rsidRPr="00000000">
        <w:rPr>
          <w:rFonts w:ascii="Google Sans" w:cs="Google Sans" w:eastAsia="Google Sans" w:hAnsi="Google Sans"/>
          <w:color w:val="1f1f1f"/>
          <w:rtl w:val="0"/>
        </w:rPr>
        <w:t xml:space="preserve"> Subjects of system processing whose liberty and resources are directly affected</w:t>
      </w:r>
    </w:p>
    <w:p w:rsidR="00000000" w:rsidDel="00000000" w:rsidP="00000000" w:rsidRDefault="00000000" w:rsidRPr="00000000" w14:paraId="0000001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actor set represents the visible layer of the causal model prior to constraint analysis.</w:t>
      </w:r>
    </w:p>
    <w:p w:rsidR="00000000" w:rsidDel="00000000" w:rsidP="00000000" w:rsidRDefault="00000000" w:rsidRPr="00000000" w14:paraId="00000020">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spacing w:after="80" w:before="280" w:line="275.9999942779541" w:lineRule="auto"/>
        <w:rPr>
          <w:rFonts w:ascii="Google Sans" w:cs="Google Sans" w:eastAsia="Google Sans" w:hAnsi="Google Sans"/>
          <w:color w:val="1f1f1f"/>
          <w:sz w:val="26"/>
          <w:szCs w:val="26"/>
        </w:rPr>
      </w:pPr>
      <w:bookmarkStart w:colFirst="0" w:colLast="0" w:name="_mi0h11tiip9n" w:id="4"/>
      <w:bookmarkEnd w:id="4"/>
      <w:r w:rsidDel="00000000" w:rsidR="00000000" w:rsidRPr="00000000">
        <w:rPr>
          <w:rFonts w:ascii="Google Sans" w:cs="Google Sans" w:eastAsia="Google Sans" w:hAnsi="Google Sans"/>
          <w:color w:val="1f1f1f"/>
          <w:sz w:val="26"/>
          <w:szCs w:val="26"/>
          <w:rtl w:val="0"/>
        </w:rPr>
        <w:t xml:space="preserve">2.3 Bottleneck Typology</w:t>
      </w:r>
    </w:p>
    <w:p w:rsidR="00000000" w:rsidDel="00000000" w:rsidP="00000000" w:rsidRDefault="00000000" w:rsidRPr="00000000" w14:paraId="0000002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dynamic extensions of the C&amp;C framework, control is concentrated at bottlenecks—points in the system where constraints on feasible action sets determine downstream outcomes. The criminal justice system exhibits four primary, interacting bottleneck types:</w:t>
      </w:r>
    </w:p>
    <w:p w:rsidR="00000000" w:rsidDel="00000000" w:rsidP="00000000" w:rsidRDefault="00000000" w:rsidRPr="00000000" w14:paraId="0000002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spacing w:after="40" w:before="240" w:line="275.9999942779541" w:lineRule="auto"/>
        <w:rPr>
          <w:rFonts w:ascii="Google Sans" w:cs="Google Sans" w:eastAsia="Google Sans" w:hAnsi="Google Sans"/>
          <w:color w:val="1f1f1f"/>
          <w:sz w:val="22"/>
          <w:szCs w:val="22"/>
        </w:rPr>
      </w:pPr>
      <w:bookmarkStart w:colFirst="0" w:colLast="0" w:name="_9s39urkr80gj" w:id="5"/>
      <w:bookmarkEnd w:id="5"/>
      <w:r w:rsidDel="00000000" w:rsidR="00000000" w:rsidRPr="00000000">
        <w:rPr>
          <w:rFonts w:ascii="Google Sans" w:cs="Google Sans" w:eastAsia="Google Sans" w:hAnsi="Google Sans"/>
          <w:color w:val="1f1f1f"/>
          <w:sz w:val="22"/>
          <w:szCs w:val="22"/>
          <w:rtl w:val="0"/>
        </w:rPr>
        <w:t xml:space="preserve">1. Temporal Bottleneck — Pretrial Detention</w:t>
      </w:r>
    </w:p>
    <w:p w:rsidR="00000000" w:rsidDel="00000000" w:rsidP="00000000" w:rsidRDefault="00000000" w:rsidRPr="00000000" w14:paraId="0000002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detention introduces a binding temporal constraint on defendants. Individuals who are unable to secure release face immediate pressures on employment, housing, and personal stability. Within the framework, temporal bottlenecks alter strategic order: actors subject to time pressure operate under constrained feasible sets relative to actors with greater optionality.</w:t>
      </w:r>
    </w:p>
    <w:p w:rsidR="00000000" w:rsidDel="00000000" w:rsidP="00000000" w:rsidRDefault="00000000" w:rsidRPr="00000000" w14:paraId="0000002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indicates that pretrial detention is associated with higher probabilities of guilty plea and conviction.⁴ These patterns are consistent with a system in which temporal constraints influence decision pathways, shifting case resolution toward expedited outcomes.</w:t>
      </w:r>
    </w:p>
    <w:p w:rsidR="00000000" w:rsidDel="00000000" w:rsidP="00000000" w:rsidRDefault="00000000" w:rsidRPr="00000000" w14:paraId="00000027">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spacing w:after="40" w:before="240" w:line="275.9999942779541" w:lineRule="auto"/>
        <w:rPr>
          <w:rFonts w:ascii="Google Sans" w:cs="Google Sans" w:eastAsia="Google Sans" w:hAnsi="Google Sans"/>
          <w:color w:val="1f1f1f"/>
          <w:sz w:val="22"/>
          <w:szCs w:val="22"/>
        </w:rPr>
      </w:pPr>
      <w:bookmarkStart w:colFirst="0" w:colLast="0" w:name="_e9qv15nr2vtp" w:id="6"/>
      <w:bookmarkEnd w:id="6"/>
      <w:r w:rsidDel="00000000" w:rsidR="00000000" w:rsidRPr="00000000">
        <w:rPr>
          <w:rFonts w:ascii="Google Sans" w:cs="Google Sans" w:eastAsia="Google Sans" w:hAnsi="Google Sans"/>
          <w:color w:val="1f1f1f"/>
          <w:sz w:val="22"/>
          <w:szCs w:val="22"/>
          <w:rtl w:val="0"/>
        </w:rPr>
        <w:t xml:space="preserve">2. Economic Bottleneck — Resource Asymmetry</w:t>
      </w:r>
    </w:p>
    <w:p w:rsidR="00000000" w:rsidDel="00000000" w:rsidP="00000000" w:rsidRDefault="00000000" w:rsidRPr="00000000" w14:paraId="0000002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bottlenecks arise from unequal distribution of resources across actors. In many jurisdictions, prosecutorial offices are funded at substantially higher levels than public defense systems. For example, in California, county budgets allocated nearly $1 billion more to district attorney offices than to public defense in fiscal year 2022–23.¹³</w:t>
      </w:r>
    </w:p>
    <w:p w:rsidR="00000000" w:rsidDel="00000000" w:rsidP="00000000" w:rsidRDefault="00000000" w:rsidRPr="00000000" w14:paraId="0000002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disparity constrains the feasible action set of defense counsel by limiting access to investigative resources, expert testimony, and manageable caseloads. As a result, the defense’s capacity to pursue resource-intensive strategies—such as trial litigation—is reduced relative to prosecution.</w:t>
      </w:r>
    </w:p>
    <w:p w:rsidR="00000000" w:rsidDel="00000000" w:rsidP="00000000" w:rsidRDefault="00000000" w:rsidRPr="00000000" w14:paraId="0000002B">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spacing w:after="40" w:before="240" w:line="275.9999942779541" w:lineRule="auto"/>
        <w:rPr>
          <w:rFonts w:ascii="Google Sans" w:cs="Google Sans" w:eastAsia="Google Sans" w:hAnsi="Google Sans"/>
          <w:color w:val="1f1f1f"/>
          <w:sz w:val="22"/>
          <w:szCs w:val="22"/>
        </w:rPr>
      </w:pPr>
      <w:bookmarkStart w:colFirst="0" w:colLast="0" w:name="_dark4c86cvni" w:id="7"/>
      <w:bookmarkEnd w:id="7"/>
      <w:r w:rsidDel="00000000" w:rsidR="00000000" w:rsidRPr="00000000">
        <w:rPr>
          <w:rFonts w:ascii="Google Sans" w:cs="Google Sans" w:eastAsia="Google Sans" w:hAnsi="Google Sans"/>
          <w:color w:val="1f1f1f"/>
          <w:sz w:val="22"/>
          <w:szCs w:val="22"/>
          <w:rtl w:val="0"/>
        </w:rPr>
        <w:t xml:space="preserve">3. Legal/Technological Bottleneck — Mandatory Minimums</w:t>
      </w:r>
    </w:p>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sentencing rules, including mandatory minimums and guideline frameworks, function as durable constraint mechanisms. These rules reduce variability in sentencing outcomes and restrict judicial discretion once activated.</w:t>
      </w:r>
    </w:p>
    <w:p w:rsidR="00000000" w:rsidDel="00000000" w:rsidP="00000000" w:rsidRDefault="00000000" w:rsidRPr="00000000" w14:paraId="0000002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prosecutorial charging decisions determine whether such constraints are applied, effective control over sentencing ranges is partially shifted upstream. This creates a structural linkage between charging authority and downstream sentencing outcomes.</w:t>
      </w:r>
    </w:p>
    <w:p w:rsidR="00000000" w:rsidDel="00000000" w:rsidP="00000000" w:rsidRDefault="00000000" w:rsidRPr="00000000" w14:paraId="0000002F">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spacing w:after="40" w:before="240" w:line="275.9999942779541" w:lineRule="auto"/>
        <w:rPr>
          <w:rFonts w:ascii="Google Sans" w:cs="Google Sans" w:eastAsia="Google Sans" w:hAnsi="Google Sans"/>
          <w:color w:val="1f1f1f"/>
          <w:sz w:val="22"/>
          <w:szCs w:val="22"/>
        </w:rPr>
      </w:pPr>
      <w:bookmarkStart w:colFirst="0" w:colLast="0" w:name="_1drexgfyws2s" w:id="8"/>
      <w:bookmarkEnd w:id="8"/>
      <w:r w:rsidDel="00000000" w:rsidR="00000000" w:rsidRPr="00000000">
        <w:rPr>
          <w:rFonts w:ascii="Google Sans" w:cs="Google Sans" w:eastAsia="Google Sans" w:hAnsi="Google Sans"/>
          <w:color w:val="1f1f1f"/>
          <w:sz w:val="22"/>
          <w:szCs w:val="22"/>
          <w:rtl w:val="0"/>
        </w:rPr>
        <w:t xml:space="preserve">4. Informational Bottleneck — Plea Negotiation Process</w:t>
      </w:r>
    </w:p>
    <w:p w:rsidR="00000000" w:rsidDel="00000000" w:rsidP="00000000" w:rsidRDefault="00000000" w:rsidRPr="00000000" w14:paraId="0000003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 bargaining operates as a low-visibility process with limited formal documentation and minimal public scrutiny. Unlike trial proceedings, which are structured around evidentiary standards and transparency, plea negotiations occur in informal settings with constrained information flow.</w:t>
      </w:r>
    </w:p>
    <w:p w:rsidR="00000000" w:rsidDel="00000000" w:rsidP="00000000" w:rsidRDefault="00000000" w:rsidRPr="00000000" w14:paraId="0000003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informational structure limits external observability of decision dynamics and reduces the availability of feedback mechanisms that might otherwise influence system behavior. As a result, the process through which most cases are resolved operates largely outside the system’s most visible adjudicative framework.</w:t>
      </w:r>
    </w:p>
    <w:p w:rsidR="00000000" w:rsidDel="00000000" w:rsidP="00000000" w:rsidRDefault="00000000" w:rsidRPr="00000000" w14:paraId="0000003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spacing w:after="80" w:before="280" w:line="275.9999942779541" w:lineRule="auto"/>
        <w:rPr>
          <w:rFonts w:ascii="Google Sans" w:cs="Google Sans" w:eastAsia="Google Sans" w:hAnsi="Google Sans"/>
          <w:color w:val="1f1f1f"/>
          <w:sz w:val="26"/>
          <w:szCs w:val="26"/>
        </w:rPr>
      </w:pPr>
      <w:bookmarkStart w:colFirst="0" w:colLast="0" w:name="_g5hb4uk8x23o" w:id="9"/>
      <w:bookmarkEnd w:id="9"/>
      <w:r w:rsidDel="00000000" w:rsidR="00000000" w:rsidRPr="00000000">
        <w:rPr>
          <w:rFonts w:ascii="Google Sans" w:cs="Google Sans" w:eastAsia="Google Sans" w:hAnsi="Google Sans"/>
          <w:color w:val="1f1f1f"/>
          <w:sz w:val="26"/>
          <w:szCs w:val="26"/>
          <w:rtl w:val="0"/>
        </w:rPr>
        <w:t xml:space="preserve">2.4 Summary</w:t>
      </w:r>
    </w:p>
    <w:p w:rsidR="00000000" w:rsidDel="00000000" w:rsidP="00000000" w:rsidRDefault="00000000" w:rsidRPr="00000000" w14:paraId="000000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bottlenecks define the structural channels through which control is exercised. Rather than outcomes emerging solely from the independent actions of visible actors, they are shaped by:</w:t>
      </w:r>
    </w:p>
    <w:p w:rsidR="00000000" w:rsidDel="00000000" w:rsidP="00000000" w:rsidRDefault="00000000" w:rsidRPr="00000000" w14:paraId="00000036">
      <w:pPr>
        <w:numPr>
          <w:ilvl w:val="0"/>
          <w:numId w:val="3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constraints on defendants</w:t>
      </w:r>
    </w:p>
    <w:p w:rsidR="00000000" w:rsidDel="00000000" w:rsidP="00000000" w:rsidRDefault="00000000" w:rsidRPr="00000000" w14:paraId="00000037">
      <w:pPr>
        <w:numPr>
          <w:ilvl w:val="0"/>
          <w:numId w:val="3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asymmetries between adversarial parties</w:t>
      </w:r>
    </w:p>
    <w:p w:rsidR="00000000" w:rsidDel="00000000" w:rsidP="00000000" w:rsidRDefault="00000000" w:rsidRPr="00000000" w14:paraId="00000038">
      <w:pPr>
        <w:numPr>
          <w:ilvl w:val="0"/>
          <w:numId w:val="3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rules that define feasible sentencing ranges</w:t>
      </w:r>
    </w:p>
    <w:p w:rsidR="00000000" w:rsidDel="00000000" w:rsidP="00000000" w:rsidRDefault="00000000" w:rsidRPr="00000000" w14:paraId="00000039">
      <w:pPr>
        <w:numPr>
          <w:ilvl w:val="0"/>
          <w:numId w:val="3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structures that govern case resolution processes</w:t>
      </w:r>
    </w:p>
    <w:p w:rsidR="00000000" w:rsidDel="00000000" w:rsidP="00000000" w:rsidRDefault="00000000" w:rsidRPr="00000000" w14:paraId="0000003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constraints collectively determine the feasible action sets available to actors within the system, providing the foundation for subsequent analysis of control attribution under the C&amp;C framework.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Style w:val="Heading2"/>
        <w:spacing w:after="80" w:before="360" w:line="275.9999942779541" w:lineRule="auto"/>
        <w:rPr>
          <w:rFonts w:ascii="Google Sans" w:cs="Google Sans" w:eastAsia="Google Sans" w:hAnsi="Google Sans"/>
          <w:color w:val="1f1f1f"/>
          <w:sz w:val="34"/>
          <w:szCs w:val="34"/>
        </w:rPr>
      </w:pPr>
      <w:bookmarkStart w:colFirst="0" w:colLast="0" w:name="_5r53oq4oz0p2" w:id="10"/>
      <w:bookmarkEnd w:id="10"/>
      <w:r w:rsidDel="00000000" w:rsidR="00000000" w:rsidRPr="00000000">
        <w:rPr>
          <w:rFonts w:ascii="Google Sans" w:cs="Google Sans" w:eastAsia="Google Sans" w:hAnsi="Google Sans"/>
          <w:color w:val="1f1f1f"/>
          <w:sz w:val="34"/>
          <w:szCs w:val="34"/>
          <w:rtl w:val="0"/>
        </w:rPr>
        <w:t xml:space="preserve">3. Layer 1 — Residual Closure (H₁)</w:t>
      </w:r>
    </w:p>
    <w:p w:rsidR="00000000" w:rsidDel="00000000" w:rsidP="00000000" w:rsidRDefault="00000000" w:rsidRPr="00000000" w14:paraId="0000003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of the Conservation-and-Coherence (C&amp;C) framework evaluates whether a proposed causal model satisfies </w:t>
      </w:r>
      <w:r w:rsidDel="00000000" w:rsidR="00000000" w:rsidRPr="00000000">
        <w:rPr>
          <w:rFonts w:ascii="Google Sans" w:cs="Google Sans" w:eastAsia="Google Sans" w:hAnsi="Google Sans"/>
          <w:b w:val="1"/>
          <w:bCs w:val="1"/>
          <w:color w:val="1f1f1f"/>
          <w:rtl w:val="0"/>
        </w:rPr>
        <w:t xml:space="preserve">residual closure</w:t>
      </w:r>
      <w:r w:rsidDel="00000000" w:rsidR="00000000" w:rsidRPr="00000000">
        <w:rPr>
          <w:rFonts w:ascii="Google Sans" w:cs="Google Sans" w:eastAsia="Google Sans" w:hAnsi="Google Sans"/>
          <w:color w:val="1f1f1f"/>
          <w:rtl w:val="0"/>
        </w:rPr>
        <w:t xml:space="preserve"> under a control conservation assumption. For systems characterized by an OR-gate bottleneck structure, total control over outcomes must sum to unity:</w:t>
      </w:r>
    </w:p>
    <w:p w:rsidR="00000000" w:rsidDel="00000000" w:rsidP="00000000" w:rsidRDefault="00000000" w:rsidRPr="00000000" w14:paraId="0000003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∑i∈Aci=1\sum_{i \in \mathcal{A}} c_i = 1i∈A∑​ci​=1</w:t>
      </w:r>
    </w:p>
    <w:p w:rsidR="00000000" w:rsidDel="00000000" w:rsidP="00000000" w:rsidRDefault="00000000" w:rsidRPr="00000000" w14:paraId="0000003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ci∈[0,1]c_i \in [0,1]ci​∈[0,1] represents the attributed control share of actor iii, and the residual operator is defined as:</w:t>
      </w:r>
    </w:p>
    <w:p w:rsidR="00000000" w:rsidDel="00000000" w:rsidP="00000000" w:rsidRDefault="00000000" w:rsidRPr="00000000" w14:paraId="0000004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H1=1−∑i∈AciH_1 = 1 - \sum_{i \in \mathcal{A}} c_iH1​=1−i∈A∑​ci​</w:t>
      </w:r>
    </w:p>
    <w:p w:rsidR="00000000" w:rsidDel="00000000" w:rsidP="00000000" w:rsidRDefault="00000000" w:rsidRPr="00000000" w14:paraId="0000004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model exhibits closure when H1=0H_1 = 0H1​=0, indicating that all control over system outcomes has been fully attributed to observed actors.</w:t>
      </w:r>
    </w:p>
    <w:p w:rsidR="00000000" w:rsidDel="00000000" w:rsidP="00000000" w:rsidRDefault="00000000" w:rsidRPr="00000000" w14:paraId="00000042">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spacing w:after="80" w:before="280" w:line="275.9999942779541" w:lineRule="auto"/>
        <w:rPr>
          <w:rFonts w:ascii="Google Sans" w:cs="Google Sans" w:eastAsia="Google Sans" w:hAnsi="Google Sans"/>
          <w:color w:val="1f1f1f"/>
          <w:sz w:val="26"/>
          <w:szCs w:val="26"/>
        </w:rPr>
      </w:pPr>
      <w:bookmarkStart w:colFirst="0" w:colLast="0" w:name="_rsrvdfpde7f5" w:id="11"/>
      <w:bookmarkEnd w:id="11"/>
      <w:r w:rsidDel="00000000" w:rsidR="00000000" w:rsidRPr="00000000">
        <w:rPr>
          <w:rFonts w:ascii="Google Sans" w:cs="Google Sans" w:eastAsia="Google Sans" w:hAnsi="Google Sans"/>
          <w:color w:val="1f1f1f"/>
          <w:sz w:val="26"/>
          <w:szCs w:val="26"/>
          <w:rtl w:val="0"/>
        </w:rPr>
        <w:t xml:space="preserve">3.1 Narrative Closure</w:t>
      </w:r>
    </w:p>
    <w:p w:rsidR="00000000" w:rsidDel="00000000" w:rsidP="00000000" w:rsidRDefault="00000000" w:rsidRPr="00000000" w14:paraId="0000004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conventional narrative attribution of the U.S. criminal justice system, control over case outcomes is distributed across visible actors in a sequential and approximately symmetrical manner. A stylized representation of this model assigns control shares across the primary stages of adjudication:</w:t>
      </w:r>
    </w:p>
    <w:p w:rsidR="00000000" w:rsidDel="00000000" w:rsidP="00000000" w:rsidRDefault="00000000" w:rsidRPr="00000000" w14:paraId="00000045">
      <w:pPr>
        <w:numPr>
          <w:ilvl w:val="0"/>
          <w:numId w:val="3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 enforcement (arrest and evidence gathering)</w:t>
      </w:r>
    </w:p>
    <w:p w:rsidR="00000000" w:rsidDel="00000000" w:rsidP="00000000" w:rsidRDefault="00000000" w:rsidRPr="00000000" w14:paraId="00000046">
      <w:pPr>
        <w:numPr>
          <w:ilvl w:val="0"/>
          <w:numId w:val="3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Prosecutors (charging and case presentation)</w:t>
      </w:r>
    </w:p>
    <w:p w:rsidR="00000000" w:rsidDel="00000000" w:rsidP="00000000" w:rsidRDefault="00000000" w:rsidRPr="00000000" w14:paraId="00000047">
      <w:pPr>
        <w:numPr>
          <w:ilvl w:val="0"/>
          <w:numId w:val="3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Defense counsel (adversarial testing)</w:t>
      </w:r>
    </w:p>
    <w:p w:rsidR="00000000" w:rsidDel="00000000" w:rsidP="00000000" w:rsidRDefault="00000000" w:rsidRPr="00000000" w14:paraId="00000048">
      <w:pPr>
        <w:numPr>
          <w:ilvl w:val="0"/>
          <w:numId w:val="3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(legal rulings and sentencing discretion)</w:t>
      </w:r>
    </w:p>
    <w:p w:rsidR="00000000" w:rsidDel="00000000" w:rsidP="00000000" w:rsidRDefault="00000000" w:rsidRPr="00000000" w14:paraId="00000049">
      <w:pPr>
        <w:numPr>
          <w:ilvl w:val="0"/>
          <w:numId w:val="3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Juries (ultimate fact-finding)</w:t>
      </w:r>
    </w:p>
    <w:p w:rsidR="00000000" w:rsidDel="00000000" w:rsidP="00000000" w:rsidRDefault="00000000" w:rsidRPr="00000000" w14:paraId="0000004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idealized “civics-textbook” model, control is treated as fully allocated across these actors, yielding:</w:t>
      </w:r>
    </w:p>
    <w:p w:rsidR="00000000" w:rsidDel="00000000" w:rsidP="00000000" w:rsidRDefault="00000000" w:rsidRPr="00000000" w14:paraId="0000004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∑ci≈1⇒H1≈0\sum c_i \approx 1 \quad \Rightarrow \quad H_1 \approx 0∑ci​≈1⇒H1​≈0</w:t>
      </w:r>
    </w:p>
    <w:p w:rsidR="00000000" w:rsidDel="00000000" w:rsidP="00000000" w:rsidRDefault="00000000" w:rsidRPr="00000000" w14:paraId="0000004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representation, the system appears closed: outcomes are explained as the result of balanced, distributed contributions from independent actors, and no additional sources of control are indicated.</w:t>
      </w:r>
    </w:p>
    <w:p w:rsidR="00000000" w:rsidDel="00000000" w:rsidP="00000000" w:rsidRDefault="00000000" w:rsidRPr="00000000" w14:paraId="0000004D">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spacing w:after="80" w:before="280" w:line="275.9999942779541" w:lineRule="auto"/>
        <w:rPr>
          <w:rFonts w:ascii="Google Sans" w:cs="Google Sans" w:eastAsia="Google Sans" w:hAnsi="Google Sans"/>
          <w:color w:val="1f1f1f"/>
          <w:sz w:val="26"/>
          <w:szCs w:val="26"/>
        </w:rPr>
      </w:pPr>
      <w:bookmarkStart w:colFirst="0" w:colLast="0" w:name="_23ok0h9o242u" w:id="12"/>
      <w:bookmarkEnd w:id="12"/>
      <w:r w:rsidDel="00000000" w:rsidR="00000000" w:rsidRPr="00000000">
        <w:rPr>
          <w:rFonts w:ascii="Google Sans" w:cs="Google Sans" w:eastAsia="Google Sans" w:hAnsi="Google Sans"/>
          <w:color w:val="1f1f1f"/>
          <w:sz w:val="26"/>
          <w:szCs w:val="26"/>
          <w:rtl w:val="0"/>
        </w:rPr>
        <w:t xml:space="preserve">3.2 False Closure and Proxy Invisibility</w:t>
      </w:r>
    </w:p>
    <w:p w:rsidR="00000000" w:rsidDel="00000000" w:rsidP="00000000" w:rsidRDefault="00000000" w:rsidRPr="00000000" w14:paraId="0000004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C&amp;C framework, however, explicitly identifies a failure mode in which closure is achieved through </w:t>
      </w:r>
      <w:r w:rsidDel="00000000" w:rsidR="00000000" w:rsidRPr="00000000">
        <w:rPr>
          <w:rFonts w:ascii="Google Sans" w:cs="Google Sans" w:eastAsia="Google Sans" w:hAnsi="Google Sans"/>
          <w:b w:val="1"/>
          <w:bCs w:val="1"/>
          <w:color w:val="1f1f1f"/>
          <w:rtl w:val="0"/>
        </w:rPr>
        <w:t xml:space="preserve">misattribution of control to proxy actors</w:t>
      </w:r>
      <w:r w:rsidDel="00000000" w:rsidR="00000000" w:rsidRPr="00000000">
        <w:rPr>
          <w:rFonts w:ascii="Google Sans" w:cs="Google Sans" w:eastAsia="Google Sans" w:hAnsi="Google Sans"/>
          <w:color w:val="1f1f1f"/>
          <w:rtl w:val="0"/>
        </w:rPr>
        <w:t xml:space="preserve">. Theorem 2 (Proxy Invisibility) establishes that inference based solely on enumerated actors can be satisfied even when effective control is exercised indirectly through those actors.¹⁰</w:t>
      </w:r>
    </w:p>
    <w:p w:rsidR="00000000" w:rsidDel="00000000" w:rsidP="00000000" w:rsidRDefault="00000000" w:rsidRPr="00000000" w14:paraId="0000005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criminal justice system, the narrative attribution of control to judges and juries depends on two implicit assumptions:</w:t>
      </w:r>
    </w:p>
    <w:p w:rsidR="00000000" w:rsidDel="00000000" w:rsidP="00000000" w:rsidRDefault="00000000" w:rsidRPr="00000000" w14:paraId="00000051">
      <w:pPr>
        <w:numPr>
          <w:ilvl w:val="0"/>
          <w:numId w:val="17"/>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cases routinely reach these actors</w:t>
      </w:r>
    </w:p>
    <w:p w:rsidR="00000000" w:rsidDel="00000000" w:rsidP="00000000" w:rsidRDefault="00000000" w:rsidRPr="00000000" w14:paraId="00000052">
      <w:pPr>
        <w:numPr>
          <w:ilvl w:val="0"/>
          <w:numId w:val="17"/>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these actors operate with meaningful, unconstrained decision authority</w:t>
      </w:r>
    </w:p>
    <w:p w:rsidR="00000000" w:rsidDel="00000000" w:rsidP="00000000" w:rsidRDefault="00000000" w:rsidRPr="00000000" w14:paraId="0000005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system behavior challenges both assumptions. Because approximately 90–97% of cases are resolved through plea agreements, the role of the jury—and, to a lesser extent, the judge as an independent adjudicator—is limited for the majority of case outcomes.⁴</w:t>
      </w:r>
    </w:p>
    <w:p w:rsidR="00000000" w:rsidDel="00000000" w:rsidP="00000000" w:rsidRDefault="00000000" w:rsidRPr="00000000" w14:paraId="00000054">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spacing w:after="80" w:before="280" w:line="275.9999942779541" w:lineRule="auto"/>
        <w:rPr>
          <w:rFonts w:ascii="Google Sans" w:cs="Google Sans" w:eastAsia="Google Sans" w:hAnsi="Google Sans"/>
          <w:color w:val="1f1f1f"/>
          <w:sz w:val="26"/>
          <w:szCs w:val="26"/>
        </w:rPr>
      </w:pPr>
      <w:bookmarkStart w:colFirst="0" w:colLast="0" w:name="_gwmv114091a6" w:id="13"/>
      <w:bookmarkEnd w:id="13"/>
      <w:r w:rsidDel="00000000" w:rsidR="00000000" w:rsidRPr="00000000">
        <w:rPr>
          <w:rFonts w:ascii="Google Sans" w:cs="Google Sans" w:eastAsia="Google Sans" w:hAnsi="Google Sans"/>
          <w:color w:val="1f1f1f"/>
          <w:sz w:val="26"/>
          <w:szCs w:val="26"/>
          <w:rtl w:val="0"/>
        </w:rPr>
        <w:t xml:space="preserve">3.3 Operational Implications</w:t>
      </w:r>
    </w:p>
    <w:p w:rsidR="00000000" w:rsidDel="00000000" w:rsidP="00000000" w:rsidRDefault="00000000" w:rsidRPr="00000000" w14:paraId="0000005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component of the narrative model is rarely activated in practice, its effective contribution to outcome determination is correspondingly reduced. In this context, the control share attributed to jury-based fact-finding is operationally near zero for most cases, despite its formal prominence in the narrative model.</w:t>
      </w:r>
    </w:p>
    <w:p w:rsidR="00000000" w:rsidDel="00000000" w:rsidP="00000000" w:rsidRDefault="00000000" w:rsidRPr="00000000" w14:paraId="0000005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preserve closure (H1=0H_1 = 0H1​=0), the narrative model implicitly reallocates control to other actors within the observed set. One such reallocation occurs through the treatment of the defendant’s guilty plea as an autonomous, decision-determining action. Under this interpretation, the defendant is assumed to absorb the control share that would otherwise be attributed to trial-based adjudication.</w:t>
      </w:r>
    </w:p>
    <w:p w:rsidR="00000000" w:rsidDel="00000000" w:rsidP="00000000" w:rsidRDefault="00000000" w:rsidRPr="00000000" w14:paraId="0000005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interpretation raises a structural question:</w:t>
      </w:r>
    </w:p>
    <w:p w:rsidR="00000000" w:rsidDel="00000000" w:rsidP="00000000" w:rsidRDefault="00000000" w:rsidRPr="00000000" w14:paraId="00000059">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the defendant’s decision represent independent control, or is it shaped by constraints imposed elsewhere in the system?</w:t>
      </w:r>
    </w:p>
    <w:p w:rsidR="00000000" w:rsidDel="00000000" w:rsidP="00000000" w:rsidRDefault="00000000" w:rsidRPr="00000000" w14:paraId="0000005A">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spacing w:after="80" w:before="280" w:line="275.9999942779541" w:lineRule="auto"/>
        <w:rPr>
          <w:rFonts w:ascii="Google Sans" w:cs="Google Sans" w:eastAsia="Google Sans" w:hAnsi="Google Sans"/>
          <w:color w:val="1f1f1f"/>
          <w:sz w:val="26"/>
          <w:szCs w:val="26"/>
        </w:rPr>
      </w:pPr>
      <w:bookmarkStart w:colFirst="0" w:colLast="0" w:name="_2qz2ay5szktw" w:id="14"/>
      <w:bookmarkEnd w:id="14"/>
      <w:r w:rsidDel="00000000" w:rsidR="00000000" w:rsidRPr="00000000">
        <w:rPr>
          <w:rFonts w:ascii="Google Sans" w:cs="Google Sans" w:eastAsia="Google Sans" w:hAnsi="Google Sans"/>
          <w:color w:val="1f1f1f"/>
          <w:sz w:val="26"/>
          <w:szCs w:val="26"/>
          <w:rtl w:val="0"/>
        </w:rPr>
        <w:t xml:space="preserve">3.4 Transition to Layer 2</w:t>
      </w:r>
    </w:p>
    <w:p w:rsidR="00000000" w:rsidDel="00000000" w:rsidP="00000000" w:rsidRDefault="00000000" w:rsidRPr="00000000" w14:paraId="0000005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alone cannot resolve this question. The residual operator is satisfied under the narrative model, but this satisfaction may reflect </w:t>
      </w:r>
      <w:r w:rsidDel="00000000" w:rsidR="00000000" w:rsidRPr="00000000">
        <w:rPr>
          <w:rFonts w:ascii="Google Sans" w:cs="Google Sans" w:eastAsia="Google Sans" w:hAnsi="Google Sans"/>
          <w:b w:val="1"/>
          <w:bCs w:val="1"/>
          <w:color w:val="1f1f1f"/>
          <w:rtl w:val="0"/>
        </w:rPr>
        <w:t xml:space="preserve">proxy attribution rather than genuine closure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distinguish between these possibilities, the analysis proceeds to Layer 2 (Constraint Equivalence), which evaluates whether actors attributed with control are operating over unconstrained feasible sets or within decision spaces shaped by upstream constraint-setting mechanisms.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Style w:val="Heading2"/>
        <w:spacing w:after="80" w:before="360" w:line="275.9999942779541" w:lineRule="auto"/>
        <w:rPr>
          <w:rFonts w:ascii="Google Sans" w:cs="Google Sans" w:eastAsia="Google Sans" w:hAnsi="Google Sans"/>
          <w:color w:val="1f1f1f"/>
          <w:sz w:val="34"/>
          <w:szCs w:val="34"/>
        </w:rPr>
      </w:pPr>
      <w:bookmarkStart w:colFirst="0" w:colLast="0" w:name="_vz483n4z6hlt" w:id="15"/>
      <w:bookmarkEnd w:id="15"/>
      <w:r w:rsidDel="00000000" w:rsidR="00000000" w:rsidRPr="00000000">
        <w:rPr>
          <w:rFonts w:ascii="Google Sans" w:cs="Google Sans" w:eastAsia="Google Sans" w:hAnsi="Google Sans"/>
          <w:color w:val="1f1f1f"/>
          <w:sz w:val="34"/>
          <w:szCs w:val="34"/>
          <w:rtl w:val="0"/>
        </w:rPr>
        <w:t xml:space="preserve">4. Layer 2 — Constraint Equivalence</w:t>
      </w:r>
    </w:p>
    <w:p w:rsidR="00000000" w:rsidDel="00000000" w:rsidP="00000000" w:rsidRDefault="00000000" w:rsidRPr="00000000" w14:paraId="0000006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of the Conservation-and-Coherence (C&amp;C) framework evaluates whether actors attributed with control are operating over unconstrained feasible sets or within decision spaces modified by upstream constraint-setting mechanisms. Under the principle of </w:t>
      </w:r>
      <w:r w:rsidDel="00000000" w:rsidR="00000000" w:rsidRPr="00000000">
        <w:rPr>
          <w:rFonts w:ascii="Google Sans" w:cs="Google Sans" w:eastAsia="Google Sans" w:hAnsi="Google Sans"/>
          <w:b w:val="1"/>
          <w:bCs w:val="1"/>
          <w:color w:val="1f1f1f"/>
          <w:rtl w:val="0"/>
        </w:rPr>
        <w:t xml:space="preserve">constraint equivalence</w:t>
      </w:r>
      <w:r w:rsidDel="00000000" w:rsidR="00000000" w:rsidRPr="00000000">
        <w:rPr>
          <w:rFonts w:ascii="Google Sans" w:cs="Google Sans" w:eastAsia="Google Sans" w:hAnsi="Google Sans"/>
          <w:color w:val="1f1f1f"/>
          <w:rtl w:val="0"/>
        </w:rPr>
        <w:t xml:space="preserve">, an actor who determines another actor’s feasible set exerts effective control over system outcomes, even when the downstream actor retains formal decision authority.</w:t>
      </w:r>
    </w:p>
    <w:p w:rsidR="00000000" w:rsidDel="00000000" w:rsidP="00000000" w:rsidRDefault="00000000" w:rsidRPr="00000000" w14:paraId="0000006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Layer 1 is motivated by the possibility of </w:t>
      </w:r>
      <w:r w:rsidDel="00000000" w:rsidR="00000000" w:rsidRPr="00000000">
        <w:rPr>
          <w:rFonts w:ascii="Google Sans" w:cs="Google Sans" w:eastAsia="Google Sans" w:hAnsi="Google Sans"/>
          <w:b w:val="1"/>
          <w:bCs w:val="1"/>
          <w:color w:val="1f1f1f"/>
          <w:rtl w:val="0"/>
        </w:rPr>
        <w:t xml:space="preserve">false closure</w:t>
      </w:r>
      <w:r w:rsidDel="00000000" w:rsidR="00000000" w:rsidRPr="00000000">
        <w:rPr>
          <w:rFonts w:ascii="Google Sans" w:cs="Google Sans" w:eastAsia="Google Sans" w:hAnsi="Google Sans"/>
          <w:color w:val="1f1f1f"/>
          <w:rtl w:val="0"/>
        </w:rPr>
        <w:t xml:space="preserve">: a system may appear to allocate control across visible actors while actual control is exercised through constraints on those actors’ choices.</w:t>
      </w:r>
    </w:p>
    <w:p w:rsidR="00000000" w:rsidDel="00000000" w:rsidP="00000000" w:rsidRDefault="00000000" w:rsidRPr="00000000" w14:paraId="0000006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Empowerment Divergence Score (EDS) provides a diagnostic trigger for this analysis by identifying actors whose </w:t>
      </w:r>
      <w:r w:rsidDel="00000000" w:rsidR="00000000" w:rsidRPr="00000000">
        <w:rPr>
          <w:rFonts w:ascii="Google Sans" w:cs="Google Sans" w:eastAsia="Google Sans" w:hAnsi="Google Sans"/>
          <w:b w:val="1"/>
          <w:bCs w:val="1"/>
          <w:color w:val="1f1f1f"/>
          <w:rtl w:val="0"/>
        </w:rPr>
        <w:t xml:space="preserve">narratively attributed leverage exceeds their observed behavioral influence</w:t>
      </w:r>
      <w:r w:rsidDel="00000000" w:rsidR="00000000" w:rsidRPr="00000000">
        <w:rPr>
          <w:rFonts w:ascii="Google Sans" w:cs="Google Sans" w:eastAsia="Google Sans" w:hAnsi="Google Sans"/>
          <w:color w:val="1f1f1f"/>
          <w:rtl w:val="0"/>
        </w:rPr>
        <w:t xml:space="preserve">.¹⁰ When such divergence is present, constraint-based re-attribution is required.</w:t>
      </w:r>
    </w:p>
    <w:p w:rsidR="00000000" w:rsidDel="00000000" w:rsidP="00000000" w:rsidRDefault="00000000" w:rsidRPr="00000000" w14:paraId="0000006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spacing w:after="80" w:before="280" w:line="275.9999942779541" w:lineRule="auto"/>
        <w:rPr>
          <w:rFonts w:ascii="Google Sans" w:cs="Google Sans" w:eastAsia="Google Sans" w:hAnsi="Google Sans"/>
          <w:color w:val="1f1f1f"/>
          <w:sz w:val="26"/>
          <w:szCs w:val="26"/>
        </w:rPr>
      </w:pPr>
      <w:bookmarkStart w:colFirst="0" w:colLast="0" w:name="_ym8j7nx77uxn" w:id="16"/>
      <w:bookmarkEnd w:id="16"/>
      <w:r w:rsidDel="00000000" w:rsidR="00000000" w:rsidRPr="00000000">
        <w:rPr>
          <w:rFonts w:ascii="Google Sans" w:cs="Google Sans" w:eastAsia="Google Sans" w:hAnsi="Google Sans"/>
          <w:color w:val="1f1f1f"/>
          <w:sz w:val="26"/>
          <w:szCs w:val="26"/>
          <w:rtl w:val="0"/>
        </w:rPr>
        <w:t xml:space="preserve">4.1 The Judicial Proxy and Mandatory Minimums</w:t>
      </w:r>
    </w:p>
    <w:p w:rsidR="00000000" w:rsidDel="00000000" w:rsidP="00000000" w:rsidRDefault="00000000" w:rsidRPr="00000000" w14:paraId="0000006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narrative model, judges are assigned substantial control as the final arbiters of sentencing. However, applying the constraint equivalence theorem reveals that the judicial feasible set OjudgeO_{\text{judge}}Ojudge​ is often restricted by upstream constraint maps.</w:t>
      </w:r>
    </w:p>
    <w:p w:rsidR="00000000" w:rsidDel="00000000" w:rsidP="00000000" w:rsidRDefault="00000000" w:rsidRPr="00000000" w14:paraId="0000006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minimum sentencing statutes and guideline regimes function as constraint maps ϕleg/pros\phi_{\text{leg/pros}}ϕleg/pros​ introduced by legislatures and activated through prosecutorial charging decisions. Once a qualifying charge is applied, the judge’s nominal sentencing range is truncated.</w:t>
      </w:r>
    </w:p>
    <w:p w:rsidR="00000000" w:rsidDel="00000000" w:rsidP="00000000" w:rsidRDefault="00000000" w:rsidRPr="00000000" w14:paraId="0000006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relationship can be formalized through a </w:t>
      </w:r>
      <w:r w:rsidDel="00000000" w:rsidR="00000000" w:rsidRPr="00000000">
        <w:rPr>
          <w:rFonts w:ascii="Google Sans" w:cs="Google Sans" w:eastAsia="Google Sans" w:hAnsi="Google Sans"/>
          <w:b w:val="1"/>
          <w:bCs w:val="1"/>
          <w:color w:val="1f1f1f"/>
          <w:rtl w:val="0"/>
        </w:rPr>
        <w:t xml:space="preserve">constraint control coefficient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CC(A→i)=1−∣ϕA(Oi)∣∣Oi∣CC(A \rightarrow i) = 1 - \frac{|\phi_A(O_i)|}{|O_i|}CC(A→i)=1−∣Oi​∣∣ϕA​(Oi​)∣​</w:t>
      </w:r>
    </w:p>
    <w:p w:rsidR="00000000" w:rsidDel="00000000" w:rsidP="00000000" w:rsidRDefault="00000000" w:rsidRPr="00000000" w14:paraId="0000006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OiO_iOi​ is the nominal feasible set and ϕA(Oi)\phi_A(O_i)ϕA​(Oi​) is the constrained set imposed by actor AAA.</w:t>
      </w:r>
    </w:p>
    <w:p w:rsidR="00000000" w:rsidDel="00000000" w:rsidP="00000000" w:rsidRDefault="00000000" w:rsidRPr="00000000" w14:paraId="0000006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cases involving binding mandatory minimums, CC(Prosecutor→Judge)CC(\text{Prosecutor} \rightarrow \text{Judge})CC(Prosecutor→Judge) approaches 1, as the judge retains limited variance in sentencing outcomes. Empirical research supports this structural shift, indicating that mandatory minimums reduce judicial discretion and increase prosecutorial influence over final sentencing ranges.¹⁴</w:t>
      </w:r>
    </w:p>
    <w:p w:rsidR="00000000" w:rsidDel="00000000" w:rsidP="00000000" w:rsidRDefault="00000000" w:rsidRPr="00000000" w14:paraId="0000006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these conditions, the judge operates as a </w:t>
      </w:r>
      <w:r w:rsidDel="00000000" w:rsidR="00000000" w:rsidRPr="00000000">
        <w:rPr>
          <w:rFonts w:ascii="Google Sans" w:cs="Google Sans" w:eastAsia="Google Sans" w:hAnsi="Google Sans"/>
          <w:b w:val="1"/>
          <w:bCs w:val="1"/>
          <w:color w:val="1f1f1f"/>
          <w:rtl w:val="0"/>
        </w:rPr>
        <w:t xml:space="preserve">constrained executor</w:t>
      </w:r>
      <w:r w:rsidDel="00000000" w:rsidR="00000000" w:rsidRPr="00000000">
        <w:rPr>
          <w:rFonts w:ascii="Google Sans" w:cs="Google Sans" w:eastAsia="Google Sans" w:hAnsi="Google Sans"/>
          <w:color w:val="1f1f1f"/>
          <w:rtl w:val="0"/>
        </w:rPr>
        <w:t xml:space="preserve"> rather than an independent controller.</w:t>
      </w:r>
    </w:p>
    <w:p w:rsidR="00000000" w:rsidDel="00000000" w:rsidP="00000000" w:rsidRDefault="00000000" w:rsidRPr="00000000" w14:paraId="0000006C">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spacing w:after="80" w:before="280" w:line="275.9999942779541" w:lineRule="auto"/>
        <w:rPr>
          <w:rFonts w:ascii="Google Sans" w:cs="Google Sans" w:eastAsia="Google Sans" w:hAnsi="Google Sans"/>
          <w:color w:val="1f1f1f"/>
          <w:sz w:val="26"/>
          <w:szCs w:val="26"/>
        </w:rPr>
      </w:pPr>
      <w:bookmarkStart w:colFirst="0" w:colLast="0" w:name="_mw7l89q949sy" w:id="17"/>
      <w:bookmarkEnd w:id="17"/>
      <w:r w:rsidDel="00000000" w:rsidR="00000000" w:rsidRPr="00000000">
        <w:rPr>
          <w:rFonts w:ascii="Google Sans" w:cs="Google Sans" w:eastAsia="Google Sans" w:hAnsi="Google Sans"/>
          <w:color w:val="1f1f1f"/>
          <w:sz w:val="26"/>
          <w:szCs w:val="26"/>
          <w:rtl w:val="0"/>
        </w:rPr>
        <w:t xml:space="preserve">4.2 The Defendant Proxy and Constraint-Driven Decision Topology</w:t>
      </w:r>
    </w:p>
    <w:p w:rsidR="00000000" w:rsidDel="00000000" w:rsidP="00000000" w:rsidRDefault="00000000" w:rsidRPr="00000000" w14:paraId="0000006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narrative model, guilty pleas are interpreted as autonomous decisions by defendants, implicitly absorbing the control share of trial-based adjudication. However, within the Agency Calculus framework, an agent’s capacity to exercise meaningful choice depends on the integrity of the POLI components: </w:t>
      </w:r>
      <w:r w:rsidDel="00000000" w:rsidR="00000000" w:rsidRPr="00000000">
        <w:rPr>
          <w:rFonts w:ascii="Google Sans" w:cs="Google Sans" w:eastAsia="Google Sans" w:hAnsi="Google Sans"/>
          <w:b w:val="1"/>
          <w:bCs w:val="1"/>
          <w:color w:val="1f1f1f"/>
          <w:rtl w:val="0"/>
        </w:rPr>
        <w:t xml:space="preserve">Prerequisites (P), Options (O), Levers (L), and Impact (I)</w:t>
      </w:r>
      <w:r w:rsidDel="00000000" w:rsidR="00000000" w:rsidRPr="00000000">
        <w:rPr>
          <w:rFonts w:ascii="Google Sans" w:cs="Google Sans" w:eastAsia="Google Sans" w:hAnsi="Google Sans"/>
          <w:color w:val="1f1f1f"/>
          <w:rtl w:val="0"/>
        </w:rPr>
        <w:t xml:space="preserve">.¹⁰</w:t>
      </w:r>
    </w:p>
    <w:p w:rsidR="00000000" w:rsidDel="00000000" w:rsidP="00000000" w:rsidRDefault="00000000" w:rsidRPr="00000000" w14:paraId="0000006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primary constraint maps systematically alter the defendant’s feasible set:</w:t>
      </w:r>
    </w:p>
    <w:p w:rsidR="00000000" w:rsidDel="00000000" w:rsidP="00000000" w:rsidRDefault="00000000" w:rsidRPr="00000000" w14:paraId="00000070">
      <w:pPr>
        <w:pStyle w:val="Heading4"/>
        <w:spacing w:after="40" w:before="240" w:line="275.9999942779541" w:lineRule="auto"/>
        <w:rPr>
          <w:rFonts w:ascii="Google Sans" w:cs="Google Sans" w:eastAsia="Google Sans" w:hAnsi="Google Sans"/>
          <w:color w:val="1f1f1f"/>
          <w:sz w:val="22"/>
          <w:szCs w:val="22"/>
        </w:rPr>
      </w:pPr>
      <w:bookmarkStart w:colFirst="0" w:colLast="0" w:name="_mv710vlstpe7" w:id="18"/>
      <w:bookmarkEnd w:id="18"/>
      <w:r w:rsidDel="00000000" w:rsidR="00000000" w:rsidRPr="00000000">
        <w:rPr>
          <w:rFonts w:ascii="Google Sans" w:cs="Google Sans" w:eastAsia="Google Sans" w:hAnsi="Google Sans"/>
          <w:color w:val="1f1f1f"/>
          <w:sz w:val="22"/>
          <w:szCs w:val="22"/>
          <w:rtl w:val="0"/>
        </w:rPr>
        <w:t xml:space="preserve">(1) Trial Penalty Constraint ϕtrial\phi_{\text{trial}}ϕtrial​</w:t>
      </w:r>
    </w:p>
    <w:p w:rsidR="00000000" w:rsidDel="00000000" w:rsidP="00000000" w:rsidRDefault="00000000" w:rsidRPr="00000000" w14:paraId="0000007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indicates that sentences imposed following trial are, on average, substantially longer than those resulting from plea agreements.⁴ This differential alters the expected utility of available options, making trial a higher-risk pathway relative to plea resolution.</w:t>
      </w:r>
    </w:p>
    <w:p w:rsidR="00000000" w:rsidDel="00000000" w:rsidP="00000000" w:rsidRDefault="00000000" w:rsidRPr="00000000" w14:paraId="0000007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such conditions, the feasible set is not eliminated but </w:t>
      </w:r>
      <w:r w:rsidDel="00000000" w:rsidR="00000000" w:rsidRPr="00000000">
        <w:rPr>
          <w:rFonts w:ascii="Google Sans" w:cs="Google Sans" w:eastAsia="Google Sans" w:hAnsi="Google Sans"/>
          <w:b w:val="1"/>
          <w:bCs w:val="1"/>
          <w:color w:val="1f1f1f"/>
          <w:rtl w:val="0"/>
        </w:rPr>
        <w:t xml:space="preserve">skewed</w:t>
      </w:r>
      <w:r w:rsidDel="00000000" w:rsidR="00000000" w:rsidRPr="00000000">
        <w:rPr>
          <w:rFonts w:ascii="Google Sans" w:cs="Google Sans" w:eastAsia="Google Sans" w:hAnsi="Google Sans"/>
          <w:color w:val="1f1f1f"/>
          <w:rtl w:val="0"/>
        </w:rPr>
        <w:t xml:space="preserve">, such that one option dominates under risk-sensitive decision criteria.</w:t>
      </w:r>
    </w:p>
    <w:p w:rsidR="00000000" w:rsidDel="00000000" w:rsidP="00000000" w:rsidRDefault="00000000" w:rsidRPr="00000000" w14:paraId="0000007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spacing w:after="40" w:before="240" w:line="275.9999942779541" w:lineRule="auto"/>
        <w:rPr>
          <w:rFonts w:ascii="Google Sans" w:cs="Google Sans" w:eastAsia="Google Sans" w:hAnsi="Google Sans"/>
          <w:color w:val="1f1f1f"/>
          <w:sz w:val="22"/>
          <w:szCs w:val="22"/>
        </w:rPr>
      </w:pPr>
      <w:bookmarkStart w:colFirst="0" w:colLast="0" w:name="_cg9fc4kp0cvy" w:id="19"/>
      <w:bookmarkEnd w:id="19"/>
      <w:r w:rsidDel="00000000" w:rsidR="00000000" w:rsidRPr="00000000">
        <w:rPr>
          <w:rFonts w:ascii="Google Sans" w:cs="Google Sans" w:eastAsia="Google Sans" w:hAnsi="Google Sans"/>
          <w:color w:val="1f1f1f"/>
          <w:sz w:val="22"/>
          <w:szCs w:val="22"/>
          <w:rtl w:val="0"/>
        </w:rPr>
        <w:t xml:space="preserve">(2) Pretrial Detention Constraint ϕbail\phi_{\text{bail}}ϕbail​</w:t>
      </w:r>
    </w:p>
    <w:p w:rsidR="00000000" w:rsidDel="00000000" w:rsidP="00000000" w:rsidRDefault="00000000" w:rsidRPr="00000000" w14:paraId="0000007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defendants unable to secure pretrial release, detention imposes immediate constraints on employment, housing, and social stability. These pressures affect the Prerequisites (P) dimension of the POLI loop, reducing the agent’s capacity to sustain prolonged adjudication.</w:t>
      </w:r>
    </w:p>
    <w:p w:rsidR="00000000" w:rsidDel="00000000" w:rsidP="00000000" w:rsidRDefault="00000000" w:rsidRPr="00000000" w14:paraId="0000007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studies show that pretrial detention is associated with increased likelihood of guilty plea and conviction.⁴ These patterns are consistent with a system in which temporal constraints shift decision pathways toward expedited resolution.</w:t>
      </w:r>
    </w:p>
    <w:p w:rsidR="00000000" w:rsidDel="00000000" w:rsidP="00000000" w:rsidRDefault="00000000" w:rsidRPr="00000000" w14:paraId="00000077">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spacing w:after="80" w:before="280" w:line="275.9999942779541" w:lineRule="auto"/>
        <w:rPr>
          <w:rFonts w:ascii="Google Sans" w:cs="Google Sans" w:eastAsia="Google Sans" w:hAnsi="Google Sans"/>
          <w:color w:val="1f1f1f"/>
          <w:sz w:val="26"/>
          <w:szCs w:val="26"/>
        </w:rPr>
      </w:pPr>
      <w:bookmarkStart w:colFirst="0" w:colLast="0" w:name="_q0524daejabf" w:id="20"/>
      <w:bookmarkEnd w:id="20"/>
      <w:r w:rsidDel="00000000" w:rsidR="00000000" w:rsidRPr="00000000">
        <w:rPr>
          <w:rFonts w:ascii="Google Sans" w:cs="Google Sans" w:eastAsia="Google Sans" w:hAnsi="Google Sans"/>
          <w:color w:val="1f1f1f"/>
          <w:sz w:val="26"/>
          <w:szCs w:val="26"/>
          <w:rtl w:val="0"/>
        </w:rPr>
        <w:t xml:space="preserve">Interpretation</w:t>
      </w:r>
    </w:p>
    <w:p w:rsidR="00000000" w:rsidDel="00000000" w:rsidP="00000000" w:rsidRDefault="00000000" w:rsidRPr="00000000" w14:paraId="0000007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constraints reshape the defendant’s decision topology. Rather than eliminating choice, they </w:t>
      </w:r>
      <w:r w:rsidDel="00000000" w:rsidR="00000000" w:rsidRPr="00000000">
        <w:rPr>
          <w:rFonts w:ascii="Google Sans" w:cs="Google Sans" w:eastAsia="Google Sans" w:hAnsi="Google Sans"/>
          <w:b w:val="1"/>
          <w:bCs w:val="1"/>
          <w:color w:val="1f1f1f"/>
          <w:rtl w:val="0"/>
        </w:rPr>
        <w:t xml:space="preserve">compress and skew the feasible set</w:t>
      </w:r>
      <w:r w:rsidDel="00000000" w:rsidR="00000000" w:rsidRPr="00000000">
        <w:rPr>
          <w:rFonts w:ascii="Google Sans" w:cs="Google Sans" w:eastAsia="Google Sans" w:hAnsi="Google Sans"/>
          <w:color w:val="1f1f1f"/>
          <w:rtl w:val="0"/>
        </w:rPr>
        <w:t xml:space="preserve">, making plea acceptance the dominant strategy under many conditions.</w:t>
      </w:r>
    </w:p>
    <w:p w:rsidR="00000000" w:rsidDel="00000000" w:rsidP="00000000" w:rsidRDefault="00000000" w:rsidRPr="00000000" w14:paraId="0000007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Accordingly, the defendant’s observed behavior can be interpreted as a locally rational response within a constrained environment, rather than as an independent source of control.</w:t>
      </w:r>
    </w:p>
    <w:p w:rsidR="00000000" w:rsidDel="00000000" w:rsidP="00000000" w:rsidRDefault="00000000" w:rsidRPr="00000000" w14:paraId="0000007B">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spacing w:after="80" w:before="280" w:line="275.9999942779541" w:lineRule="auto"/>
        <w:rPr>
          <w:rFonts w:ascii="Google Sans" w:cs="Google Sans" w:eastAsia="Google Sans" w:hAnsi="Google Sans"/>
          <w:color w:val="1f1f1f"/>
          <w:sz w:val="26"/>
          <w:szCs w:val="26"/>
        </w:rPr>
      </w:pPr>
      <w:bookmarkStart w:colFirst="0" w:colLast="0" w:name="_uzxheflm5gyz" w:id="21"/>
      <w:bookmarkEnd w:id="21"/>
      <w:r w:rsidDel="00000000" w:rsidR="00000000" w:rsidRPr="00000000">
        <w:rPr>
          <w:rFonts w:ascii="Google Sans" w:cs="Google Sans" w:eastAsia="Google Sans" w:hAnsi="Google Sans"/>
          <w:color w:val="1f1f1f"/>
          <w:sz w:val="26"/>
          <w:szCs w:val="26"/>
          <w:rtl w:val="0"/>
        </w:rPr>
        <w:t xml:space="preserve">4.3 The Defense Proxy and Economic Constraints</w:t>
      </w:r>
    </w:p>
    <w:p w:rsidR="00000000" w:rsidDel="00000000" w:rsidP="00000000" w:rsidRDefault="00000000" w:rsidRPr="00000000" w14:paraId="0000007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Defense counsel is formally positioned to provide adversarial challenge. However, as identified in Section 2, economic asymmetries introduce a constraint map ϕfunding\phi_{\text{funding}}ϕfunding​ that limits the defense’s operational capacity.</w:t>
      </w:r>
    </w:p>
    <w:p w:rsidR="00000000" w:rsidDel="00000000" w:rsidP="00000000" w:rsidRDefault="00000000" w:rsidRPr="00000000" w14:paraId="0000007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jurisdictions where prosecution funding substantially exceeds defense funding, defense counsel faces constraints on investigation, expert utilization, and case preparation.¹³ These constraints reduce the feasibility of trial-based strategies and shift practice toward negotiated resolution.</w:t>
      </w:r>
    </w:p>
    <w:p w:rsidR="00000000" w:rsidDel="00000000" w:rsidP="00000000" w:rsidRDefault="00000000" w:rsidRPr="00000000" w14:paraId="0000007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constraint equivalence, this reduces the defense’s effective control over outcomes, despite its formal role in the adversarial model.</w:t>
      </w:r>
    </w:p>
    <w:p w:rsidR="00000000" w:rsidDel="00000000" w:rsidP="00000000" w:rsidRDefault="00000000" w:rsidRPr="00000000" w14:paraId="00000080">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spacing w:after="80" w:before="280" w:line="275.9999942779541" w:lineRule="auto"/>
        <w:rPr>
          <w:rFonts w:ascii="Google Sans" w:cs="Google Sans" w:eastAsia="Google Sans" w:hAnsi="Google Sans"/>
          <w:color w:val="1f1f1f"/>
          <w:sz w:val="26"/>
          <w:szCs w:val="26"/>
        </w:rPr>
      </w:pPr>
      <w:bookmarkStart w:colFirst="0" w:colLast="0" w:name="_lhfcrhglllge" w:id="22"/>
      <w:bookmarkEnd w:id="22"/>
      <w:r w:rsidDel="00000000" w:rsidR="00000000" w:rsidRPr="00000000">
        <w:rPr>
          <w:rFonts w:ascii="Google Sans" w:cs="Google Sans" w:eastAsia="Google Sans" w:hAnsi="Google Sans"/>
          <w:color w:val="1f1f1f"/>
          <w:sz w:val="26"/>
          <w:szCs w:val="26"/>
          <w:rtl w:val="0"/>
        </w:rPr>
        <w:t xml:space="preserve">4.4 Re-Attribution of Control</w:t>
      </w:r>
    </w:p>
    <w:p w:rsidR="00000000" w:rsidDel="00000000" w:rsidP="00000000" w:rsidRDefault="00000000" w:rsidRPr="00000000" w14:paraId="0000008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requires re-attribution of control from </w:t>
      </w:r>
      <w:r w:rsidDel="00000000" w:rsidR="00000000" w:rsidRPr="00000000">
        <w:rPr>
          <w:rFonts w:ascii="Google Sans" w:cs="Google Sans" w:eastAsia="Google Sans" w:hAnsi="Google Sans"/>
          <w:b w:val="1"/>
          <w:bCs w:val="1"/>
          <w:color w:val="1f1f1f"/>
          <w:rtl w:val="0"/>
        </w:rPr>
        <w:t xml:space="preserve">decision executors</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constraint setters</w:t>
      </w:r>
      <w:r w:rsidDel="00000000" w:rsidR="00000000" w:rsidRPr="00000000">
        <w:rPr>
          <w:rFonts w:ascii="Google Sans" w:cs="Google Sans" w:eastAsia="Google Sans" w:hAnsi="Google Sans"/>
          <w:color w:val="1f1f1f"/>
          <w:rtl w:val="0"/>
        </w:rPr>
        <w:t xml:space="preserve">. The preceding analysis indicates that:</w:t>
      </w:r>
    </w:p>
    <w:p w:rsidR="00000000" w:rsidDel="00000000" w:rsidP="00000000" w:rsidRDefault="00000000" w:rsidRPr="00000000" w14:paraId="00000083">
      <w:pPr>
        <w:numPr>
          <w:ilvl w:val="0"/>
          <w:numId w:val="1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decision-making is constrained by statutory and prosecutorial mechanisms</w:t>
      </w:r>
    </w:p>
    <w:p w:rsidR="00000000" w:rsidDel="00000000" w:rsidP="00000000" w:rsidRDefault="00000000" w:rsidRPr="00000000" w14:paraId="00000084">
      <w:pPr>
        <w:numPr>
          <w:ilvl w:val="0"/>
          <w:numId w:val="1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Defendant decision-making is shaped by temporal and risk-based constraints</w:t>
      </w:r>
    </w:p>
    <w:p w:rsidR="00000000" w:rsidDel="00000000" w:rsidP="00000000" w:rsidRDefault="00000000" w:rsidRPr="00000000" w14:paraId="00000085">
      <w:pPr>
        <w:numPr>
          <w:ilvl w:val="0"/>
          <w:numId w:val="1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Defense capacity is limited by resource asymmetries</w:t>
      </w:r>
    </w:p>
    <w:p w:rsidR="00000000" w:rsidDel="00000000" w:rsidP="00000000" w:rsidRDefault="00000000" w:rsidRPr="00000000" w14:paraId="0000008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suggest that control over outcomes is concentrated in actors who define constraint structures, particularly:</w:t>
      </w:r>
    </w:p>
    <w:p w:rsidR="00000000" w:rsidDel="00000000" w:rsidP="00000000" w:rsidRDefault="00000000" w:rsidRPr="00000000" w14:paraId="00000087">
      <w:pPr>
        <w:numPr>
          <w:ilvl w:val="0"/>
          <w:numId w:val="37"/>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Prosecutors</w:t>
      </w:r>
      <w:r w:rsidDel="00000000" w:rsidR="00000000" w:rsidRPr="00000000">
        <w:rPr>
          <w:rFonts w:ascii="Google Sans" w:cs="Google Sans" w:eastAsia="Google Sans" w:hAnsi="Google Sans"/>
          <w:color w:val="1f1f1f"/>
          <w:rtl w:val="0"/>
        </w:rPr>
        <w:t xml:space="preserve">, who determine charging configurations and negotiate plea terms</w:t>
      </w:r>
    </w:p>
    <w:p w:rsidR="00000000" w:rsidDel="00000000" w:rsidP="00000000" w:rsidRDefault="00000000" w:rsidRPr="00000000" w14:paraId="00000088">
      <w:pPr>
        <w:numPr>
          <w:ilvl w:val="0"/>
          <w:numId w:val="37"/>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Legislatures</w:t>
      </w:r>
      <w:r w:rsidDel="00000000" w:rsidR="00000000" w:rsidRPr="00000000">
        <w:rPr>
          <w:rFonts w:ascii="Google Sans" w:cs="Google Sans" w:eastAsia="Google Sans" w:hAnsi="Google Sans"/>
          <w:color w:val="1f1f1f"/>
          <w:rtl w:val="0"/>
        </w:rPr>
        <w:t xml:space="preserve">, who establish sentencing frameworks, bail structures, and funding distributions</w:t>
      </w:r>
    </w:p>
    <w:p w:rsidR="00000000" w:rsidDel="00000000" w:rsidP="00000000" w:rsidRDefault="00000000" w:rsidRPr="00000000" w14:paraId="0000008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re-attribution does not eliminate the role of downstream actors, but it indicates that their influence operates within decision spaces defined elsewhere.</w:t>
      </w:r>
    </w:p>
    <w:p w:rsidR="00000000" w:rsidDel="00000000" w:rsidP="00000000" w:rsidRDefault="00000000" w:rsidRPr="00000000" w14:paraId="0000008A">
      <w:pPr>
        <w:pStyle w:val="Heading2"/>
        <w:spacing w:after="80" w:before="360" w:line="275.9999942779541" w:lineRule="auto"/>
        <w:rPr>
          <w:rFonts w:ascii="Google Sans" w:cs="Google Sans" w:eastAsia="Google Sans" w:hAnsi="Google Sans"/>
          <w:color w:val="1f1f1f"/>
          <w:sz w:val="34"/>
          <w:szCs w:val="34"/>
        </w:rPr>
      </w:pPr>
      <w:bookmarkStart w:colFirst="0" w:colLast="0" w:name="_3dv25xwzitmw" w:id="23"/>
      <w:bookmarkEnd w:id="23"/>
      <w:r w:rsidDel="00000000" w:rsidR="00000000" w:rsidRPr="00000000">
        <w:rPr>
          <w:rFonts w:ascii="Google Sans" w:cs="Google Sans" w:eastAsia="Google Sans" w:hAnsi="Google Sans"/>
          <w:color w:val="1f1f1f"/>
          <w:sz w:val="34"/>
          <w:szCs w:val="34"/>
          <w:rtl w:val="0"/>
        </w:rPr>
        <w:t xml:space="preserve">5. Layer 3 — Cross-System Coherence (H₂)</w:t>
      </w:r>
    </w:p>
    <w:p w:rsidR="00000000" w:rsidDel="00000000" w:rsidP="00000000" w:rsidRDefault="00000000" w:rsidRPr="00000000" w14:paraId="0000008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3 of the Conservation-and-Coherence (C&amp;C) framework detects shared hidden structure by measuring </w:t>
      </w:r>
      <w:r w:rsidDel="00000000" w:rsidR="00000000" w:rsidRPr="00000000">
        <w:rPr>
          <w:rFonts w:ascii="Google Sans" w:cs="Google Sans" w:eastAsia="Google Sans" w:hAnsi="Google Sans"/>
          <w:b w:val="1"/>
          <w:bCs w:val="1"/>
          <w:color w:val="1f1f1f"/>
          <w:rtl w:val="0"/>
        </w:rPr>
        <w:t xml:space="preserve">behavioral alignment across nominally independent actors</w:t>
      </w:r>
      <w:r w:rsidDel="00000000" w:rsidR="00000000" w:rsidRPr="00000000">
        <w:rPr>
          <w:rFonts w:ascii="Google Sans" w:cs="Google Sans" w:eastAsia="Google Sans" w:hAnsi="Google Sans"/>
          <w:color w:val="1f1f1f"/>
          <w:rtl w:val="0"/>
        </w:rPr>
        <w:t xml:space="preserve">. The coherence operator H2H_2H2​ evaluates divergence from an independence baseline using a Kullback–Leibler formulation:</w:t>
      </w:r>
    </w:p>
    <w:p w:rsidR="00000000" w:rsidDel="00000000" w:rsidP="00000000" w:rsidRDefault="00000000" w:rsidRPr="00000000" w14:paraId="000000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H2=DKL ⁣(P(a1,…,an)  ∥  ∏iP(ai))  −  DKL ⁣(P(a1,…,an∣Z)  ∥  ∏iP(ai∣Z))H_2 = D_{\text{KL}}\!\left(P(a_1, \ldots, a_n)\;\middle\|\;\prod_i P(a_i)\right) \;-\; D_{\text{KL}}\!\left(P(a_1, \ldots, a_n \mid Z)\;\middle\|\;\prod_i P(a_i \mid Z)\right)H2​=DKL​(P(a1​,…,an​)​i∏​P(ai​))−DKL​(P(a1​,…,an​∣Z)​i∏​P(ai​∣Z))</w:t>
      </w:r>
    </w:p>
    <w:p w:rsidR="00000000" w:rsidDel="00000000" w:rsidP="00000000" w:rsidRDefault="00000000" w:rsidRPr="00000000" w14:paraId="0000008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ZZZ represents observed common covariates. A positive value H2&gt;0H_2 &gt; 0H2​&gt;0 after conditioning indicates excess alignment that cannot be explained by independence or known shared factors.¹⁰</w:t>
      </w:r>
    </w:p>
    <w:p w:rsidR="00000000" w:rsidDel="00000000" w:rsidP="00000000" w:rsidRDefault="00000000" w:rsidRPr="00000000" w14:paraId="0000008E">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spacing w:after="80" w:before="280" w:line="275.9999942779541" w:lineRule="auto"/>
        <w:rPr>
          <w:rFonts w:ascii="Google Sans" w:cs="Google Sans" w:eastAsia="Google Sans" w:hAnsi="Google Sans"/>
          <w:color w:val="1f1f1f"/>
          <w:sz w:val="26"/>
          <w:szCs w:val="26"/>
        </w:rPr>
      </w:pPr>
      <w:bookmarkStart w:colFirst="0" w:colLast="0" w:name="_o4lt1797tu30" w:id="24"/>
      <w:bookmarkEnd w:id="24"/>
      <w:r w:rsidDel="00000000" w:rsidR="00000000" w:rsidRPr="00000000">
        <w:rPr>
          <w:rFonts w:ascii="Google Sans" w:cs="Google Sans" w:eastAsia="Google Sans" w:hAnsi="Google Sans"/>
          <w:color w:val="1f1f1f"/>
          <w:sz w:val="26"/>
          <w:szCs w:val="26"/>
          <w:rtl w:val="0"/>
        </w:rPr>
        <w:t xml:space="preserve">5.1 Empirical Coherence Signal: Plea Rate Convergence</w:t>
      </w:r>
    </w:p>
    <w:p w:rsidR="00000000" w:rsidDel="00000000" w:rsidP="00000000" w:rsidRDefault="00000000" w:rsidRPr="00000000" w14:paraId="0000009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U.S. criminal justice system, the most salient coherence signal is the near-universal dominance of plea bargaining. Across:</w:t>
      </w:r>
    </w:p>
    <w:p w:rsidR="00000000" w:rsidDel="00000000" w:rsidP="00000000" w:rsidRDefault="00000000" w:rsidRPr="00000000" w14:paraId="00000091">
      <w:pPr>
        <w:numPr>
          <w:ilvl w:val="0"/>
          <w:numId w:val="1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state jurisdictions</w:t>
      </w:r>
    </w:p>
    <w:p w:rsidR="00000000" w:rsidDel="00000000" w:rsidP="00000000" w:rsidRDefault="00000000" w:rsidRPr="00000000" w14:paraId="00000092">
      <w:pPr>
        <w:numPr>
          <w:ilvl w:val="0"/>
          <w:numId w:val="1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Thousands of county-level courts</w:t>
      </w:r>
    </w:p>
    <w:p w:rsidR="00000000" w:rsidDel="00000000" w:rsidP="00000000" w:rsidRDefault="00000000" w:rsidRPr="00000000" w14:paraId="00000093">
      <w:pPr>
        <w:numPr>
          <w:ilvl w:val="0"/>
          <w:numId w:val="1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system</w:t>
      </w:r>
    </w:p>
    <w:p w:rsidR="00000000" w:rsidDel="00000000" w:rsidP="00000000" w:rsidRDefault="00000000" w:rsidRPr="00000000" w14:paraId="0000009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proportion of convictions obtained via guilty plea consistently falls within a narrow range of approximately 90–97%.⁴</w:t>
      </w:r>
    </w:p>
    <w:p w:rsidR="00000000" w:rsidDel="00000000" w:rsidP="00000000" w:rsidRDefault="00000000" w:rsidRPr="00000000" w14:paraId="0000009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level of convergence is notable given the substantial variation across jurisdictions in:</w:t>
      </w:r>
    </w:p>
    <w:p w:rsidR="00000000" w:rsidDel="00000000" w:rsidP="00000000" w:rsidRDefault="00000000" w:rsidRPr="00000000" w14:paraId="00000096">
      <w:pPr>
        <w:numPr>
          <w:ilvl w:val="0"/>
          <w:numId w:val="1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Crime rates</w:t>
      </w:r>
    </w:p>
    <w:p w:rsidR="00000000" w:rsidDel="00000000" w:rsidP="00000000" w:rsidRDefault="00000000" w:rsidRPr="00000000" w14:paraId="00000097">
      <w:pPr>
        <w:numPr>
          <w:ilvl w:val="0"/>
          <w:numId w:val="1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Political environments</w:t>
      </w:r>
    </w:p>
    <w:p w:rsidR="00000000" w:rsidDel="00000000" w:rsidP="00000000" w:rsidRDefault="00000000" w:rsidRPr="00000000" w14:paraId="00000098">
      <w:pPr>
        <w:numPr>
          <w:ilvl w:val="0"/>
          <w:numId w:val="1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codes and evidentiary standards</w:t>
      </w:r>
    </w:p>
    <w:p w:rsidR="00000000" w:rsidDel="00000000" w:rsidP="00000000" w:rsidRDefault="00000000" w:rsidRPr="00000000" w14:paraId="00000099">
      <w:pPr>
        <w:numPr>
          <w:ilvl w:val="0"/>
          <w:numId w:val="1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allocation and institutional capacity</w:t>
      </w:r>
    </w:p>
    <w:p w:rsidR="00000000" w:rsidDel="00000000" w:rsidP="00000000" w:rsidRDefault="00000000" w:rsidRPr="00000000" w14:paraId="0000009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 null hypothesis of independence, such variation would be expected to produce a broader distribution of trial versus plea outcomes. Instead, the observed distribution is tightly clustered, indicating a strong cross-system alignment.</w:t>
      </w:r>
    </w:p>
    <w:p w:rsidR="00000000" w:rsidDel="00000000" w:rsidP="00000000" w:rsidRDefault="00000000" w:rsidRPr="00000000" w14:paraId="0000009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pattern constitutes a high-magnitude H2H_2H2​ signal.</w:t>
      </w:r>
    </w:p>
    <w:p w:rsidR="00000000" w:rsidDel="00000000" w:rsidP="00000000" w:rsidRDefault="00000000" w:rsidRPr="00000000" w14:paraId="0000009C">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spacing w:after="80" w:before="280" w:line="275.9999942779541" w:lineRule="auto"/>
        <w:rPr>
          <w:rFonts w:ascii="Google Sans" w:cs="Google Sans" w:eastAsia="Google Sans" w:hAnsi="Google Sans"/>
          <w:color w:val="1f1f1f"/>
          <w:sz w:val="26"/>
          <w:szCs w:val="26"/>
        </w:rPr>
      </w:pPr>
      <w:bookmarkStart w:colFirst="0" w:colLast="0" w:name="_iajdzgbbxmua" w:id="25"/>
      <w:bookmarkEnd w:id="25"/>
      <w:r w:rsidDel="00000000" w:rsidR="00000000" w:rsidRPr="00000000">
        <w:rPr>
          <w:rFonts w:ascii="Google Sans" w:cs="Google Sans" w:eastAsia="Google Sans" w:hAnsi="Google Sans"/>
          <w:color w:val="1f1f1f"/>
          <w:sz w:val="26"/>
          <w:szCs w:val="26"/>
          <w:rtl w:val="0"/>
        </w:rPr>
        <w:t xml:space="preserve">5.2 Reichenbach Discrimination</w:t>
      </w:r>
    </w:p>
    <w:p w:rsidR="00000000" w:rsidDel="00000000" w:rsidP="00000000" w:rsidRDefault="00000000" w:rsidRPr="00000000" w14:paraId="0000009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Reichenbach principle frames three possible explanations for observed coherence:</w:t>
      </w:r>
    </w:p>
    <w:p w:rsidR="00000000" w:rsidDel="00000000" w:rsidP="00000000" w:rsidRDefault="00000000" w:rsidRPr="00000000" w14:paraId="0000009F">
      <w:pPr>
        <w:numPr>
          <w:ilvl w:val="0"/>
          <w:numId w:val="4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 causation</w:t>
      </w:r>
      <w:r w:rsidDel="00000000" w:rsidR="00000000" w:rsidRPr="00000000">
        <w:rPr>
          <w:rFonts w:ascii="Google Sans" w:cs="Google Sans" w:eastAsia="Google Sans" w:hAnsi="Google Sans"/>
          <w:color w:val="1f1f1f"/>
          <w:rtl w:val="0"/>
        </w:rPr>
        <w:t xml:space="preserve"> (coordination between actors)</w:t>
      </w:r>
    </w:p>
    <w:p w:rsidR="00000000" w:rsidDel="00000000" w:rsidP="00000000" w:rsidRDefault="00000000" w:rsidRPr="00000000" w14:paraId="000000A0">
      <w:pPr>
        <w:numPr>
          <w:ilvl w:val="0"/>
          <w:numId w:val="4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Shared environment</w:t>
      </w:r>
      <w:r w:rsidDel="00000000" w:rsidR="00000000" w:rsidRPr="00000000">
        <w:rPr>
          <w:rFonts w:ascii="Google Sans" w:cs="Google Sans" w:eastAsia="Google Sans" w:hAnsi="Google Sans"/>
          <w:color w:val="1f1f1f"/>
          <w:rtl w:val="0"/>
        </w:rPr>
        <w:t xml:space="preserve"> (common external drivers)</w:t>
      </w:r>
    </w:p>
    <w:p w:rsidR="00000000" w:rsidDel="00000000" w:rsidP="00000000" w:rsidRDefault="00000000" w:rsidRPr="00000000" w14:paraId="000000A1">
      <w:pPr>
        <w:numPr>
          <w:ilvl w:val="0"/>
          <w:numId w:val="4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Shared hidden structure</w:t>
      </w:r>
      <w:r w:rsidDel="00000000" w:rsidR="00000000" w:rsidRPr="00000000">
        <w:rPr>
          <w:rFonts w:ascii="Google Sans" w:cs="Google Sans" w:eastAsia="Google Sans" w:hAnsi="Google Sans"/>
          <w:color w:val="1f1f1f"/>
          <w:rtl w:val="0"/>
        </w:rPr>
        <w:t xml:space="preserve"> (common constraints or mechanisms)¹⁰</w:t>
      </w:r>
    </w:p>
    <w:p w:rsidR="00000000" w:rsidDel="00000000" w:rsidP="00000000" w:rsidRDefault="00000000" w:rsidRPr="00000000" w14:paraId="000000A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can be evaluated in turn:</w:t>
      </w:r>
    </w:p>
    <w:p w:rsidR="00000000" w:rsidDel="00000000" w:rsidP="00000000" w:rsidRDefault="00000000" w:rsidRPr="00000000" w14:paraId="000000A3">
      <w:pPr>
        <w:numPr>
          <w:ilvl w:val="0"/>
          <w:numId w:val="1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 causation:</w:t>
        <w:br w:type="textWrapping"/>
      </w:r>
      <w:r w:rsidDel="00000000" w:rsidR="00000000" w:rsidRPr="00000000">
        <w:rPr>
          <w:rFonts w:ascii="Google Sans" w:cs="Google Sans" w:eastAsia="Google Sans" w:hAnsi="Google Sans"/>
          <w:color w:val="1f1f1f"/>
          <w:rtl w:val="0"/>
        </w:rPr>
        <w:t xml:space="preserve"> Cross-jurisdictional coordination is structurally limited. Prosecutors and courts operate within independent legal authorities, making direct causal linkage across jurisdictions unlikely as a primary driver.</w:t>
      </w:r>
    </w:p>
    <w:p w:rsidR="00000000" w:rsidDel="00000000" w:rsidP="00000000" w:rsidRDefault="00000000" w:rsidRPr="00000000" w14:paraId="000000A4">
      <w:pPr>
        <w:numPr>
          <w:ilvl w:val="0"/>
          <w:numId w:val="1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Shared environment:</w:t>
        <w:br w:type="textWrapping"/>
      </w:r>
      <w:r w:rsidDel="00000000" w:rsidR="00000000" w:rsidRPr="00000000">
        <w:rPr>
          <w:rFonts w:ascii="Google Sans" w:cs="Google Sans" w:eastAsia="Google Sans" w:hAnsi="Google Sans"/>
          <w:color w:val="1f1f1f"/>
          <w:rtl w:val="0"/>
        </w:rPr>
        <w:t xml:space="preserve"> While jurisdictions share certain macro-level conditions, variation in crime rates, demographics, and policy regimes is substantial. The persistence of high plea rates across heterogeneous environments suggests that shared external conditions alone are insufficient to explain the observed convergence.</w:t>
      </w:r>
    </w:p>
    <w:p w:rsidR="00000000" w:rsidDel="00000000" w:rsidP="00000000" w:rsidRDefault="00000000" w:rsidRPr="00000000" w14:paraId="000000A5">
      <w:pPr>
        <w:numPr>
          <w:ilvl w:val="0"/>
          <w:numId w:val="1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Shared hidden structure:</w:t>
        <w:br w:type="textWrapping"/>
      </w:r>
      <w:r w:rsidDel="00000000" w:rsidR="00000000" w:rsidRPr="00000000">
        <w:rPr>
          <w:rFonts w:ascii="Google Sans" w:cs="Google Sans" w:eastAsia="Google Sans" w:hAnsi="Google Sans"/>
          <w:color w:val="1f1f1f"/>
          <w:rtl w:val="0"/>
        </w:rPr>
        <w:t xml:space="preserve"> The remaining explanation is the presence of common structural constraints that shape decision-making across jurisdictions.</w:t>
      </w:r>
    </w:p>
    <w:p w:rsidR="00000000" w:rsidDel="00000000" w:rsidP="00000000" w:rsidRDefault="00000000" w:rsidRPr="00000000" w14:paraId="000000A6">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80" w:before="280" w:line="275.9999942779541" w:lineRule="auto"/>
        <w:rPr>
          <w:rFonts w:ascii="Google Sans" w:cs="Google Sans" w:eastAsia="Google Sans" w:hAnsi="Google Sans"/>
          <w:color w:val="1f1f1f"/>
          <w:sz w:val="26"/>
          <w:szCs w:val="26"/>
        </w:rPr>
      </w:pPr>
      <w:bookmarkStart w:colFirst="0" w:colLast="0" w:name="_jj5niqp3rpnj" w:id="26"/>
      <w:bookmarkEnd w:id="26"/>
      <w:r w:rsidDel="00000000" w:rsidR="00000000" w:rsidRPr="00000000">
        <w:rPr>
          <w:rFonts w:ascii="Google Sans" w:cs="Google Sans" w:eastAsia="Google Sans" w:hAnsi="Google Sans"/>
          <w:color w:val="1f1f1f"/>
          <w:sz w:val="26"/>
          <w:szCs w:val="26"/>
          <w:rtl w:val="0"/>
        </w:rPr>
        <w:t xml:space="preserve">5.3 Structural Interpretation</w:t>
      </w:r>
    </w:p>
    <w:p w:rsidR="00000000" w:rsidDel="00000000" w:rsidP="00000000" w:rsidRDefault="00000000" w:rsidRPr="00000000" w14:paraId="000000A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observed coherence is consistent with a system in which similar constraint architectures are widely implemented. These include:</w:t>
      </w:r>
    </w:p>
    <w:p w:rsidR="00000000" w:rsidDel="00000000" w:rsidP="00000000" w:rsidRDefault="00000000" w:rsidRPr="00000000" w14:paraId="000000A9">
      <w:pPr>
        <w:numPr>
          <w:ilvl w:val="0"/>
          <w:numId w:val="36"/>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detention mechanisms (temporal constraints)</w:t>
      </w:r>
    </w:p>
    <w:p w:rsidR="00000000" w:rsidDel="00000000" w:rsidP="00000000" w:rsidRDefault="00000000" w:rsidRPr="00000000" w14:paraId="000000AA">
      <w:pPr>
        <w:numPr>
          <w:ilvl w:val="0"/>
          <w:numId w:val="36"/>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asymmetries between prosecution and defense (economic constraints)</w:t>
      </w:r>
    </w:p>
    <w:p w:rsidR="00000000" w:rsidDel="00000000" w:rsidP="00000000" w:rsidRDefault="00000000" w:rsidRPr="00000000" w14:paraId="000000AB">
      <w:pPr>
        <w:numPr>
          <w:ilvl w:val="0"/>
          <w:numId w:val="36"/>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Trial penalties embedded in sentencing practices (risk-based constraints)</w:t>
      </w:r>
    </w:p>
    <w:p w:rsidR="00000000" w:rsidDel="00000000" w:rsidP="00000000" w:rsidRDefault="00000000" w:rsidRPr="00000000" w14:paraId="000000A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mechanisms operate across jurisdictions with sufficient similarity to produce convergent behavioral outcomes, despite differences in local conditions.</w:t>
      </w:r>
    </w:p>
    <w:p w:rsidR="00000000" w:rsidDel="00000000" w:rsidP="00000000" w:rsidRDefault="00000000" w:rsidRPr="00000000" w14:paraId="000000A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interpretation, the high plea rate is not an isolated institutional feature but an emergent property of shared constraint structures.</w:t>
      </w:r>
    </w:p>
    <w:p w:rsidR="00000000" w:rsidDel="00000000" w:rsidP="00000000" w:rsidRDefault="00000000" w:rsidRPr="00000000" w14:paraId="000000AE">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after="80" w:before="280" w:line="275.9999942779541" w:lineRule="auto"/>
        <w:rPr>
          <w:rFonts w:ascii="Google Sans" w:cs="Google Sans" w:eastAsia="Google Sans" w:hAnsi="Google Sans"/>
          <w:color w:val="1f1f1f"/>
          <w:sz w:val="26"/>
          <w:szCs w:val="26"/>
        </w:rPr>
      </w:pPr>
      <w:bookmarkStart w:colFirst="0" w:colLast="0" w:name="_nvn6wpm2vqet" w:id="27"/>
      <w:bookmarkEnd w:id="27"/>
      <w:r w:rsidDel="00000000" w:rsidR="00000000" w:rsidRPr="00000000">
        <w:rPr>
          <w:rFonts w:ascii="Google Sans" w:cs="Google Sans" w:eastAsia="Google Sans" w:hAnsi="Google Sans"/>
          <w:color w:val="1f1f1f"/>
          <w:sz w:val="26"/>
          <w:szCs w:val="26"/>
          <w:rtl w:val="0"/>
        </w:rPr>
        <w:t xml:space="preserve">5.4 Exogenous Shock Evidence</w:t>
      </w:r>
    </w:p>
    <w:p w:rsidR="00000000" w:rsidDel="00000000" w:rsidP="00000000" w:rsidRDefault="00000000" w:rsidRPr="00000000" w14:paraId="000000B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extension of the C&amp;C framework uses </w:t>
      </w:r>
      <w:r w:rsidDel="00000000" w:rsidR="00000000" w:rsidRPr="00000000">
        <w:rPr>
          <w:rFonts w:ascii="Google Sans" w:cs="Google Sans" w:eastAsia="Google Sans" w:hAnsi="Google Sans"/>
          <w:b w:val="1"/>
          <w:bCs w:val="1"/>
          <w:color w:val="1f1f1f"/>
          <w:rtl w:val="0"/>
        </w:rPr>
        <w:t xml:space="preserve">exogenous shocks</w:t>
      </w:r>
      <w:r w:rsidDel="00000000" w:rsidR="00000000" w:rsidRPr="00000000">
        <w:rPr>
          <w:rFonts w:ascii="Google Sans" w:cs="Google Sans" w:eastAsia="Google Sans" w:hAnsi="Google Sans"/>
          <w:color w:val="1f1f1f"/>
          <w:rtl w:val="0"/>
        </w:rPr>
        <w:t xml:space="preserve"> as natural experiments to test structural hypotheses.¹⁰ If a constraint is causally relevant, removing or altering it should produce measurable changes in system behavior.</w:t>
      </w:r>
    </w:p>
    <w:p w:rsidR="00000000" w:rsidDel="00000000" w:rsidP="00000000" w:rsidRDefault="00000000" w:rsidRPr="00000000" w14:paraId="000000B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Bail reform policies provide such a test. In jurisdictions that reduced or eliminated cash bail for certain categories of offenses:</w:t>
      </w:r>
    </w:p>
    <w:p w:rsidR="00000000" w:rsidDel="00000000" w:rsidP="00000000" w:rsidRDefault="00000000" w:rsidRPr="00000000" w14:paraId="000000B2">
      <w:pPr>
        <w:numPr>
          <w:ilvl w:val="0"/>
          <w:numId w:val="16"/>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detention rates declined substantially</w:t>
      </w:r>
    </w:p>
    <w:p w:rsidR="00000000" w:rsidDel="00000000" w:rsidP="00000000" w:rsidRDefault="00000000" w:rsidRPr="00000000" w14:paraId="000000B3">
      <w:pPr>
        <w:numPr>
          <w:ilvl w:val="0"/>
          <w:numId w:val="16"/>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some cases, the proportion of individuals detained pretrial fell from approximately 85% to below 40%¹²</w:t>
      </w:r>
    </w:p>
    <w:p w:rsidR="00000000" w:rsidDel="00000000" w:rsidP="00000000" w:rsidRDefault="00000000" w:rsidRPr="00000000" w14:paraId="000000B4">
      <w:pPr>
        <w:numPr>
          <w:ilvl w:val="0"/>
          <w:numId w:val="16"/>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changes occurred without corresponding increases in re-arrest rates</w:t>
      </w:r>
    </w:p>
    <w:p w:rsidR="00000000" w:rsidDel="00000000" w:rsidP="00000000" w:rsidRDefault="00000000" w:rsidRPr="00000000" w14:paraId="000000B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outcomes are consistent with the hypothesis that pretrial detention functions as a binding temporal constraint influencing case resolution pathways.</w:t>
      </w:r>
    </w:p>
    <w:p w:rsidR="00000000" w:rsidDel="00000000" w:rsidP="00000000" w:rsidRDefault="00000000" w:rsidRPr="00000000" w14:paraId="000000B6">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spacing w:after="80" w:before="280" w:line="275.9999942779541" w:lineRule="auto"/>
        <w:rPr>
          <w:rFonts w:ascii="Google Sans" w:cs="Google Sans" w:eastAsia="Google Sans" w:hAnsi="Google Sans"/>
          <w:color w:val="1f1f1f"/>
          <w:sz w:val="26"/>
          <w:szCs w:val="26"/>
        </w:rPr>
      </w:pPr>
      <w:bookmarkStart w:colFirst="0" w:colLast="0" w:name="_fqif4dy6ul5h" w:id="28"/>
      <w:bookmarkEnd w:id="28"/>
      <w:r w:rsidDel="00000000" w:rsidR="00000000" w:rsidRPr="00000000">
        <w:rPr>
          <w:rFonts w:ascii="Google Sans" w:cs="Google Sans" w:eastAsia="Google Sans" w:hAnsi="Google Sans"/>
          <w:color w:val="1f1f1f"/>
          <w:sz w:val="26"/>
          <w:szCs w:val="26"/>
          <w:rtl w:val="0"/>
        </w:rPr>
        <w:t xml:space="preserve">Interpretation</w:t>
      </w:r>
    </w:p>
    <w:p w:rsidR="00000000" w:rsidDel="00000000" w:rsidP="00000000" w:rsidRDefault="00000000" w:rsidRPr="00000000" w14:paraId="000000B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 coherence signal and shock evidence support the following inference:</w:t>
      </w:r>
    </w:p>
    <w:p w:rsidR="00000000" w:rsidDel="00000000" w:rsidP="00000000" w:rsidRDefault="00000000" w:rsidRPr="00000000" w14:paraId="000000B9">
      <w:pPr>
        <w:numPr>
          <w:ilvl w:val="0"/>
          <w:numId w:val="2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plea rates reflects </w:t>
      </w:r>
      <w:r w:rsidDel="00000000" w:rsidR="00000000" w:rsidRPr="00000000">
        <w:rPr>
          <w:rFonts w:ascii="Google Sans" w:cs="Google Sans" w:eastAsia="Google Sans" w:hAnsi="Google Sans"/>
          <w:b w:val="1"/>
          <w:bCs w:val="1"/>
          <w:color w:val="1f1f1f"/>
          <w:rtl w:val="0"/>
        </w:rPr>
        <w:t xml:space="preserve">shared constraint architecture</w:t>
      </w:r>
      <w:r w:rsidDel="00000000" w:rsidR="00000000" w:rsidRPr="00000000">
        <w:rPr>
          <w:rFonts w:ascii="Google Sans" w:cs="Google Sans" w:eastAsia="Google Sans" w:hAnsi="Google Sans"/>
          <w:color w:val="1f1f1f"/>
          <w:rtl w:val="0"/>
        </w:rPr>
        <w:t xml:space="preserve"> rather than independent decision-making processes</w:t>
      </w:r>
    </w:p>
    <w:p w:rsidR="00000000" w:rsidDel="00000000" w:rsidP="00000000" w:rsidRDefault="00000000" w:rsidRPr="00000000" w14:paraId="000000BA">
      <w:pPr>
        <w:numPr>
          <w:ilvl w:val="0"/>
          <w:numId w:val="2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features—particularly those affecting feasible sets—play a central role in shaping system-wide behavior</w:t>
      </w:r>
    </w:p>
    <w:p w:rsidR="00000000" w:rsidDel="00000000" w:rsidP="00000000" w:rsidRDefault="00000000" w:rsidRPr="00000000" w14:paraId="000000B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does not imply a single coordinating actor. Rather, it indicates that </w:t>
      </w:r>
      <w:r w:rsidDel="00000000" w:rsidR="00000000" w:rsidRPr="00000000">
        <w:rPr>
          <w:rFonts w:ascii="Google Sans" w:cs="Google Sans" w:eastAsia="Google Sans" w:hAnsi="Google Sans"/>
          <w:b w:val="1"/>
          <w:bCs w:val="1"/>
          <w:color w:val="1f1f1f"/>
          <w:rtl w:val="0"/>
        </w:rPr>
        <w:t xml:space="preserve">similar constraint configurations, when widely adopted, produce aligned outcomes across otherwise independent systems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Style w:val="Heading2"/>
        <w:spacing w:after="80" w:before="360" w:line="275.9999942779541" w:lineRule="auto"/>
        <w:rPr>
          <w:rFonts w:ascii="Google Sans" w:cs="Google Sans" w:eastAsia="Google Sans" w:hAnsi="Google Sans"/>
          <w:color w:val="1f1f1f"/>
          <w:sz w:val="34"/>
          <w:szCs w:val="34"/>
        </w:rPr>
      </w:pPr>
      <w:bookmarkStart w:colFirst="0" w:colLast="0" w:name="_f2c419hb0ct8" w:id="29"/>
      <w:bookmarkEnd w:id="29"/>
      <w:r w:rsidDel="00000000" w:rsidR="00000000" w:rsidRPr="00000000">
        <w:rPr>
          <w:rFonts w:ascii="Google Sans" w:cs="Google Sans" w:eastAsia="Google Sans" w:hAnsi="Google Sans"/>
          <w:color w:val="1f1f1f"/>
          <w:sz w:val="34"/>
          <w:szCs w:val="34"/>
          <w:rtl w:val="0"/>
        </w:rPr>
        <w:t xml:space="preserve">6. Structural Attribution Table</w:t>
      </w:r>
    </w:p>
    <w:p w:rsidR="00000000" w:rsidDel="00000000" w:rsidP="00000000" w:rsidRDefault="00000000" w:rsidRPr="00000000" w14:paraId="000000B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divergence between narrative attribution and structurally inferred control. It reallocates influence from </w:t>
      </w:r>
      <w:r w:rsidDel="00000000" w:rsidR="00000000" w:rsidRPr="00000000">
        <w:rPr>
          <w:rFonts w:ascii="Google Sans" w:cs="Google Sans" w:eastAsia="Google Sans" w:hAnsi="Google Sans"/>
          <w:b w:val="1"/>
          <w:bCs w:val="1"/>
          <w:color w:val="1f1f1f"/>
          <w:rtl w:val="0"/>
        </w:rPr>
        <w:t xml:space="preserve">decision executors</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constraint-setting actors</w:t>
      </w:r>
      <w:r w:rsidDel="00000000" w:rsidR="00000000" w:rsidRPr="00000000">
        <w:rPr>
          <w:rFonts w:ascii="Google Sans" w:cs="Google Sans" w:eastAsia="Google Sans" w:hAnsi="Google Sans"/>
          <w:color w:val="1f1f1f"/>
          <w:rtl w:val="0"/>
        </w:rPr>
        <w:t xml:space="preserve">, based on the results of Layers 1–3.</w:t>
      </w:r>
    </w:p>
    <w:p w:rsidR="00000000" w:rsidDel="00000000" w:rsidP="00000000" w:rsidRDefault="00000000" w:rsidRPr="00000000" w14:paraId="000000BF">
      <w:pP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All structural shares below are approximate, model-derived estimates intended to represent relative influence under the constraint-equivalence framework. They are not direct empirical measurements, but comparative allocations consistent with the observed constraint architecture.</w:t>
      </w:r>
    </w:p>
    <w:p w:rsidR="00000000" w:rsidDel="00000000" w:rsidP="00000000" w:rsidRDefault="00000000" w:rsidRPr="00000000" w14:paraId="000000C0">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6673618352452"/>
        <w:gridCol w:w="1483.5453597497394"/>
        <w:gridCol w:w="1805.63086548488"/>
        <w:gridCol w:w="4470.156412930136"/>
        <w:tblGridChange w:id="0">
          <w:tblGrid>
            <w:gridCol w:w="1600.6673618352452"/>
            <w:gridCol w:w="1483.5453597497394"/>
            <w:gridCol w:w="1805.63086548488"/>
            <w:gridCol w:w="4470.156412930136"/>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5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Actor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15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Narrative Share (cₙₐᵣᵣₐₜᵢᵥₑ)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5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Structural Share (cₛₜᵣᵤcₜᵤᵣₐₗ)</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5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Mechanism of Structural Control</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Prosecutors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(Advocate)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~0.50–0.60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constraint maps (φ) through charging decisions; leverage pretrial detention and trial penalties to shape plea outcomes; activate statutory constraints (e.g., mandatory minimums) that bound downstream decision spaces.⁴</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Legislatures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(Rule-makers)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~0.20–0.30 (Architects)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statutory constraint structures, including sentencing regimes and bail systems; determine funding distributions that generate economic bottlenecks affecting defense capacity.¹³</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Law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~0.10–0.20 (Gatekeepers)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system entry and case volume; influence initial conditions through arrest decisions and, in some contexts, asset forfeiture mechanisms that operate independently of adjudication.²</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Judges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(Arbiters)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&lt;0.10 (Constrained Executors)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 within feasible sets restricted by statutory rules and prosecutorial charging decisions; retain limited discretion within bounded sentencing ranges.¹⁴</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Juries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(Fact-finders)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&lt;0.10 (Limited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Participate in a small fraction of case resolutions; function as a potential adjudicative pathway rather than a primary determinant of outcomes.⁴</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Defense Counsel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Nominal parity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~0.00–0.05 (Highly Constrained)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 under significant resource constraints that limit capacity for trial-based strategies; influence outcomes primarily within negotiated frameworks rather than adversarial adjudication.¹³</w:t>
            </w:r>
          </w:p>
        </w:tc>
      </w:tr>
    </w:tbl>
    <w:p w:rsidR="00000000" w:rsidDel="00000000" w:rsidP="00000000" w:rsidRDefault="00000000" w:rsidRPr="00000000" w14:paraId="000000DD">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spacing w:after="80" w:before="280" w:line="275.9999942779541" w:lineRule="auto"/>
        <w:rPr>
          <w:rFonts w:ascii="Google Sans" w:cs="Google Sans" w:eastAsia="Google Sans" w:hAnsi="Google Sans"/>
          <w:color w:val="1f1f1f"/>
          <w:sz w:val="26"/>
          <w:szCs w:val="26"/>
        </w:rPr>
      </w:pPr>
      <w:bookmarkStart w:colFirst="0" w:colLast="0" w:name="_dzfyga9rmim2" w:id="30"/>
      <w:bookmarkEnd w:id="30"/>
      <w:r w:rsidDel="00000000" w:rsidR="00000000" w:rsidRPr="00000000">
        <w:rPr>
          <w:rFonts w:ascii="Google Sans" w:cs="Google Sans" w:eastAsia="Google Sans" w:hAnsi="Google Sans"/>
          <w:color w:val="1f1f1f"/>
          <w:sz w:val="26"/>
          <w:szCs w:val="26"/>
          <w:rtl w:val="0"/>
        </w:rPr>
        <w:t xml:space="preserve">6.1 Interpretation</w:t>
      </w:r>
    </w:p>
    <w:p w:rsidR="00000000" w:rsidDel="00000000" w:rsidP="00000000" w:rsidRDefault="00000000" w:rsidRPr="00000000" w14:paraId="000000D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reallocation of control reflects a consistent pattern across the preceding analysis:</w:t>
      </w:r>
    </w:p>
    <w:p w:rsidR="00000000" w:rsidDel="00000000" w:rsidP="00000000" w:rsidRDefault="00000000" w:rsidRPr="00000000" w14:paraId="000000E0">
      <w:pPr>
        <w:numPr>
          <w:ilvl w:val="0"/>
          <w:numId w:val="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Actors traditionally associated with </w:t>
      </w:r>
      <w:r w:rsidDel="00000000" w:rsidR="00000000" w:rsidRPr="00000000">
        <w:rPr>
          <w:rFonts w:ascii="Google Sans" w:cs="Google Sans" w:eastAsia="Google Sans" w:hAnsi="Google Sans"/>
          <w:b w:val="1"/>
          <w:bCs w:val="1"/>
          <w:color w:val="1f1f1f"/>
          <w:rtl w:val="0"/>
        </w:rPr>
        <w:t xml:space="preserve">final decision-making</w:t>
      </w:r>
      <w:r w:rsidDel="00000000" w:rsidR="00000000" w:rsidRPr="00000000">
        <w:rPr>
          <w:rFonts w:ascii="Google Sans" w:cs="Google Sans" w:eastAsia="Google Sans" w:hAnsi="Google Sans"/>
          <w:color w:val="1f1f1f"/>
          <w:rtl w:val="0"/>
        </w:rPr>
        <w:t xml:space="preserve"> (judges, juries, defendants) operate within constrained feasible sets</w:t>
      </w:r>
    </w:p>
    <w:p w:rsidR="00000000" w:rsidDel="00000000" w:rsidP="00000000" w:rsidRDefault="00000000" w:rsidRPr="00000000" w14:paraId="000000E1">
      <w:pPr>
        <w:numPr>
          <w:ilvl w:val="0"/>
          <w:numId w:val="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Actors responsible for </w:t>
      </w:r>
      <w:r w:rsidDel="00000000" w:rsidR="00000000" w:rsidRPr="00000000">
        <w:rPr>
          <w:rFonts w:ascii="Google Sans" w:cs="Google Sans" w:eastAsia="Google Sans" w:hAnsi="Google Sans"/>
          <w:b w:val="1"/>
          <w:bCs w:val="1"/>
          <w:color w:val="1f1f1f"/>
          <w:rtl w:val="0"/>
        </w:rPr>
        <w:t xml:space="preserve">defining those constraints</w:t>
      </w:r>
      <w:r w:rsidDel="00000000" w:rsidR="00000000" w:rsidRPr="00000000">
        <w:rPr>
          <w:rFonts w:ascii="Google Sans" w:cs="Google Sans" w:eastAsia="Google Sans" w:hAnsi="Google Sans"/>
          <w:color w:val="1f1f1f"/>
          <w:rtl w:val="0"/>
        </w:rPr>
        <w:t xml:space="preserve"> (prosecutors and legislatures) exert disproportionate influence over outcomes</w:t>
      </w:r>
    </w:p>
    <w:p w:rsidR="00000000" w:rsidDel="00000000" w:rsidP="00000000" w:rsidRDefault="00000000" w:rsidRPr="00000000" w14:paraId="000000E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shift does not eliminate the role of downstream actors, but it indicates that their influence is conditional on upstream constraint structures.</w:t>
      </w:r>
    </w:p>
    <w:p w:rsidR="00000000" w:rsidDel="00000000" w:rsidP="00000000" w:rsidRDefault="00000000" w:rsidRPr="00000000" w14:paraId="000000E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spacing w:after="80" w:before="280" w:line="275.9999942779541" w:lineRule="auto"/>
        <w:rPr>
          <w:rFonts w:ascii="Google Sans" w:cs="Google Sans" w:eastAsia="Google Sans" w:hAnsi="Google Sans"/>
          <w:color w:val="1f1f1f"/>
          <w:sz w:val="26"/>
          <w:szCs w:val="26"/>
        </w:rPr>
      </w:pPr>
      <w:bookmarkStart w:colFirst="0" w:colLast="0" w:name="_bwm6tegdor5w" w:id="31"/>
      <w:bookmarkEnd w:id="31"/>
      <w:r w:rsidDel="00000000" w:rsidR="00000000" w:rsidRPr="00000000">
        <w:rPr>
          <w:rFonts w:ascii="Google Sans" w:cs="Google Sans" w:eastAsia="Google Sans" w:hAnsi="Google Sans"/>
          <w:color w:val="1f1f1f"/>
          <w:sz w:val="26"/>
          <w:szCs w:val="26"/>
          <w:rtl w:val="0"/>
        </w:rPr>
        <w:t xml:space="preserve">6.2 Structural Implication</w:t>
      </w:r>
    </w:p>
    <w:p w:rsidR="00000000" w:rsidDel="00000000" w:rsidP="00000000" w:rsidRDefault="00000000" w:rsidRPr="00000000" w14:paraId="000000E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distribution, system outcomes are best understood as the product of:</w:t>
      </w:r>
    </w:p>
    <w:p w:rsidR="00000000" w:rsidDel="00000000" w:rsidP="00000000" w:rsidRDefault="00000000" w:rsidRPr="00000000" w14:paraId="000000E6">
      <w:pPr>
        <w:numPr>
          <w:ilvl w:val="0"/>
          <w:numId w:val="3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Constraint design</w:t>
      </w:r>
      <w:r w:rsidDel="00000000" w:rsidR="00000000" w:rsidRPr="00000000">
        <w:rPr>
          <w:rFonts w:ascii="Google Sans" w:cs="Google Sans" w:eastAsia="Google Sans" w:hAnsi="Google Sans"/>
          <w:color w:val="1f1f1f"/>
          <w:rtl w:val="0"/>
        </w:rPr>
        <w:t xml:space="preserve"> (legislative and institutional rules)</w:t>
      </w:r>
    </w:p>
    <w:p w:rsidR="00000000" w:rsidDel="00000000" w:rsidP="00000000" w:rsidRDefault="00000000" w:rsidRPr="00000000" w14:paraId="000000E7">
      <w:pPr>
        <w:numPr>
          <w:ilvl w:val="0"/>
          <w:numId w:val="3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Constraint activation</w:t>
      </w:r>
      <w:r w:rsidDel="00000000" w:rsidR="00000000" w:rsidRPr="00000000">
        <w:rPr>
          <w:rFonts w:ascii="Google Sans" w:cs="Google Sans" w:eastAsia="Google Sans" w:hAnsi="Google Sans"/>
          <w:color w:val="1f1f1f"/>
          <w:rtl w:val="0"/>
        </w:rPr>
        <w:t xml:space="preserve"> (prosecutorial charging and negotiation decisions)</w:t>
      </w:r>
    </w:p>
    <w:p w:rsidR="00000000" w:rsidDel="00000000" w:rsidP="00000000" w:rsidRDefault="00000000" w:rsidRPr="00000000" w14:paraId="000000E8">
      <w:pPr>
        <w:numPr>
          <w:ilvl w:val="0"/>
          <w:numId w:val="3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Constrained execution</w:t>
      </w:r>
      <w:r w:rsidDel="00000000" w:rsidR="00000000" w:rsidRPr="00000000">
        <w:rPr>
          <w:rFonts w:ascii="Google Sans" w:cs="Google Sans" w:eastAsia="Google Sans" w:hAnsi="Google Sans"/>
          <w:color w:val="1f1f1f"/>
          <w:rtl w:val="0"/>
        </w:rPr>
        <w:t xml:space="preserve"> (downstream actors operating within defined feasible sets)</w:t>
      </w:r>
    </w:p>
    <w:p w:rsidR="00000000" w:rsidDel="00000000" w:rsidP="00000000" w:rsidRDefault="00000000" w:rsidRPr="00000000" w14:paraId="000000E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interpretation is consistent with the findings of Layers 1–3 and provides a unified account of how control is distributed across the system.</w:t>
      </w:r>
    </w:p>
    <w:p w:rsidR="00000000" w:rsidDel="00000000" w:rsidP="00000000" w:rsidRDefault="00000000" w:rsidRPr="00000000" w14:paraId="000000EA">
      <w:pPr>
        <w:pStyle w:val="Heading2"/>
        <w:spacing w:after="80" w:before="360" w:line="275.9999942779541" w:lineRule="auto"/>
        <w:rPr>
          <w:rFonts w:ascii="Google Sans" w:cs="Google Sans" w:eastAsia="Google Sans" w:hAnsi="Google Sans"/>
          <w:color w:val="1f1f1f"/>
          <w:sz w:val="34"/>
          <w:szCs w:val="34"/>
        </w:rPr>
      </w:pPr>
      <w:bookmarkStart w:colFirst="0" w:colLast="0" w:name="_kiiywc9dn845" w:id="32"/>
      <w:bookmarkEnd w:id="32"/>
      <w:r w:rsidDel="00000000" w:rsidR="00000000" w:rsidRPr="00000000">
        <w:rPr>
          <w:rFonts w:ascii="Google Sans" w:cs="Google Sans" w:eastAsia="Google Sans" w:hAnsi="Google Sans"/>
          <w:color w:val="1f1f1f"/>
          <w:sz w:val="34"/>
          <w:szCs w:val="34"/>
          <w:rtl w:val="0"/>
        </w:rPr>
        <w:t xml:space="preserve">7. Objective Function (Û) vs Stated Objective</w:t>
      </w:r>
    </w:p>
    <w:p w:rsidR="00000000" w:rsidDel="00000000" w:rsidP="00000000" w:rsidRDefault="00000000" w:rsidRPr="00000000" w14:paraId="000000E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4 applies an inverse reinforcement learning (IRL) perspective to infer the system’s effective objective function U^\hat{U}U^ from observed behavioral patterns. This inferred objective is then compared to the stated objective UstatedU_{\text{stated}}Ustated​ using the mismatch operator:</w:t>
      </w:r>
    </w:p>
    <w:p w:rsidR="00000000" w:rsidDel="00000000" w:rsidP="00000000" w:rsidRDefault="00000000" w:rsidRPr="00000000" w14:paraId="000000E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H3=D(U^,Ustated)H_3 = \mathcal{D}(\hat{U}, U_{\text{stated}})H3​=D(U^,Ustated​)</w:t>
      </w:r>
    </w:p>
    <w:p w:rsidR="00000000" w:rsidDel="00000000" w:rsidP="00000000" w:rsidRDefault="00000000" w:rsidRPr="00000000" w14:paraId="000000E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D\mathcal{D}D captures divergence between intended and realized optimization targets.¹⁰</w:t>
      </w:r>
    </w:p>
    <w:p w:rsidR="00000000" w:rsidDel="00000000" w:rsidP="00000000" w:rsidRDefault="00000000" w:rsidRPr="00000000" w14:paraId="000000EE">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spacing w:after="80" w:before="280" w:line="275.9999942779541" w:lineRule="auto"/>
        <w:rPr>
          <w:rFonts w:ascii="Google Sans" w:cs="Google Sans" w:eastAsia="Google Sans" w:hAnsi="Google Sans"/>
          <w:color w:val="1f1f1f"/>
          <w:sz w:val="26"/>
          <w:szCs w:val="26"/>
        </w:rPr>
      </w:pPr>
      <w:bookmarkStart w:colFirst="0" w:colLast="0" w:name="_jjxrx7c0k6oq" w:id="33"/>
      <w:bookmarkEnd w:id="33"/>
      <w:r w:rsidDel="00000000" w:rsidR="00000000" w:rsidRPr="00000000">
        <w:rPr>
          <w:rFonts w:ascii="Google Sans" w:cs="Google Sans" w:eastAsia="Google Sans" w:hAnsi="Google Sans"/>
          <w:color w:val="1f1f1f"/>
          <w:sz w:val="26"/>
          <w:szCs w:val="26"/>
          <w:rtl w:val="0"/>
        </w:rPr>
        <w:t xml:space="preserve">7.1 The Stated Objective (UstatedU_{\text{stated}}Ustated​)</w:t>
      </w:r>
    </w:p>
    <w:p w:rsidR="00000000" w:rsidDel="00000000" w:rsidP="00000000" w:rsidRDefault="00000000" w:rsidRPr="00000000" w14:paraId="000000F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narrative of the criminal justice system defines its objective as:</w:t>
      </w:r>
    </w:p>
    <w:p w:rsidR="00000000" w:rsidDel="00000000" w:rsidP="00000000" w:rsidRDefault="00000000" w:rsidRPr="00000000" w14:paraId="000000F1">
      <w:pPr>
        <w:numPr>
          <w:ilvl w:val="0"/>
          <w:numId w:val="1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Determination of factual truth through adversarial testing</w:t>
      </w:r>
    </w:p>
    <w:p w:rsidR="00000000" w:rsidDel="00000000" w:rsidP="00000000" w:rsidRDefault="00000000" w:rsidRPr="00000000" w14:paraId="000000F2">
      <w:pPr>
        <w:numPr>
          <w:ilvl w:val="0"/>
          <w:numId w:val="1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Proportional application of punishment</w:t>
      </w:r>
    </w:p>
    <w:p w:rsidR="00000000" w:rsidDel="00000000" w:rsidP="00000000" w:rsidRDefault="00000000" w:rsidRPr="00000000" w14:paraId="000000F3">
      <w:pPr>
        <w:numPr>
          <w:ilvl w:val="0"/>
          <w:numId w:val="1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Protection of constitutional rights</w:t>
      </w:r>
    </w:p>
    <w:p w:rsidR="00000000" w:rsidDel="00000000" w:rsidP="00000000" w:rsidRDefault="00000000" w:rsidRPr="00000000" w14:paraId="000000F4">
      <w:pPr>
        <w:numPr>
          <w:ilvl w:val="0"/>
          <w:numId w:val="1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 of public safety</w:t>
      </w:r>
    </w:p>
    <w:p w:rsidR="00000000" w:rsidDel="00000000" w:rsidP="00000000" w:rsidRDefault="00000000" w:rsidRPr="00000000" w14:paraId="000000F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UstatedU_{\text{stated}}Ustated​ were the dominant optimization target, one would expect:</w:t>
      </w:r>
    </w:p>
    <w:p w:rsidR="00000000" w:rsidDel="00000000" w:rsidP="00000000" w:rsidRDefault="00000000" w:rsidRPr="00000000" w14:paraId="000000F6">
      <w:pPr>
        <w:numPr>
          <w:ilvl w:val="0"/>
          <w:numId w:val="4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Frequent use of trial-based adjudication</w:t>
      </w:r>
    </w:p>
    <w:p w:rsidR="00000000" w:rsidDel="00000000" w:rsidP="00000000" w:rsidRDefault="00000000" w:rsidRPr="00000000" w14:paraId="000000F7">
      <w:pPr>
        <w:numPr>
          <w:ilvl w:val="0"/>
          <w:numId w:val="4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penalization for exercising procedural rights</w:t>
      </w:r>
    </w:p>
    <w:p w:rsidR="00000000" w:rsidDel="00000000" w:rsidP="00000000" w:rsidRDefault="00000000" w:rsidRPr="00000000" w14:paraId="000000F8">
      <w:pPr>
        <w:numPr>
          <w:ilvl w:val="0"/>
          <w:numId w:val="4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Symmetrical investment in prosecution and defense</w:t>
      </w:r>
    </w:p>
    <w:p w:rsidR="00000000" w:rsidDel="00000000" w:rsidP="00000000" w:rsidRDefault="00000000" w:rsidRPr="00000000" w14:paraId="000000F9">
      <w:pPr>
        <w:numPr>
          <w:ilvl w:val="0"/>
          <w:numId w:val="4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penalties for outcomes that undermine accuracy (e.g., wrongful conviction)</w:t>
      </w:r>
    </w:p>
    <w:p w:rsidR="00000000" w:rsidDel="00000000" w:rsidP="00000000" w:rsidRDefault="00000000" w:rsidRPr="00000000" w14:paraId="000000FA">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spacing w:after="80" w:before="280" w:line="275.9999942779541" w:lineRule="auto"/>
        <w:rPr>
          <w:rFonts w:ascii="Google Sans" w:cs="Google Sans" w:eastAsia="Google Sans" w:hAnsi="Google Sans"/>
          <w:color w:val="1f1f1f"/>
          <w:sz w:val="26"/>
          <w:szCs w:val="26"/>
        </w:rPr>
      </w:pPr>
      <w:bookmarkStart w:colFirst="0" w:colLast="0" w:name="_2imivcmb46lw" w:id="34"/>
      <w:bookmarkEnd w:id="34"/>
      <w:r w:rsidDel="00000000" w:rsidR="00000000" w:rsidRPr="00000000">
        <w:rPr>
          <w:rFonts w:ascii="Google Sans" w:cs="Google Sans" w:eastAsia="Google Sans" w:hAnsi="Google Sans"/>
          <w:color w:val="1f1f1f"/>
          <w:sz w:val="26"/>
          <w:szCs w:val="26"/>
          <w:rtl w:val="0"/>
        </w:rPr>
        <w:t xml:space="preserve">7.2 The Inferred Effective Objective (U^\hat{U}U^)</w:t>
      </w:r>
    </w:p>
    <w:p w:rsidR="00000000" w:rsidDel="00000000" w:rsidP="00000000" w:rsidRDefault="00000000" w:rsidRPr="00000000" w14:paraId="000000F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Observed system behavior suggests a different effective objective structure. Rather than assuming intent, U^\hat{U}U^ is inferred from persistent patterns in what behaviors are rewarded and what outcomes are consistently produced.</w:t>
      </w:r>
    </w:p>
    <w:p w:rsidR="00000000" w:rsidDel="00000000" w:rsidP="00000000" w:rsidRDefault="00000000" w:rsidRPr="00000000" w14:paraId="000000FD">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4"/>
        <w:spacing w:after="40" w:before="240" w:line="275.9999942779541" w:lineRule="auto"/>
        <w:rPr>
          <w:rFonts w:ascii="Google Sans" w:cs="Google Sans" w:eastAsia="Google Sans" w:hAnsi="Google Sans"/>
          <w:color w:val="1f1f1f"/>
          <w:sz w:val="22"/>
          <w:szCs w:val="22"/>
        </w:rPr>
      </w:pPr>
      <w:bookmarkStart w:colFirst="0" w:colLast="0" w:name="_pze6qij72egw" w:id="35"/>
      <w:bookmarkEnd w:id="35"/>
      <w:r w:rsidDel="00000000" w:rsidR="00000000" w:rsidRPr="00000000">
        <w:rPr>
          <w:rFonts w:ascii="Google Sans" w:cs="Google Sans" w:eastAsia="Google Sans" w:hAnsi="Google Sans"/>
          <w:color w:val="1f1f1f"/>
          <w:sz w:val="22"/>
          <w:szCs w:val="22"/>
          <w:rtl w:val="0"/>
        </w:rPr>
        <w:t xml:space="preserve">(1) Throughput and Cost Minimization</w:t>
      </w:r>
    </w:p>
    <w:p w:rsidR="00000000" w:rsidDel="00000000" w:rsidP="00000000" w:rsidRDefault="00000000" w:rsidRPr="00000000" w14:paraId="000000F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exhibits strong incentives for rapid case resolution:</w:t>
      </w:r>
    </w:p>
    <w:p w:rsidR="00000000" w:rsidDel="00000000" w:rsidP="00000000" w:rsidRDefault="00000000" w:rsidRPr="00000000" w14:paraId="00000100">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plea rates (90–97%)</w:t>
      </w:r>
    </w:p>
    <w:p w:rsidR="00000000" w:rsidDel="00000000" w:rsidP="00000000" w:rsidRDefault="00000000" w:rsidRPr="00000000" w14:paraId="00000101">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penalties associated with trial outcomes</w:t>
      </w:r>
    </w:p>
    <w:p w:rsidR="00000000" w:rsidDel="00000000" w:rsidP="00000000" w:rsidRDefault="00000000" w:rsidRPr="00000000" w14:paraId="00000102">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Capacity constraints that would be stressed by widespread trial usage⁴</w:t>
      </w:r>
    </w:p>
    <w:p w:rsidR="00000000" w:rsidDel="00000000" w:rsidP="00000000" w:rsidRDefault="00000000" w:rsidRPr="00000000" w14:paraId="0000010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features are consistent with an objective that places substantial weight on </w:t>
      </w:r>
      <w:r w:rsidDel="00000000" w:rsidR="00000000" w:rsidRPr="00000000">
        <w:rPr>
          <w:rFonts w:ascii="Google Sans" w:cs="Google Sans" w:eastAsia="Google Sans" w:hAnsi="Google Sans"/>
          <w:b w:val="1"/>
          <w:bCs w:val="1"/>
          <w:color w:val="1f1f1f"/>
          <w:rtl w:val="0"/>
        </w:rPr>
        <w:t xml:space="preserve">throughput efficiency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adjudicative cost minimization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spacing w:after="40" w:before="240" w:line="275.9999942779541" w:lineRule="auto"/>
        <w:rPr>
          <w:rFonts w:ascii="Google Sans" w:cs="Google Sans" w:eastAsia="Google Sans" w:hAnsi="Google Sans"/>
          <w:color w:val="1f1f1f"/>
          <w:sz w:val="22"/>
          <w:szCs w:val="22"/>
        </w:rPr>
      </w:pPr>
      <w:bookmarkStart w:colFirst="0" w:colLast="0" w:name="_depj9cfuduc6" w:id="36"/>
      <w:bookmarkEnd w:id="36"/>
      <w:r w:rsidDel="00000000" w:rsidR="00000000" w:rsidRPr="00000000">
        <w:rPr>
          <w:rFonts w:ascii="Google Sans" w:cs="Google Sans" w:eastAsia="Google Sans" w:hAnsi="Google Sans"/>
          <w:color w:val="1f1f1f"/>
          <w:sz w:val="22"/>
          <w:szCs w:val="22"/>
          <w:rtl w:val="0"/>
        </w:rPr>
        <w:t xml:space="preserve">(2) Conviction Completion</w:t>
      </w:r>
    </w:p>
    <w:p w:rsidR="00000000" w:rsidDel="00000000" w:rsidP="00000000" w:rsidRDefault="00000000" w:rsidRPr="00000000" w14:paraId="0000010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incentives appear aligned with converting arrests into convictions:</w:t>
      </w:r>
    </w:p>
    <w:p w:rsidR="00000000" w:rsidDel="00000000" w:rsidP="00000000" w:rsidRDefault="00000000" w:rsidRPr="00000000" w14:paraId="00000107">
      <w:pPr>
        <w:numPr>
          <w:ilvl w:val="0"/>
          <w:numId w:val="3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conviction rates independent of trial frequency</w:t>
      </w:r>
    </w:p>
    <w:p w:rsidR="00000000" w:rsidDel="00000000" w:rsidP="00000000" w:rsidRDefault="00000000" w:rsidRPr="00000000" w14:paraId="00000108">
      <w:pPr>
        <w:numPr>
          <w:ilvl w:val="0"/>
          <w:numId w:val="3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of pretrial detention and charge leverage to secure plea outcomes</w:t>
      </w:r>
    </w:p>
    <w:p w:rsidR="00000000" w:rsidDel="00000000" w:rsidP="00000000" w:rsidRDefault="00000000" w:rsidRPr="00000000" w14:paraId="00000109">
      <w:pPr>
        <w:numPr>
          <w:ilvl w:val="0"/>
          <w:numId w:val="3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metrics and career incentives linked to case outcomes¹⁸</w:t>
      </w:r>
    </w:p>
    <w:p w:rsidR="00000000" w:rsidDel="00000000" w:rsidP="00000000" w:rsidRDefault="00000000" w:rsidRPr="00000000" w14:paraId="0000010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that pretrial detention increases the likelihood of guilty plea and conviction⁴ is consistent with a system in which </w:t>
      </w:r>
      <w:r w:rsidDel="00000000" w:rsidR="00000000" w:rsidRPr="00000000">
        <w:rPr>
          <w:rFonts w:ascii="Google Sans" w:cs="Google Sans" w:eastAsia="Google Sans" w:hAnsi="Google Sans"/>
          <w:b w:val="1"/>
          <w:bCs w:val="1"/>
          <w:color w:val="1f1f1f"/>
          <w:rtl w:val="0"/>
        </w:rPr>
        <w:t xml:space="preserve">conviction completion</w:t>
      </w:r>
      <w:r w:rsidDel="00000000" w:rsidR="00000000" w:rsidRPr="00000000">
        <w:rPr>
          <w:rFonts w:ascii="Google Sans" w:cs="Google Sans" w:eastAsia="Google Sans" w:hAnsi="Google Sans"/>
          <w:color w:val="1f1f1f"/>
          <w:rtl w:val="0"/>
        </w:rPr>
        <w:t xml:space="preserve"> is prioritized within the constraint structure.</w:t>
      </w:r>
    </w:p>
    <w:p w:rsidR="00000000" w:rsidDel="00000000" w:rsidP="00000000" w:rsidRDefault="00000000" w:rsidRPr="00000000" w14:paraId="0000010B">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spacing w:after="40" w:before="240" w:line="275.9999942779541" w:lineRule="auto"/>
        <w:rPr>
          <w:rFonts w:ascii="Google Sans" w:cs="Google Sans" w:eastAsia="Google Sans" w:hAnsi="Google Sans"/>
          <w:color w:val="1f1f1f"/>
          <w:sz w:val="22"/>
          <w:szCs w:val="22"/>
        </w:rPr>
      </w:pPr>
      <w:bookmarkStart w:colFirst="0" w:colLast="0" w:name="_1dzp04glnfwa" w:id="37"/>
      <w:bookmarkEnd w:id="37"/>
      <w:r w:rsidDel="00000000" w:rsidR="00000000" w:rsidRPr="00000000">
        <w:rPr>
          <w:rFonts w:ascii="Google Sans" w:cs="Google Sans" w:eastAsia="Google Sans" w:hAnsi="Google Sans"/>
          <w:color w:val="1f1f1f"/>
          <w:sz w:val="22"/>
          <w:szCs w:val="22"/>
          <w:rtl w:val="0"/>
        </w:rPr>
        <w:t xml:space="preserve">(3) Revenue-Linked Behavior</w:t>
      </w:r>
    </w:p>
    <w:p w:rsidR="00000000" w:rsidDel="00000000" w:rsidP="00000000" w:rsidRDefault="00000000" w:rsidRPr="00000000" w14:paraId="0000010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Certain system components exhibit behaviors consistent with revenue generation:</w:t>
      </w:r>
    </w:p>
    <w:p w:rsidR="00000000" w:rsidDel="00000000" w:rsidP="00000000" w:rsidRDefault="00000000" w:rsidRPr="00000000" w14:paraId="0000010E">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forfeiture practices totaling tens of billions of dollars over multi-decade periods¹⁷</w:t>
      </w:r>
    </w:p>
    <w:p w:rsidR="00000000" w:rsidDel="00000000" w:rsidP="00000000" w:rsidRDefault="00000000" w:rsidRPr="00000000" w14:paraId="0000010F">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forfeiture processes that operate outside full adjudication pathways²³</w:t>
      </w:r>
    </w:p>
    <w:p w:rsidR="00000000" w:rsidDel="00000000" w:rsidP="00000000" w:rsidRDefault="00000000" w:rsidRPr="00000000" w14:paraId="0000011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patterns suggest that, in some subsystems, </w:t>
      </w:r>
      <w:r w:rsidDel="00000000" w:rsidR="00000000" w:rsidRPr="00000000">
        <w:rPr>
          <w:rFonts w:ascii="Google Sans" w:cs="Google Sans" w:eastAsia="Google Sans" w:hAnsi="Google Sans"/>
          <w:b w:val="1"/>
          <w:bCs w:val="1"/>
          <w:color w:val="1f1f1f"/>
          <w:rtl w:val="0"/>
        </w:rPr>
        <w:t xml:space="preserve">institutional revenue functions as a contributing objective parameter</w:t>
      </w:r>
      <w:r w:rsidDel="00000000" w:rsidR="00000000" w:rsidRPr="00000000">
        <w:rPr>
          <w:rFonts w:ascii="Google Sans" w:cs="Google Sans" w:eastAsia="Google Sans" w:hAnsi="Google Sans"/>
          <w:color w:val="1f1f1f"/>
          <w:rtl w:val="0"/>
        </w:rPr>
        <w:t xml:space="preserve">, operating alongside other system incentives.</w:t>
      </w:r>
    </w:p>
    <w:p w:rsidR="00000000" w:rsidDel="00000000" w:rsidP="00000000" w:rsidRDefault="00000000" w:rsidRPr="00000000" w14:paraId="00000111">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spacing w:after="40" w:before="240" w:line="275.9999942779541" w:lineRule="auto"/>
        <w:rPr>
          <w:rFonts w:ascii="Google Sans" w:cs="Google Sans" w:eastAsia="Google Sans" w:hAnsi="Google Sans"/>
          <w:color w:val="1f1f1f"/>
          <w:sz w:val="22"/>
          <w:szCs w:val="22"/>
        </w:rPr>
      </w:pPr>
      <w:bookmarkStart w:colFirst="0" w:colLast="0" w:name="_w30rjjajyz0i" w:id="38"/>
      <w:bookmarkEnd w:id="38"/>
      <w:r w:rsidDel="00000000" w:rsidR="00000000" w:rsidRPr="00000000">
        <w:rPr>
          <w:rFonts w:ascii="Google Sans" w:cs="Google Sans" w:eastAsia="Google Sans" w:hAnsi="Google Sans"/>
          <w:color w:val="1f1f1f"/>
          <w:sz w:val="22"/>
          <w:szCs w:val="22"/>
          <w:rtl w:val="0"/>
        </w:rPr>
        <w:t xml:space="preserve">(4) Cost Externalization</w:t>
      </w:r>
    </w:p>
    <w:p w:rsidR="00000000" w:rsidDel="00000000" w:rsidP="00000000" w:rsidRDefault="00000000" w:rsidRPr="00000000" w14:paraId="0000011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burdens associated with system participation are disproportionately borne by defendants:</w:t>
      </w:r>
    </w:p>
    <w:p w:rsidR="00000000" w:rsidDel="00000000" w:rsidP="00000000" w:rsidRDefault="00000000" w:rsidRPr="00000000" w14:paraId="00000114">
      <w:pPr>
        <w:numPr>
          <w:ilvl w:val="0"/>
          <w:numId w:val="1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Estimated $27.7 billion annually in fines, fees, and related costs³</w:t>
      </w:r>
    </w:p>
    <w:p w:rsidR="00000000" w:rsidDel="00000000" w:rsidP="00000000" w:rsidRDefault="00000000" w:rsidRPr="00000000" w14:paraId="00000115">
      <w:pPr>
        <w:numPr>
          <w:ilvl w:val="0"/>
          <w:numId w:val="1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Bail and associated costs relative to low median incomes</w:t>
      </w:r>
    </w:p>
    <w:p w:rsidR="00000000" w:rsidDel="00000000" w:rsidP="00000000" w:rsidRDefault="00000000" w:rsidRPr="00000000" w14:paraId="0000011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patterns are consistent with a system that </w:t>
      </w:r>
      <w:r w:rsidDel="00000000" w:rsidR="00000000" w:rsidRPr="00000000">
        <w:rPr>
          <w:rFonts w:ascii="Google Sans" w:cs="Google Sans" w:eastAsia="Google Sans" w:hAnsi="Google Sans"/>
          <w:b w:val="1"/>
          <w:bCs w:val="1"/>
          <w:color w:val="1f1f1f"/>
          <w:rtl w:val="0"/>
        </w:rPr>
        <w:t xml:space="preserve">shifts adjudicative costs onto participants</w:t>
      </w:r>
      <w:r w:rsidDel="00000000" w:rsidR="00000000" w:rsidRPr="00000000">
        <w:rPr>
          <w:rFonts w:ascii="Google Sans" w:cs="Google Sans" w:eastAsia="Google Sans" w:hAnsi="Google Sans"/>
          <w:color w:val="1f1f1f"/>
          <w:rtl w:val="0"/>
        </w:rPr>
        <w:t xml:space="preserve">, particularly those with limited resources.</w:t>
      </w:r>
    </w:p>
    <w:p w:rsidR="00000000" w:rsidDel="00000000" w:rsidP="00000000" w:rsidRDefault="00000000" w:rsidRPr="00000000" w14:paraId="00000117">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spacing w:after="80" w:before="280" w:line="275.9999942779541" w:lineRule="auto"/>
        <w:rPr>
          <w:rFonts w:ascii="Google Sans" w:cs="Google Sans" w:eastAsia="Google Sans" w:hAnsi="Google Sans"/>
          <w:color w:val="1f1f1f"/>
          <w:sz w:val="26"/>
          <w:szCs w:val="26"/>
        </w:rPr>
      </w:pPr>
      <w:bookmarkStart w:colFirst="0" w:colLast="0" w:name="_ntpxa58kncqd" w:id="39"/>
      <w:bookmarkEnd w:id="39"/>
      <w:r w:rsidDel="00000000" w:rsidR="00000000" w:rsidRPr="00000000">
        <w:rPr>
          <w:rFonts w:ascii="Google Sans" w:cs="Google Sans" w:eastAsia="Google Sans" w:hAnsi="Google Sans"/>
          <w:color w:val="1f1f1f"/>
          <w:sz w:val="26"/>
          <w:szCs w:val="26"/>
          <w:rtl w:val="0"/>
        </w:rPr>
        <w:t xml:space="preserve">7.3 Interpreting U^\hat{U}U^</w:t>
      </w:r>
    </w:p>
    <w:p w:rsidR="00000000" w:rsidDel="00000000" w:rsidP="00000000" w:rsidRDefault="00000000" w:rsidRPr="00000000" w14:paraId="0000011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patterns are consistent with an effective objective function that places significant weight on:</w:t>
      </w:r>
    </w:p>
    <w:p w:rsidR="00000000" w:rsidDel="00000000" w:rsidP="00000000" w:rsidRDefault="00000000" w:rsidRPr="00000000" w14:paraId="0000011A">
      <w:pPr>
        <w:numPr>
          <w:ilvl w:val="0"/>
          <w:numId w:val="2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Throughput efficiency</w:t>
      </w:r>
    </w:p>
    <w:p w:rsidR="00000000" w:rsidDel="00000000" w:rsidP="00000000" w:rsidRDefault="00000000" w:rsidRPr="00000000" w14:paraId="0000011B">
      <w:pPr>
        <w:numPr>
          <w:ilvl w:val="0"/>
          <w:numId w:val="2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Conviction completion</w:t>
      </w:r>
    </w:p>
    <w:p w:rsidR="00000000" w:rsidDel="00000000" w:rsidP="00000000" w:rsidRDefault="00000000" w:rsidRPr="00000000" w14:paraId="0000011C">
      <w:pPr>
        <w:numPr>
          <w:ilvl w:val="0"/>
          <w:numId w:val="2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minimization under capacity constraints</w:t>
      </w:r>
    </w:p>
    <w:p w:rsidR="00000000" w:rsidDel="00000000" w:rsidP="00000000" w:rsidRDefault="00000000" w:rsidRPr="00000000" w14:paraId="0000011D">
      <w:pPr>
        <w:numPr>
          <w:ilvl w:val="0"/>
          <w:numId w:val="2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revenue-linked incentives (in specific domains)</w:t>
      </w:r>
    </w:p>
    <w:p w:rsidR="00000000" w:rsidDel="00000000" w:rsidP="00000000" w:rsidRDefault="00000000" w:rsidRPr="00000000" w14:paraId="0000011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interpretation does not require assumptions about intent or coordination. It reflects the </w:t>
      </w:r>
      <w:r w:rsidDel="00000000" w:rsidR="00000000" w:rsidRPr="00000000">
        <w:rPr>
          <w:rFonts w:ascii="Google Sans" w:cs="Google Sans" w:eastAsia="Google Sans" w:hAnsi="Google Sans"/>
          <w:b w:val="1"/>
          <w:bCs w:val="1"/>
          <w:color w:val="1f1f1f"/>
          <w:rtl w:val="0"/>
        </w:rPr>
        <w:t xml:space="preserve">equilibrium behavior</w:t>
      </w:r>
      <w:r w:rsidDel="00000000" w:rsidR="00000000" w:rsidRPr="00000000">
        <w:rPr>
          <w:rFonts w:ascii="Google Sans" w:cs="Google Sans" w:eastAsia="Google Sans" w:hAnsi="Google Sans"/>
          <w:color w:val="1f1f1f"/>
          <w:rtl w:val="0"/>
        </w:rPr>
        <w:t xml:space="preserve"> of a system operating under its current constraint architecture.</w:t>
      </w:r>
    </w:p>
    <w:p w:rsidR="00000000" w:rsidDel="00000000" w:rsidP="00000000" w:rsidRDefault="00000000" w:rsidRPr="00000000" w14:paraId="0000011F">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spacing w:after="80" w:before="280" w:line="275.9999942779541" w:lineRule="auto"/>
        <w:rPr>
          <w:rFonts w:ascii="Google Sans" w:cs="Google Sans" w:eastAsia="Google Sans" w:hAnsi="Google Sans"/>
          <w:color w:val="1f1f1f"/>
          <w:sz w:val="26"/>
          <w:szCs w:val="26"/>
        </w:rPr>
      </w:pPr>
      <w:bookmarkStart w:colFirst="0" w:colLast="0" w:name="_hmxl9uwlve37" w:id="40"/>
      <w:bookmarkEnd w:id="40"/>
      <w:r w:rsidDel="00000000" w:rsidR="00000000" w:rsidRPr="00000000">
        <w:rPr>
          <w:rFonts w:ascii="Google Sans" w:cs="Google Sans" w:eastAsia="Google Sans" w:hAnsi="Google Sans"/>
          <w:color w:val="1f1f1f"/>
          <w:sz w:val="26"/>
          <w:szCs w:val="26"/>
          <w:rtl w:val="0"/>
        </w:rPr>
        <w:t xml:space="preserve">7.4 Objective Mismatch (H₃)</w:t>
      </w:r>
    </w:p>
    <w:p w:rsidR="00000000" w:rsidDel="00000000" w:rsidP="00000000" w:rsidRDefault="00000000" w:rsidRPr="00000000" w14:paraId="0000012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divergence H3H_3H3​ between U^\hat{U}U^ and UstatedU_{\text{stated}}Ustated​ is substantial in direction and structure:</w:t>
      </w:r>
    </w:p>
    <w:p w:rsidR="00000000" w:rsidDel="00000000" w:rsidP="00000000" w:rsidRDefault="00000000" w:rsidRPr="00000000" w14:paraId="00000122">
      <w:pPr>
        <w:numPr>
          <w:ilvl w:val="0"/>
          <w:numId w:val="6"/>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Trial-based adjudication is de-emphasized relative to administrative resolution</w:t>
      </w:r>
    </w:p>
    <w:p w:rsidR="00000000" w:rsidDel="00000000" w:rsidP="00000000" w:rsidRDefault="00000000" w:rsidRPr="00000000" w14:paraId="00000123">
      <w:pPr>
        <w:numPr>
          <w:ilvl w:val="0"/>
          <w:numId w:val="6"/>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rights are associated with higher expected costs</w:t>
      </w:r>
    </w:p>
    <w:p w:rsidR="00000000" w:rsidDel="00000000" w:rsidP="00000000" w:rsidRDefault="00000000" w:rsidRPr="00000000" w14:paraId="00000124">
      <w:pPr>
        <w:numPr>
          <w:ilvl w:val="0"/>
          <w:numId w:val="6"/>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allocation is asymmetric rather than balanced</w:t>
      </w:r>
    </w:p>
    <w:p w:rsidR="00000000" w:rsidDel="00000000" w:rsidP="00000000" w:rsidRDefault="00000000" w:rsidRPr="00000000" w14:paraId="0000012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differences indicate that the system behaves in ways that are not fully aligned with its stated objectives.</w:t>
      </w:r>
    </w:p>
    <w:p w:rsidR="00000000" w:rsidDel="00000000" w:rsidP="00000000" w:rsidRDefault="00000000" w:rsidRPr="00000000" w14:paraId="00000126">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spacing w:after="80" w:before="280" w:line="275.9999942779541" w:lineRule="auto"/>
        <w:rPr>
          <w:rFonts w:ascii="Google Sans" w:cs="Google Sans" w:eastAsia="Google Sans" w:hAnsi="Google Sans"/>
          <w:color w:val="1f1f1f"/>
          <w:sz w:val="26"/>
          <w:szCs w:val="26"/>
        </w:rPr>
      </w:pPr>
      <w:bookmarkStart w:colFirst="0" w:colLast="0" w:name="_ir5zjiyvbbeg" w:id="41"/>
      <w:bookmarkEnd w:id="41"/>
      <w:r w:rsidDel="00000000" w:rsidR="00000000" w:rsidRPr="00000000">
        <w:rPr>
          <w:rFonts w:ascii="Google Sans" w:cs="Google Sans" w:eastAsia="Google Sans" w:hAnsi="Google Sans"/>
          <w:color w:val="1f1f1f"/>
          <w:sz w:val="26"/>
          <w:szCs w:val="26"/>
          <w:rtl w:val="0"/>
        </w:rPr>
        <w:t xml:space="preserve">Interpretation</w:t>
      </w:r>
    </w:p>
    <w:p w:rsidR="00000000" w:rsidDel="00000000" w:rsidP="00000000" w:rsidRDefault="00000000" w:rsidRPr="00000000" w14:paraId="0000012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Agency Calculus framework, system behavior is best understood as the outcome of </w:t>
      </w:r>
      <w:r w:rsidDel="00000000" w:rsidR="00000000" w:rsidRPr="00000000">
        <w:rPr>
          <w:rFonts w:ascii="Google Sans" w:cs="Google Sans" w:eastAsia="Google Sans" w:hAnsi="Google Sans"/>
          <w:b w:val="1"/>
          <w:bCs w:val="1"/>
          <w:color w:val="1f1f1f"/>
          <w:rtl w:val="0"/>
        </w:rPr>
        <w:t xml:space="preserve">constraint-driven optimization</w:t>
      </w:r>
      <w:r w:rsidDel="00000000" w:rsidR="00000000" w:rsidRPr="00000000">
        <w:rPr>
          <w:rFonts w:ascii="Google Sans" w:cs="Google Sans" w:eastAsia="Google Sans" w:hAnsi="Google Sans"/>
          <w:color w:val="1f1f1f"/>
          <w:rtl w:val="0"/>
        </w:rPr>
        <w:t xml:space="preserve"> rather than direct pursuit of stated goals. The system does not need to explicitly encode an objective such as “maximize throughput”; rather, given the constraint structure, outcomes emerge as if such an objective were being optimized.</w:t>
      </w:r>
    </w:p>
    <w:p w:rsidR="00000000" w:rsidDel="00000000" w:rsidP="00000000" w:rsidRDefault="00000000" w:rsidRPr="00000000" w14:paraId="0000012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distinction is critical:</w:t>
      </w:r>
    </w:p>
    <w:p w:rsidR="00000000" w:rsidDel="00000000" w:rsidP="00000000" w:rsidRDefault="00000000" w:rsidRPr="00000000" w14:paraId="0000012A">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identifies how the system behaves, not what it intends.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Style w:val="Heading2"/>
        <w:spacing w:after="80" w:before="360" w:line="275.9999942779541" w:lineRule="auto"/>
        <w:rPr>
          <w:rFonts w:ascii="Google Sans" w:cs="Google Sans" w:eastAsia="Google Sans" w:hAnsi="Google Sans"/>
          <w:color w:val="1f1f1f"/>
          <w:sz w:val="34"/>
          <w:szCs w:val="34"/>
        </w:rPr>
      </w:pPr>
      <w:bookmarkStart w:colFirst="0" w:colLast="0" w:name="_eujkxpywrjuf" w:id="42"/>
      <w:bookmarkEnd w:id="42"/>
      <w:r w:rsidDel="00000000" w:rsidR="00000000" w:rsidRPr="00000000">
        <w:rPr>
          <w:rFonts w:ascii="Google Sans" w:cs="Google Sans" w:eastAsia="Google Sans" w:hAnsi="Google Sans"/>
          <w:color w:val="1f1f1f"/>
          <w:sz w:val="34"/>
          <w:szCs w:val="34"/>
          <w:rtl w:val="0"/>
        </w:rPr>
        <w:t xml:space="preserve">8. Attribution-Integrity Gap (AIG) Analysis</w:t>
      </w:r>
    </w:p>
    <w:p w:rsidR="00000000" w:rsidDel="00000000" w:rsidP="00000000" w:rsidRDefault="00000000" w:rsidRPr="00000000" w14:paraId="000001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Attribution-Integrity Gap (AIG) measures the divergence between </w:t>
      </w:r>
      <w:r w:rsidDel="00000000" w:rsidR="00000000" w:rsidRPr="00000000">
        <w:rPr>
          <w:rFonts w:ascii="Google Sans" w:cs="Google Sans" w:eastAsia="Google Sans" w:hAnsi="Google Sans"/>
          <w:b w:val="1"/>
          <w:bCs w:val="1"/>
          <w:color w:val="1f1f1f"/>
          <w:rtl w:val="0"/>
        </w:rPr>
        <w:t xml:space="preserve">publicly attributed control structures</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structural control distribution</w:t>
      </w:r>
      <w:r w:rsidDel="00000000" w:rsidR="00000000" w:rsidRPr="00000000">
        <w:rPr>
          <w:rFonts w:ascii="Google Sans" w:cs="Google Sans" w:eastAsia="Google Sans" w:hAnsi="Google Sans"/>
          <w:color w:val="1f1f1f"/>
          <w:rtl w:val="0"/>
        </w:rPr>
        <w:t xml:space="preserve"> recovered through the C&amp;C framework.¹⁰ It captures how accurately the information environment represents the mechanisms that generate system outcomes.</w:t>
      </w:r>
    </w:p>
    <w:p w:rsidR="00000000" w:rsidDel="00000000" w:rsidP="00000000" w:rsidRDefault="00000000" w:rsidRPr="00000000" w14:paraId="0000012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AIG is evaluated across four epistemic channels:</w:t>
      </w:r>
    </w:p>
    <w:p w:rsidR="00000000" w:rsidDel="00000000" w:rsidP="00000000" w:rsidRDefault="00000000" w:rsidRPr="00000000" w14:paraId="0000012F">
      <w:pPr>
        <w:numPr>
          <w:ilvl w:val="0"/>
          <w:numId w:val="2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Misattribution (M):</w:t>
      </w:r>
      <w:r w:rsidDel="00000000" w:rsidR="00000000" w:rsidRPr="00000000">
        <w:rPr>
          <w:rFonts w:ascii="Google Sans" w:cs="Google Sans" w:eastAsia="Google Sans" w:hAnsi="Google Sans"/>
          <w:color w:val="1f1f1f"/>
          <w:rtl w:val="0"/>
        </w:rPr>
        <w:t xml:space="preserve"> Degree to which control is assigned to actors who do not materially determine outcomes</w:t>
      </w:r>
    </w:p>
    <w:p w:rsidR="00000000" w:rsidDel="00000000" w:rsidP="00000000" w:rsidRDefault="00000000" w:rsidRPr="00000000" w14:paraId="00000130">
      <w:pPr>
        <w:numPr>
          <w:ilvl w:val="0"/>
          <w:numId w:val="28"/>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Viewpoint Entropy (VE):</w:t>
      </w:r>
      <w:r w:rsidDel="00000000" w:rsidR="00000000" w:rsidRPr="00000000">
        <w:rPr>
          <w:rFonts w:ascii="Google Sans" w:cs="Google Sans" w:eastAsia="Google Sans" w:hAnsi="Google Sans"/>
          <w:color w:val="1f1f1f"/>
          <w:rtl w:val="0"/>
        </w:rPr>
        <w:t xml:space="preserve"> Diversity of explanations available within the information environment</w:t>
      </w:r>
    </w:p>
    <w:p w:rsidR="00000000" w:rsidDel="00000000" w:rsidP="00000000" w:rsidRDefault="00000000" w:rsidRPr="00000000" w14:paraId="00000131">
      <w:pPr>
        <w:numPr>
          <w:ilvl w:val="0"/>
          <w:numId w:val="28"/>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Claim Integrity (CI):</w:t>
      </w:r>
      <w:r w:rsidDel="00000000" w:rsidR="00000000" w:rsidRPr="00000000">
        <w:rPr>
          <w:rFonts w:ascii="Google Sans" w:cs="Google Sans" w:eastAsia="Google Sans" w:hAnsi="Google Sans"/>
          <w:color w:val="1f1f1f"/>
          <w:rtl w:val="0"/>
        </w:rPr>
        <w:t xml:space="preserve"> Alignment between widely circulated claims and empirically observable system behavior</w:t>
      </w:r>
    </w:p>
    <w:p w:rsidR="00000000" w:rsidDel="00000000" w:rsidP="00000000" w:rsidRDefault="00000000" w:rsidRPr="00000000" w14:paraId="00000132">
      <w:pPr>
        <w:numPr>
          <w:ilvl w:val="0"/>
          <w:numId w:val="28"/>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Correction Half-life (τ₍c₎):</w:t>
      </w:r>
      <w:r w:rsidDel="00000000" w:rsidR="00000000" w:rsidRPr="00000000">
        <w:rPr>
          <w:rFonts w:ascii="Google Sans" w:cs="Google Sans" w:eastAsia="Google Sans" w:hAnsi="Google Sans"/>
          <w:color w:val="1f1f1f"/>
          <w:rtl w:val="0"/>
        </w:rPr>
        <w:t xml:space="preserve"> Speed at which inaccurate models are updated or replaced</w:t>
      </w:r>
    </w:p>
    <w:p w:rsidR="00000000" w:rsidDel="00000000" w:rsidP="00000000" w:rsidRDefault="00000000" w:rsidRPr="00000000" w14:paraId="00000133">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spacing w:after="80" w:before="280" w:line="275.9999942779541" w:lineRule="auto"/>
        <w:rPr>
          <w:rFonts w:ascii="Google Sans" w:cs="Google Sans" w:eastAsia="Google Sans" w:hAnsi="Google Sans"/>
          <w:color w:val="1f1f1f"/>
          <w:sz w:val="26"/>
          <w:szCs w:val="26"/>
        </w:rPr>
      </w:pPr>
      <w:bookmarkStart w:colFirst="0" w:colLast="0" w:name="_ucxem0fe8gkb" w:id="43"/>
      <w:bookmarkEnd w:id="43"/>
      <w:r w:rsidDel="00000000" w:rsidR="00000000" w:rsidRPr="00000000">
        <w:rPr>
          <w:rFonts w:ascii="Google Sans" w:cs="Google Sans" w:eastAsia="Google Sans" w:hAnsi="Google Sans"/>
          <w:color w:val="1f1f1f"/>
          <w:sz w:val="26"/>
          <w:szCs w:val="26"/>
          <w:rtl w:val="0"/>
        </w:rPr>
        <w:t xml:space="preserve">8.1 Over-Attribution: Trial-Centric Models of Control</w:t>
      </w:r>
    </w:p>
    <w:p w:rsidR="00000000" w:rsidDel="00000000" w:rsidP="00000000" w:rsidRDefault="00000000" w:rsidRPr="00000000" w14:paraId="000001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narratives of the criminal justice system are strongly oriented around the courtroom trial. Media representations, civic education, and political discourse emphasize:</w:t>
      </w:r>
    </w:p>
    <w:p w:rsidR="00000000" w:rsidDel="00000000" w:rsidP="00000000" w:rsidRDefault="00000000" w:rsidRPr="00000000" w14:paraId="00000136">
      <w:pPr>
        <w:numPr>
          <w:ilvl w:val="0"/>
          <w:numId w:val="3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decision-making</w:t>
      </w:r>
    </w:p>
    <w:p w:rsidR="00000000" w:rsidDel="00000000" w:rsidP="00000000" w:rsidRDefault="00000000" w:rsidRPr="00000000" w14:paraId="00000137">
      <w:pPr>
        <w:numPr>
          <w:ilvl w:val="0"/>
          <w:numId w:val="33"/>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Jury-based fact-finding</w:t>
      </w:r>
    </w:p>
    <w:p w:rsidR="00000000" w:rsidDel="00000000" w:rsidP="00000000" w:rsidRDefault="00000000" w:rsidRPr="00000000" w14:paraId="00000138">
      <w:pPr>
        <w:numPr>
          <w:ilvl w:val="0"/>
          <w:numId w:val="3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testing of evidence</w:t>
      </w:r>
    </w:p>
    <w:p w:rsidR="00000000" w:rsidDel="00000000" w:rsidP="00000000" w:rsidRDefault="00000000" w:rsidRPr="00000000" w14:paraId="0000013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model, outcomes are attributed primarily to judges and juries.</w:t>
      </w:r>
    </w:p>
    <w:p w:rsidR="00000000" w:rsidDel="00000000" w:rsidP="00000000" w:rsidRDefault="00000000" w:rsidRPr="00000000" w14:paraId="0000013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as established in previous sections, the majority of cases are resolved through plea agreements rather than trial.⁴ This creates a structural mismatch between:</w:t>
      </w:r>
    </w:p>
    <w:p w:rsidR="00000000" w:rsidDel="00000000" w:rsidP="00000000" w:rsidRDefault="00000000" w:rsidRPr="00000000" w14:paraId="0000013B">
      <w:pPr>
        <w:numPr>
          <w:ilvl w:val="0"/>
          <w:numId w:val="4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Highly visible processes</w:t>
      </w:r>
      <w:r w:rsidDel="00000000" w:rsidR="00000000" w:rsidRPr="00000000">
        <w:rPr>
          <w:rFonts w:ascii="Google Sans" w:cs="Google Sans" w:eastAsia="Google Sans" w:hAnsi="Google Sans"/>
          <w:color w:val="1f1f1f"/>
          <w:rtl w:val="0"/>
        </w:rPr>
        <w:t xml:space="preserve"> (trials)</w:t>
      </w:r>
    </w:p>
    <w:p w:rsidR="00000000" w:rsidDel="00000000" w:rsidP="00000000" w:rsidRDefault="00000000" w:rsidRPr="00000000" w14:paraId="0000013C">
      <w:pPr>
        <w:numPr>
          <w:ilvl w:val="0"/>
          <w:numId w:val="4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High-frequency processes</w:t>
      </w:r>
      <w:r w:rsidDel="00000000" w:rsidR="00000000" w:rsidRPr="00000000">
        <w:rPr>
          <w:rFonts w:ascii="Google Sans" w:cs="Google Sans" w:eastAsia="Google Sans" w:hAnsi="Google Sans"/>
          <w:color w:val="1f1f1f"/>
          <w:rtl w:val="0"/>
        </w:rPr>
        <w:t xml:space="preserve"> (plea negotiations)</w:t>
      </w:r>
    </w:p>
    <w:p w:rsidR="00000000" w:rsidDel="00000000" w:rsidP="00000000" w:rsidRDefault="00000000" w:rsidRPr="00000000" w14:paraId="0000013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mismatch contributes to elevated </w:t>
      </w:r>
      <w:r w:rsidDel="00000000" w:rsidR="00000000" w:rsidRPr="00000000">
        <w:rPr>
          <w:rFonts w:ascii="Google Sans" w:cs="Google Sans" w:eastAsia="Google Sans" w:hAnsi="Google Sans"/>
          <w:b w:val="1"/>
          <w:bCs w:val="1"/>
          <w:color w:val="1f1f1f"/>
          <w:rtl w:val="0"/>
        </w:rPr>
        <w:t xml:space="preserve">Misattribution (M)</w:t>
      </w:r>
      <w:r w:rsidDel="00000000" w:rsidR="00000000" w:rsidRPr="00000000">
        <w:rPr>
          <w:rFonts w:ascii="Google Sans" w:cs="Google Sans" w:eastAsia="Google Sans" w:hAnsi="Google Sans"/>
          <w:color w:val="1f1f1f"/>
          <w:rtl w:val="0"/>
        </w:rPr>
        <w:t xml:space="preserve">, as control is disproportionately assigned to actors who participate in a minority of case resolutions.</w:t>
      </w:r>
    </w:p>
    <w:p w:rsidR="00000000" w:rsidDel="00000000" w:rsidP="00000000" w:rsidRDefault="00000000" w:rsidRPr="00000000" w14:paraId="0000013E">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spacing w:after="80" w:before="280" w:line="275.9999942779541" w:lineRule="auto"/>
        <w:rPr>
          <w:rFonts w:ascii="Google Sans" w:cs="Google Sans" w:eastAsia="Google Sans" w:hAnsi="Google Sans"/>
          <w:color w:val="1f1f1f"/>
          <w:sz w:val="26"/>
          <w:szCs w:val="26"/>
        </w:rPr>
      </w:pPr>
      <w:bookmarkStart w:colFirst="0" w:colLast="0" w:name="_oz31owx45ruv" w:id="44"/>
      <w:bookmarkEnd w:id="44"/>
      <w:r w:rsidDel="00000000" w:rsidR="00000000" w:rsidRPr="00000000">
        <w:rPr>
          <w:rFonts w:ascii="Google Sans" w:cs="Google Sans" w:eastAsia="Google Sans" w:hAnsi="Google Sans"/>
          <w:color w:val="1f1f1f"/>
          <w:sz w:val="26"/>
          <w:szCs w:val="26"/>
          <w:rtl w:val="0"/>
        </w:rPr>
        <w:t xml:space="preserve">8.2 Informational Structure and Process Visibility</w:t>
      </w:r>
    </w:p>
    <w:p w:rsidR="00000000" w:rsidDel="00000000" w:rsidP="00000000" w:rsidRDefault="00000000" w:rsidRPr="00000000" w14:paraId="0000014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disparity in attribution is reinforced by differences in process visibility:</w:t>
      </w:r>
    </w:p>
    <w:p w:rsidR="00000000" w:rsidDel="00000000" w:rsidP="00000000" w:rsidRDefault="00000000" w:rsidRPr="00000000" w14:paraId="00000141">
      <w:pPr>
        <w:numPr>
          <w:ilvl w:val="0"/>
          <w:numId w:val="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Trials are public, formalized, and extensively documented</w:t>
      </w:r>
    </w:p>
    <w:p w:rsidR="00000000" w:rsidDel="00000000" w:rsidP="00000000" w:rsidRDefault="00000000" w:rsidRPr="00000000" w14:paraId="00000142">
      <w:pPr>
        <w:numPr>
          <w:ilvl w:val="0"/>
          <w:numId w:val="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 negotiations are informal, minimally documented, and less accessible to external observation</w:t>
      </w:r>
    </w:p>
    <w:p w:rsidR="00000000" w:rsidDel="00000000" w:rsidP="00000000" w:rsidRDefault="00000000" w:rsidRPr="00000000" w14:paraId="0000014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high-visibility processes dominate public understanding, they disproportionately shape perceived control—even when they are not the primary drivers of outcomes.</w:t>
      </w:r>
    </w:p>
    <w:p w:rsidR="00000000" w:rsidDel="00000000" w:rsidP="00000000" w:rsidRDefault="00000000" w:rsidRPr="00000000" w14:paraId="0000014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result, the system’s dominant resolution mechanism operates with comparatively low transparency, limiting feedback between observed outcomes and public models of system behavior.</w:t>
      </w:r>
    </w:p>
    <w:p w:rsidR="00000000" w:rsidDel="00000000" w:rsidP="00000000" w:rsidRDefault="00000000" w:rsidRPr="00000000" w14:paraId="00000145">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spacing w:after="80" w:before="280" w:line="275.9999942779541" w:lineRule="auto"/>
        <w:rPr>
          <w:rFonts w:ascii="Google Sans" w:cs="Google Sans" w:eastAsia="Google Sans" w:hAnsi="Google Sans"/>
          <w:color w:val="1f1f1f"/>
          <w:sz w:val="26"/>
          <w:szCs w:val="26"/>
        </w:rPr>
      </w:pPr>
      <w:bookmarkStart w:colFirst="0" w:colLast="0" w:name="_8glwszv8ta5v" w:id="45"/>
      <w:bookmarkEnd w:id="45"/>
      <w:r w:rsidDel="00000000" w:rsidR="00000000" w:rsidRPr="00000000">
        <w:rPr>
          <w:rFonts w:ascii="Google Sans" w:cs="Google Sans" w:eastAsia="Google Sans" w:hAnsi="Google Sans"/>
          <w:color w:val="1f1f1f"/>
          <w:sz w:val="26"/>
          <w:szCs w:val="26"/>
          <w:rtl w:val="0"/>
        </w:rPr>
        <w:t xml:space="preserve">8.3 Under-Attribution: Constraint-Setting Actors</w:t>
      </w:r>
    </w:p>
    <w:p w:rsidR="00000000" w:rsidDel="00000000" w:rsidP="00000000" w:rsidRDefault="00000000" w:rsidRPr="00000000" w14:paraId="0000014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downstream actors (judges, juries) are over-attributed, upstream constraint-setting actors are comparatively under-attributed in public narratives.</w:t>
      </w:r>
    </w:p>
    <w:p w:rsidR="00000000" w:rsidDel="00000000" w:rsidP="00000000" w:rsidRDefault="00000000" w:rsidRPr="00000000" w14:paraId="0000014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include:</w:t>
      </w:r>
    </w:p>
    <w:p w:rsidR="00000000" w:rsidDel="00000000" w:rsidP="00000000" w:rsidRDefault="00000000" w:rsidRPr="00000000" w14:paraId="00000149">
      <w:pPr>
        <w:numPr>
          <w:ilvl w:val="0"/>
          <w:numId w:val="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Prosecutors, in their role as designers of charging configurations and plea structures</w:t>
      </w:r>
    </w:p>
    <w:p w:rsidR="00000000" w:rsidDel="00000000" w:rsidP="00000000" w:rsidRDefault="00000000" w:rsidRPr="00000000" w14:paraId="0000014A">
      <w:pPr>
        <w:numPr>
          <w:ilvl w:val="0"/>
          <w:numId w:val="8"/>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Legislatures, in their role establishing sentencing rules, bail systems, and funding allocations</w:t>
      </w:r>
    </w:p>
    <w:p w:rsidR="00000000" w:rsidDel="00000000" w:rsidP="00000000" w:rsidRDefault="00000000" w:rsidRPr="00000000" w14:paraId="0000014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organized stakeholder groups—including professional associations and industry participants—engage in policy advocacy that shapes the legal and institutional environment in which these constraints are defined.</w:t>
      </w:r>
    </w:p>
    <w:p w:rsidR="00000000" w:rsidDel="00000000" w:rsidP="00000000" w:rsidRDefault="00000000" w:rsidRPr="00000000" w14:paraId="0000014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discourse often frames these actors in narrower functional roles (e.g., advocacy, representation), which may understate their influence on system-wide constraint architecture.</w:t>
      </w:r>
    </w:p>
    <w:p w:rsidR="00000000" w:rsidDel="00000000" w:rsidP="00000000" w:rsidRDefault="00000000" w:rsidRPr="00000000" w14:paraId="0000014D">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spacing w:after="80" w:before="280" w:line="275.9999942779541" w:lineRule="auto"/>
        <w:rPr>
          <w:rFonts w:ascii="Google Sans" w:cs="Google Sans" w:eastAsia="Google Sans" w:hAnsi="Google Sans"/>
          <w:color w:val="1f1f1f"/>
          <w:sz w:val="26"/>
          <w:szCs w:val="26"/>
        </w:rPr>
      </w:pPr>
      <w:bookmarkStart w:colFirst="0" w:colLast="0" w:name="_1ymja9qm73el" w:id="46"/>
      <w:bookmarkEnd w:id="46"/>
      <w:r w:rsidDel="00000000" w:rsidR="00000000" w:rsidRPr="00000000">
        <w:rPr>
          <w:rFonts w:ascii="Google Sans" w:cs="Google Sans" w:eastAsia="Google Sans" w:hAnsi="Google Sans"/>
          <w:color w:val="1f1f1f"/>
          <w:sz w:val="26"/>
          <w:szCs w:val="26"/>
          <w:rtl w:val="0"/>
        </w:rPr>
        <w:t xml:space="preserve">8.4 Persistence of Attribution Gaps</w:t>
      </w:r>
    </w:p>
    <w:p w:rsidR="00000000" w:rsidDel="00000000" w:rsidP="00000000" w:rsidRDefault="00000000" w:rsidRPr="00000000" w14:paraId="0000014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persistence of the AIG can be understood through the interaction of the four channels:</w:t>
      </w:r>
    </w:p>
    <w:p w:rsidR="00000000" w:rsidDel="00000000" w:rsidP="00000000" w:rsidRDefault="00000000" w:rsidRPr="00000000" w14:paraId="00000150">
      <w:pPr>
        <w:numPr>
          <w:ilvl w:val="0"/>
          <w:numId w:val="4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Misattribution (M):</w:t>
      </w:r>
      <w:r w:rsidDel="00000000" w:rsidR="00000000" w:rsidRPr="00000000">
        <w:rPr>
          <w:rFonts w:ascii="Google Sans" w:cs="Google Sans" w:eastAsia="Google Sans" w:hAnsi="Google Sans"/>
          <w:color w:val="1f1f1f"/>
          <w:rtl w:val="0"/>
        </w:rPr>
        <w:t xml:space="preserve"> Concentration of perceived control in highly visible but less frequently engaged actors</w:t>
      </w:r>
    </w:p>
    <w:p w:rsidR="00000000" w:rsidDel="00000000" w:rsidP="00000000" w:rsidRDefault="00000000" w:rsidRPr="00000000" w14:paraId="00000151">
      <w:pPr>
        <w:numPr>
          <w:ilvl w:val="0"/>
          <w:numId w:val="4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Viewpoint Entropy (VE):</w:t>
      </w:r>
      <w:r w:rsidDel="00000000" w:rsidR="00000000" w:rsidRPr="00000000">
        <w:rPr>
          <w:rFonts w:ascii="Google Sans" w:cs="Google Sans" w:eastAsia="Google Sans" w:hAnsi="Google Sans"/>
          <w:color w:val="1f1f1f"/>
          <w:rtl w:val="0"/>
        </w:rPr>
        <w:t xml:space="preserve"> Limited exposure to structural explanations relative to narrative models</w:t>
      </w:r>
    </w:p>
    <w:p w:rsidR="00000000" w:rsidDel="00000000" w:rsidP="00000000" w:rsidRDefault="00000000" w:rsidRPr="00000000" w14:paraId="00000152">
      <w:pPr>
        <w:numPr>
          <w:ilvl w:val="0"/>
          <w:numId w:val="4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Claim Integrity (CI):</w:t>
      </w:r>
      <w:r w:rsidDel="00000000" w:rsidR="00000000" w:rsidRPr="00000000">
        <w:rPr>
          <w:rFonts w:ascii="Google Sans" w:cs="Google Sans" w:eastAsia="Google Sans" w:hAnsi="Google Sans"/>
          <w:color w:val="1f1f1f"/>
          <w:rtl w:val="0"/>
        </w:rPr>
        <w:t xml:space="preserve"> Partial alignment between public claims and observable system behavior</w:t>
      </w:r>
    </w:p>
    <w:p w:rsidR="00000000" w:rsidDel="00000000" w:rsidP="00000000" w:rsidRDefault="00000000" w:rsidRPr="00000000" w14:paraId="00000153">
      <w:pPr>
        <w:numPr>
          <w:ilvl w:val="0"/>
          <w:numId w:val="4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Correction Half-life (τ₍c₎):</w:t>
      </w:r>
      <w:r w:rsidDel="00000000" w:rsidR="00000000" w:rsidRPr="00000000">
        <w:rPr>
          <w:rFonts w:ascii="Google Sans" w:cs="Google Sans" w:eastAsia="Google Sans" w:hAnsi="Google Sans"/>
          <w:color w:val="1f1f1f"/>
          <w:rtl w:val="0"/>
        </w:rPr>
        <w:t xml:space="preserve"> Slow updating of public models despite accumulating empirical evidence</w:t>
      </w:r>
    </w:p>
    <w:p w:rsidR="00000000" w:rsidDel="00000000" w:rsidP="00000000" w:rsidRDefault="00000000" w:rsidRPr="00000000" w14:paraId="0000015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despite extensive empirical literature documenting plea dominance and systemic incarceration patterns, the adversarial trial remains the dominant reference point in public understanding.</w:t>
      </w:r>
    </w:p>
    <w:p w:rsidR="00000000" w:rsidDel="00000000" w:rsidP="00000000" w:rsidRDefault="00000000" w:rsidRPr="00000000" w14:paraId="00000155">
      <w:pPr>
        <w:spacing w:after="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spacing w:after="80" w:before="280" w:line="275.9999942779541" w:lineRule="auto"/>
        <w:rPr>
          <w:rFonts w:ascii="Google Sans" w:cs="Google Sans" w:eastAsia="Google Sans" w:hAnsi="Google Sans"/>
          <w:color w:val="1f1f1f"/>
          <w:sz w:val="26"/>
          <w:szCs w:val="26"/>
        </w:rPr>
      </w:pPr>
      <w:bookmarkStart w:colFirst="0" w:colLast="0" w:name="_6dioa2a532zs" w:id="47"/>
      <w:bookmarkEnd w:id="47"/>
      <w:r w:rsidDel="00000000" w:rsidR="00000000" w:rsidRPr="00000000">
        <w:rPr>
          <w:rFonts w:ascii="Google Sans" w:cs="Google Sans" w:eastAsia="Google Sans" w:hAnsi="Google Sans"/>
          <w:color w:val="1f1f1f"/>
          <w:sz w:val="26"/>
          <w:szCs w:val="26"/>
          <w:rtl w:val="0"/>
        </w:rPr>
        <w:t xml:space="preserve">8.5 Interpretation</w:t>
      </w:r>
    </w:p>
    <w:p w:rsidR="00000000" w:rsidDel="00000000" w:rsidP="00000000" w:rsidRDefault="00000000" w:rsidRPr="00000000" w14:paraId="0000015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AIG does not imply intentional misrepresentation. Rather, it reflects a structural property of the information environment:</w:t>
      </w:r>
    </w:p>
    <w:p w:rsidR="00000000" w:rsidDel="00000000" w:rsidP="00000000" w:rsidRDefault="00000000" w:rsidRPr="00000000" w14:paraId="00000158">
      <w:pPr>
        <w:numPr>
          <w:ilvl w:val="0"/>
          <w:numId w:val="1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High-visibility processes shape perception</w:t>
      </w:r>
    </w:p>
    <w:p w:rsidR="00000000" w:rsidDel="00000000" w:rsidP="00000000" w:rsidRDefault="00000000" w:rsidRPr="00000000" w14:paraId="00000159">
      <w:pPr>
        <w:numPr>
          <w:ilvl w:val="0"/>
          <w:numId w:val="18"/>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Low-visibility processes shape outcomes</w:t>
      </w:r>
    </w:p>
    <w:p w:rsidR="00000000" w:rsidDel="00000000" w:rsidP="00000000" w:rsidRDefault="00000000" w:rsidRPr="00000000" w14:paraId="0000015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divergence results in persistent gaps between </w:t>
      </w:r>
      <w:r w:rsidDel="00000000" w:rsidR="00000000" w:rsidRPr="00000000">
        <w:rPr>
          <w:rFonts w:ascii="Google Sans" w:cs="Google Sans" w:eastAsia="Google Sans" w:hAnsi="Google Sans"/>
          <w:b w:val="1"/>
          <w:bCs w:val="1"/>
          <w:color w:val="1f1f1f"/>
          <w:rtl w:val="0"/>
        </w:rPr>
        <w:t xml:space="preserve">perceived control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actual control</w:t>
      </w:r>
      <w:r w:rsidDel="00000000" w:rsidR="00000000" w:rsidRPr="00000000">
        <w:rPr>
          <w:rFonts w:ascii="Google Sans" w:cs="Google Sans" w:eastAsia="Google Sans" w:hAnsi="Google Sans"/>
          <w:color w:val="1f1f1f"/>
          <w:rtl w:val="0"/>
        </w:rPr>
        <w:t xml:space="preserve">, reinforcing narrative models that do not fully account for the system’s operational dynamics.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pStyle w:val="Heading2"/>
        <w:spacing w:after="80" w:before="360" w:line="275.9999942779541" w:lineRule="auto"/>
        <w:ind w:left="570" w:hanging="360"/>
        <w:rPr>
          <w:rFonts w:ascii="Google Sans" w:cs="Google Sans" w:eastAsia="Google Sans" w:hAnsi="Google Sans"/>
          <w:color w:val="1f1f1f"/>
          <w:sz w:val="34"/>
          <w:szCs w:val="34"/>
        </w:rPr>
      </w:pPr>
      <w:bookmarkStart w:colFirst="0" w:colLast="0" w:name="_wmkl5ab4ez4h" w:id="48"/>
      <w:bookmarkEnd w:id="48"/>
      <w:r w:rsidDel="00000000" w:rsidR="00000000" w:rsidRPr="00000000">
        <w:rPr>
          <w:rFonts w:ascii="Google Sans" w:cs="Google Sans" w:eastAsia="Google Sans" w:hAnsi="Google Sans"/>
          <w:color w:val="1f1f1f"/>
          <w:sz w:val="34"/>
          <w:szCs w:val="34"/>
          <w:rtl w:val="0"/>
        </w:rPr>
        <w:t xml:space="preserve">9. Key Testable Predictions and Intervention Topology</w:t>
      </w:r>
    </w:p>
    <w:p w:rsidR="00000000" w:rsidDel="00000000" w:rsidP="00000000" w:rsidRDefault="00000000" w:rsidRPr="00000000" w14:paraId="0000015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Structural Response operators—</w:t>
      </w:r>
      <w:r w:rsidDel="00000000" w:rsidR="00000000" w:rsidRPr="00000000">
        <w:rPr>
          <w:rFonts w:ascii="Google Sans" w:cs="Google Sans" w:eastAsia="Google Sans" w:hAnsi="Google Sans"/>
          <w:b w:val="1"/>
          <w:bCs w:val="1"/>
          <w:color w:val="1f1f1f"/>
          <w:rtl w:val="0"/>
        </w:rPr>
        <w:t xml:space="preserve">Greatest Gains (G)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Resistance (R)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Pressure (P)</w:t>
      </w:r>
      <w:r w:rsidDel="00000000" w:rsidR="00000000" w:rsidRPr="00000000">
        <w:rPr>
          <w:rFonts w:ascii="Google Sans" w:cs="Google Sans" w:eastAsia="Google Sans" w:hAnsi="Google Sans"/>
          <w:color w:val="1f1f1f"/>
          <w:rtl w:val="0"/>
        </w:rPr>
        <w:t xml:space="preserve">—extends the C&amp;C framework from diagnostic analysis to predictive topology. These operators identify where interventions are likely to exert structural leverage, how the system may adapt in response, and where defensive responses are most likely to concentrate.¹⁰</w:t>
      </w:r>
    </w:p>
    <w:p w:rsidR="00000000" w:rsidDel="00000000" w:rsidP="00000000" w:rsidRDefault="00000000" w:rsidRPr="00000000" w14:paraId="0000015E">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spacing w:after="80" w:before="280" w:line="275.9999942779541" w:lineRule="auto"/>
        <w:ind w:left="570" w:hanging="360"/>
        <w:rPr>
          <w:rFonts w:ascii="Google Sans" w:cs="Google Sans" w:eastAsia="Google Sans" w:hAnsi="Google Sans"/>
          <w:color w:val="1f1f1f"/>
          <w:sz w:val="26"/>
          <w:szCs w:val="26"/>
        </w:rPr>
      </w:pPr>
      <w:bookmarkStart w:colFirst="0" w:colLast="0" w:name="_nw46yo6mjw5w" w:id="49"/>
      <w:bookmarkEnd w:id="49"/>
      <w:r w:rsidDel="00000000" w:rsidR="00000000" w:rsidRPr="00000000">
        <w:rPr>
          <w:rFonts w:ascii="Google Sans" w:cs="Google Sans" w:eastAsia="Google Sans" w:hAnsi="Google Sans"/>
          <w:color w:val="1f1f1f"/>
          <w:sz w:val="26"/>
          <w:szCs w:val="26"/>
          <w:rtl w:val="0"/>
        </w:rPr>
        <w:t xml:space="preserve">9.1 Greatest Gains (G) and Policy Levers</w:t>
      </w:r>
    </w:p>
    <w:p w:rsidR="00000000" w:rsidDel="00000000" w:rsidP="00000000" w:rsidRDefault="00000000" w:rsidRPr="00000000" w14:paraId="0000016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operator GGG measures the marginal sensitivity of system outcomes to interventions at specific nodes.¹⁰ Interventions that act on variables within an existing constraint map—such as individual-level training or marginal increases in staffing without structural change—are expected to produce limited effects, as they do not alter the underlying feasible sets.</w:t>
      </w:r>
    </w:p>
    <w:p w:rsidR="00000000" w:rsidDel="00000000" w:rsidP="00000000" w:rsidRDefault="00000000" w:rsidRPr="00000000" w14:paraId="0000016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high-leverage interventions GhighG^{\text{high}}Ghigh target </w:t>
      </w:r>
      <w:r w:rsidDel="00000000" w:rsidR="00000000" w:rsidRPr="00000000">
        <w:rPr>
          <w:rFonts w:ascii="Google Sans" w:cs="Google Sans" w:eastAsia="Google Sans" w:hAnsi="Google Sans"/>
          <w:b w:val="1"/>
          <w:bCs w:val="1"/>
          <w:color w:val="1f1f1f"/>
          <w:rtl w:val="0"/>
        </w:rPr>
        <w:t xml:space="preserve">binding bottlenecks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7f9q9gn71by6" w:id="50"/>
      <w:bookmarkEnd w:id="50"/>
      <w:r w:rsidDel="00000000" w:rsidR="00000000" w:rsidRPr="00000000">
        <w:rPr>
          <w:rFonts w:ascii="Google Sans" w:cs="Google Sans" w:eastAsia="Google Sans" w:hAnsi="Google Sans"/>
          <w:color w:val="1f1f1f"/>
          <w:sz w:val="22"/>
          <w:szCs w:val="22"/>
          <w:rtl w:val="0"/>
        </w:rPr>
        <w:t xml:space="preserve">(1) Elimination of Cash Bail (Temporal Bottleneck Relief)</w:t>
      </w:r>
    </w:p>
    <w:p w:rsidR="00000000" w:rsidDel="00000000" w:rsidP="00000000" w:rsidRDefault="00000000" w:rsidRPr="00000000" w14:paraId="0000016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Removing wealth-based pretrial detention alters the constraint map ϕbail\phi_{\text{bail}}ϕbail​ applied to defendants. By reducing temporal pressure associated with detention, this intervention expands the feasible set of adjudication pathways.</w:t>
      </w:r>
    </w:p>
    <w:p w:rsidR="00000000" w:rsidDel="00000000" w:rsidP="00000000" w:rsidRDefault="00000000" w:rsidRPr="00000000" w14:paraId="0000016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from jurisdictions implementing bail reform shows substantial reductions in pretrial detention without corresponding increases in re-arrest rates.¹² These outcomes are consistent with the hypothesis that pretrial detention functions as a key constraint influencing case resolution.</w:t>
      </w:r>
    </w:p>
    <w:p w:rsidR="00000000" w:rsidDel="00000000" w:rsidP="00000000" w:rsidRDefault="00000000" w:rsidRPr="00000000" w14:paraId="00000166">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wtg6moh2mr26" w:id="51"/>
      <w:bookmarkEnd w:id="51"/>
      <w:r w:rsidDel="00000000" w:rsidR="00000000" w:rsidRPr="00000000">
        <w:rPr>
          <w:rFonts w:ascii="Google Sans" w:cs="Google Sans" w:eastAsia="Google Sans" w:hAnsi="Google Sans"/>
          <w:color w:val="1f1f1f"/>
          <w:sz w:val="22"/>
          <w:szCs w:val="22"/>
          <w:rtl w:val="0"/>
        </w:rPr>
        <w:t xml:space="preserve">(2) Resource Parity Mandates (Economic Bottleneck Relief)</w:t>
      </w:r>
    </w:p>
    <w:p w:rsidR="00000000" w:rsidDel="00000000" w:rsidP="00000000" w:rsidRDefault="00000000" w:rsidRPr="00000000" w14:paraId="0000016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Linking prosecutorial funding to public defense funding reduces economic asymmetry and expands the defense’s feasible action set. Increased investigative capacity and reduced caseload pressure may enable greater use of trial-based strategies.</w:t>
      </w:r>
    </w:p>
    <w:p w:rsidR="00000000" w:rsidDel="00000000" w:rsidP="00000000" w:rsidRDefault="00000000" w:rsidRPr="00000000" w14:paraId="0000016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intervention, system throughput may decrease as the cost of adversarial adjudication increases, potentially shifting the balance between negotiated and litigated outcomes.¹³</w:t>
      </w:r>
    </w:p>
    <w:p w:rsidR="00000000" w:rsidDel="00000000" w:rsidP="00000000" w:rsidRDefault="00000000" w:rsidRPr="00000000" w14:paraId="0000016A">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bd6u2dhse2ls" w:id="52"/>
      <w:bookmarkEnd w:id="52"/>
      <w:r w:rsidDel="00000000" w:rsidR="00000000" w:rsidRPr="00000000">
        <w:rPr>
          <w:rFonts w:ascii="Google Sans" w:cs="Google Sans" w:eastAsia="Google Sans" w:hAnsi="Google Sans"/>
          <w:color w:val="1f1f1f"/>
          <w:sz w:val="22"/>
          <w:szCs w:val="22"/>
          <w:rtl w:val="0"/>
        </w:rPr>
        <w:t xml:space="preserve">(3) Repeal of Mandatory Minimums (Legal Bottleneck Relief)</w:t>
      </w:r>
    </w:p>
    <w:p w:rsidR="00000000" w:rsidDel="00000000" w:rsidP="00000000" w:rsidRDefault="00000000" w:rsidRPr="00000000" w14:paraId="0000016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Eliminating mandatory minimum sentencing reduces the strength of constraint maps that limit judicial discretion. This increases variability in sentencing outcomes and reduces the degree to which charging decisions determine final penalties.¹⁴</w:t>
      </w:r>
    </w:p>
    <w:p w:rsidR="00000000" w:rsidDel="00000000" w:rsidP="00000000" w:rsidRDefault="00000000" w:rsidRPr="00000000" w14:paraId="0000016D">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y13jy7r4hm1o" w:id="53"/>
      <w:bookmarkEnd w:id="53"/>
      <w:r w:rsidDel="00000000" w:rsidR="00000000" w:rsidRPr="00000000">
        <w:rPr>
          <w:rFonts w:ascii="Google Sans" w:cs="Google Sans" w:eastAsia="Google Sans" w:hAnsi="Google Sans"/>
          <w:color w:val="1f1f1f"/>
          <w:sz w:val="22"/>
          <w:szCs w:val="22"/>
          <w:rtl w:val="0"/>
        </w:rPr>
        <w:t xml:space="preserve">(4) Reform of Asset Forfeiture Mechanisms (Objective Realignment)</w:t>
      </w:r>
    </w:p>
    <w:p w:rsidR="00000000" w:rsidDel="00000000" w:rsidP="00000000" w:rsidRDefault="00000000" w:rsidRPr="00000000" w14:paraId="0000016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Restricting or eliminating asset forfeiture reduces revenue-linked incentives within law enforcement subsystems. This may alter local optimization dynamics by removing a financial parameter associated with enforcement activity.¹⁷</w:t>
      </w:r>
    </w:p>
    <w:p w:rsidR="00000000" w:rsidDel="00000000" w:rsidP="00000000" w:rsidRDefault="00000000" w:rsidRPr="00000000" w14:paraId="00000170">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spacing w:after="80" w:before="280" w:line="275.9999942779541" w:lineRule="auto"/>
        <w:ind w:left="570" w:hanging="360"/>
        <w:rPr>
          <w:rFonts w:ascii="Google Sans" w:cs="Google Sans" w:eastAsia="Google Sans" w:hAnsi="Google Sans"/>
          <w:color w:val="1f1f1f"/>
          <w:sz w:val="26"/>
          <w:szCs w:val="26"/>
        </w:rPr>
      </w:pPr>
      <w:bookmarkStart w:colFirst="0" w:colLast="0" w:name="_lrxpa3mueaup" w:id="54"/>
      <w:bookmarkEnd w:id="54"/>
      <w:r w:rsidDel="00000000" w:rsidR="00000000" w:rsidRPr="00000000">
        <w:rPr>
          <w:rFonts w:ascii="Google Sans" w:cs="Google Sans" w:eastAsia="Google Sans" w:hAnsi="Google Sans"/>
          <w:color w:val="1f1f1f"/>
          <w:sz w:val="26"/>
          <w:szCs w:val="26"/>
          <w:rtl w:val="0"/>
        </w:rPr>
        <w:t xml:space="preserve">9.2 Endogenous Reactive Responses (R)</w:t>
      </w:r>
    </w:p>
    <w:p w:rsidR="00000000" w:rsidDel="00000000" w:rsidP="00000000" w:rsidRDefault="00000000" w:rsidRPr="00000000" w14:paraId="0000017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Resistance operator RRR models how systems respond to interventions that alter constraint structures.¹⁰ Rather than assuming centralized intent, RRR captures the tendency of institutional processes to adapt in ways that preserve existing outcome patterns under new conditions.</w:t>
      </w:r>
    </w:p>
    <w:p w:rsidR="00000000" w:rsidDel="00000000" w:rsidP="00000000" w:rsidRDefault="00000000" w:rsidRPr="00000000" w14:paraId="00000173">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6kwxnck4331m" w:id="55"/>
      <w:bookmarkEnd w:id="55"/>
      <w:r w:rsidDel="00000000" w:rsidR="00000000" w:rsidRPr="00000000">
        <w:rPr>
          <w:rFonts w:ascii="Google Sans" w:cs="Google Sans" w:eastAsia="Google Sans" w:hAnsi="Google Sans"/>
          <w:color w:val="1f1f1f"/>
          <w:sz w:val="22"/>
          <w:szCs w:val="22"/>
          <w:rtl w:val="0"/>
        </w:rPr>
        <w:t xml:space="preserve">Prediction 1: Temporal Constraint Substitution</w:t>
      </w:r>
    </w:p>
    <w:p w:rsidR="00000000" w:rsidDel="00000000" w:rsidP="00000000" w:rsidRDefault="00000000" w:rsidRPr="00000000" w14:paraId="0000017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cash bail is reduced or eliminated, jurisdictions may adopt alternative mechanisms—such as expanded preventive detention criteria or algorithmic risk assessment tools—that partially restore temporal constraints.</w:t>
      </w:r>
    </w:p>
    <w:p w:rsidR="00000000" w:rsidDel="00000000" w:rsidP="00000000" w:rsidRDefault="00000000" w:rsidRPr="00000000" w14:paraId="00000176">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mo2ml04u800r" w:id="56"/>
      <w:bookmarkEnd w:id="56"/>
      <w:r w:rsidDel="00000000" w:rsidR="00000000" w:rsidRPr="00000000">
        <w:rPr>
          <w:rFonts w:ascii="Google Sans" w:cs="Google Sans" w:eastAsia="Google Sans" w:hAnsi="Google Sans"/>
          <w:color w:val="1f1f1f"/>
          <w:sz w:val="22"/>
          <w:szCs w:val="22"/>
          <w:rtl w:val="0"/>
        </w:rPr>
        <w:t xml:space="preserve">Prediction 2: Sentencing Constraint Substitution</w:t>
      </w:r>
    </w:p>
    <w:p w:rsidR="00000000" w:rsidDel="00000000" w:rsidP="00000000" w:rsidRDefault="00000000" w:rsidRPr="00000000" w14:paraId="0000017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mandatory minimums are repealed, prosecutorial strategies may shift toward alternative mechanisms (e.g., expanded charge sets or charge combinations) that maintain leverage over expected sentencing outcomes.</w:t>
      </w:r>
    </w:p>
    <w:p w:rsidR="00000000" w:rsidDel="00000000" w:rsidP="00000000" w:rsidRDefault="00000000" w:rsidRPr="00000000" w14:paraId="00000179">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responses are consistent with a system in which actors adjust available tools to operate within revised constraint environments.</w:t>
      </w:r>
    </w:p>
    <w:p w:rsidR="00000000" w:rsidDel="00000000" w:rsidP="00000000" w:rsidRDefault="00000000" w:rsidRPr="00000000" w14:paraId="0000017B">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spacing w:after="80" w:before="280" w:line="275.9999942779541" w:lineRule="auto"/>
        <w:ind w:left="570" w:hanging="360"/>
        <w:rPr>
          <w:rFonts w:ascii="Google Sans" w:cs="Google Sans" w:eastAsia="Google Sans" w:hAnsi="Google Sans"/>
          <w:color w:val="1f1f1f"/>
          <w:sz w:val="26"/>
          <w:szCs w:val="26"/>
        </w:rPr>
      </w:pPr>
      <w:bookmarkStart w:colFirst="0" w:colLast="0" w:name="_9mm3pdrzgp9w" w:id="57"/>
      <w:bookmarkEnd w:id="57"/>
      <w:r w:rsidDel="00000000" w:rsidR="00000000" w:rsidRPr="00000000">
        <w:rPr>
          <w:rFonts w:ascii="Google Sans" w:cs="Google Sans" w:eastAsia="Google Sans" w:hAnsi="Google Sans"/>
          <w:color w:val="1f1f1f"/>
          <w:sz w:val="26"/>
          <w:szCs w:val="26"/>
          <w:rtl w:val="0"/>
        </w:rPr>
        <w:t xml:space="preserve">9.3 Structural Pressure Localization (P)</w:t>
      </w:r>
    </w:p>
    <w:p w:rsidR="00000000" w:rsidDel="00000000" w:rsidP="00000000" w:rsidRDefault="00000000" w:rsidRPr="00000000" w14:paraId="0000017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Pressure operator PPP identifies where adaptive responses are most likely to concentrate.¹⁰ Interventions that alter foundational constraint structures are expected to generate responses at the level where those constraints are defined.</w:t>
      </w:r>
    </w:p>
    <w:p w:rsidR="00000000" w:rsidDel="00000000" w:rsidP="00000000" w:rsidRDefault="00000000" w:rsidRPr="00000000" w14:paraId="0000017E">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spacing w:after="40" w:before="240" w:line="275.9999942779541" w:lineRule="auto"/>
        <w:ind w:left="570" w:hanging="360"/>
        <w:rPr>
          <w:rFonts w:ascii="Google Sans" w:cs="Google Sans" w:eastAsia="Google Sans" w:hAnsi="Google Sans"/>
          <w:color w:val="1f1f1f"/>
          <w:sz w:val="22"/>
          <w:szCs w:val="22"/>
        </w:rPr>
      </w:pPr>
      <w:bookmarkStart w:colFirst="0" w:colLast="0" w:name="_dmz889wte751" w:id="58"/>
      <w:bookmarkEnd w:id="58"/>
      <w:r w:rsidDel="00000000" w:rsidR="00000000" w:rsidRPr="00000000">
        <w:rPr>
          <w:rFonts w:ascii="Google Sans" w:cs="Google Sans" w:eastAsia="Google Sans" w:hAnsi="Google Sans"/>
          <w:color w:val="1f1f1f"/>
          <w:sz w:val="22"/>
          <w:szCs w:val="22"/>
          <w:rtl w:val="0"/>
        </w:rPr>
        <w:t xml:space="preserve">Prediction 3: Legislative-Level Concentration</w:t>
      </w:r>
    </w:p>
    <w:p w:rsidR="00000000" w:rsidDel="00000000" w:rsidP="00000000" w:rsidRDefault="00000000" w:rsidRPr="00000000" w14:paraId="0000018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key constraint maps—such as bail rules, sentencing structures, and funding allocations—are defined through legislation, interventions targeting these domains are expected to produce concentrated activity within legislative and policy-making processes.</w:t>
      </w:r>
    </w:p>
    <w:p w:rsidR="00000000" w:rsidDel="00000000" w:rsidP="00000000" w:rsidRDefault="00000000" w:rsidRPr="00000000" w14:paraId="0000018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may include increased advocacy, policy proposals, and institutional engagement by stakeholders seeking to influence the configuration of these constraints.¹⁶</w:t>
      </w:r>
    </w:p>
    <w:p w:rsidR="00000000" w:rsidDel="00000000" w:rsidP="00000000" w:rsidRDefault="00000000" w:rsidRPr="00000000" w14:paraId="00000182">
      <w:pPr>
        <w:spacing w:after="120" w:line="275.9999942779541" w:lineRule="auto"/>
        <w:ind w:left="570" w:hanging="360"/>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spacing w:after="80" w:before="280" w:line="275.9999942779541" w:lineRule="auto"/>
        <w:ind w:left="570" w:hanging="360"/>
        <w:rPr>
          <w:rFonts w:ascii="Google Sans" w:cs="Google Sans" w:eastAsia="Google Sans" w:hAnsi="Google Sans"/>
          <w:color w:val="1f1f1f"/>
          <w:sz w:val="26"/>
          <w:szCs w:val="26"/>
        </w:rPr>
      </w:pPr>
      <w:bookmarkStart w:colFirst="0" w:colLast="0" w:name="_3mdi33g90x2w" w:id="59"/>
      <w:bookmarkEnd w:id="59"/>
      <w:r w:rsidDel="00000000" w:rsidR="00000000" w:rsidRPr="00000000">
        <w:rPr>
          <w:rFonts w:ascii="Google Sans" w:cs="Google Sans" w:eastAsia="Google Sans" w:hAnsi="Google Sans"/>
          <w:color w:val="1f1f1f"/>
          <w:sz w:val="26"/>
          <w:szCs w:val="26"/>
          <w:rtl w:val="0"/>
        </w:rPr>
        <w:t xml:space="preserve">9.4 Interpretation</w:t>
      </w:r>
    </w:p>
    <w:p w:rsidR="00000000" w:rsidDel="00000000" w:rsidP="00000000" w:rsidRDefault="00000000" w:rsidRPr="00000000" w14:paraId="0000018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 Structural Response operators generate a set of </w:t>
      </w:r>
      <w:r w:rsidDel="00000000" w:rsidR="00000000" w:rsidRPr="00000000">
        <w:rPr>
          <w:rFonts w:ascii="Google Sans" w:cs="Google Sans" w:eastAsia="Google Sans" w:hAnsi="Google Sans"/>
          <w:b w:val="1"/>
          <w:bCs w:val="1"/>
          <w:color w:val="1f1f1f"/>
          <w:rtl w:val="0"/>
        </w:rPr>
        <w:t xml:space="preserve">testable predictions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numPr>
          <w:ilvl w:val="0"/>
          <w:numId w:val="2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Interventions targeting bottlenecks should produce measurable changes in system outputs</w:t>
      </w:r>
    </w:p>
    <w:p w:rsidR="00000000" w:rsidDel="00000000" w:rsidP="00000000" w:rsidRDefault="00000000" w:rsidRPr="00000000" w14:paraId="00000186">
      <w:pPr>
        <w:numPr>
          <w:ilvl w:val="0"/>
          <w:numId w:val="2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Adaptive responses should emerge through substitution of functionally similar constraints</w:t>
      </w:r>
    </w:p>
    <w:p w:rsidR="00000000" w:rsidDel="00000000" w:rsidP="00000000" w:rsidRDefault="00000000" w:rsidRPr="00000000" w14:paraId="00000187">
      <w:pPr>
        <w:numPr>
          <w:ilvl w:val="0"/>
          <w:numId w:val="2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should concentrate at the level where constraint definitions are established</w:t>
      </w:r>
    </w:p>
    <w:p w:rsidR="00000000" w:rsidDel="00000000" w:rsidP="00000000" w:rsidRDefault="00000000" w:rsidRPr="00000000" w14:paraId="0000018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predictions provide a basis for empirical evaluation of the framework. If observed system responses align with these patterns, it would support the interpretation that </w:t>
      </w:r>
      <w:r w:rsidDel="00000000" w:rsidR="00000000" w:rsidRPr="00000000">
        <w:rPr>
          <w:rFonts w:ascii="Google Sans" w:cs="Google Sans" w:eastAsia="Google Sans" w:hAnsi="Google Sans"/>
          <w:b w:val="1"/>
          <w:bCs w:val="1"/>
          <w:color w:val="1f1f1f"/>
          <w:rtl w:val="0"/>
        </w:rPr>
        <w:t xml:space="preserve">constraint structures, rather than isolated actor decisions, govern system behavior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9">
      <w:pPr>
        <w:pStyle w:val="Heading2"/>
        <w:spacing w:after="80" w:before="360" w:line="275.9999942779541" w:lineRule="auto"/>
        <w:rPr>
          <w:rFonts w:ascii="Google Sans" w:cs="Google Sans" w:eastAsia="Google Sans" w:hAnsi="Google Sans"/>
          <w:color w:val="1f1f1f"/>
          <w:sz w:val="34"/>
          <w:szCs w:val="34"/>
        </w:rPr>
      </w:pPr>
      <w:bookmarkStart w:colFirst="0" w:colLast="0" w:name="_gyns9e8lj8r8" w:id="60"/>
      <w:bookmarkEnd w:id="60"/>
      <w:r w:rsidDel="00000000" w:rsidR="00000000" w:rsidRPr="00000000">
        <w:rPr>
          <w:rFonts w:ascii="Google Sans" w:cs="Google Sans" w:eastAsia="Google Sans" w:hAnsi="Google Sans"/>
          <w:color w:val="1f1f1f"/>
          <w:sz w:val="34"/>
          <w:szCs w:val="34"/>
          <w:rtl w:val="0"/>
        </w:rPr>
        <w:t xml:space="preserve">10. Final Scan: Conservation of Control</w:t>
      </w:r>
    </w:p>
    <w:p w:rsidR="00000000" w:rsidDel="00000000" w:rsidP="00000000" w:rsidRDefault="00000000" w:rsidRPr="00000000" w14:paraId="0000018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attribution integrity, a final scan across the causal layers evaluates whether control over system outcomes is fully and consistently accounted for.</w:t>
      </w:r>
    </w:p>
    <w:p w:rsidR="00000000" w:rsidDel="00000000" w:rsidP="00000000" w:rsidRDefault="00000000" w:rsidRPr="00000000" w14:paraId="0000018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narrative model, control is distributed across visible actors in a balanced manner such that:</w:t>
      </w:r>
    </w:p>
    <w:p w:rsidR="00000000" w:rsidDel="00000000" w:rsidP="00000000" w:rsidRDefault="00000000" w:rsidRPr="00000000" w14:paraId="0000018C">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∑i∈Aci≈1\sum_{i \in \mathcal{A}} c_i \approx 1i∈A∑​ci​≈1</w:t>
      </w:r>
    </w:p>
    <w:p w:rsidR="00000000" w:rsidDel="00000000" w:rsidP="00000000" w:rsidRDefault="00000000" w:rsidRPr="00000000" w14:paraId="0000018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as shown in Layer 1, this apparent closure depends on assumptions that are not consistently satisfied in practice—most notably, the limited activation of jury-based adjudication and the presence of constraints on judicial and defense decision-making.</w:t>
      </w:r>
    </w:p>
    <w:p w:rsidR="00000000" w:rsidDel="00000000" w:rsidP="00000000" w:rsidRDefault="00000000" w:rsidRPr="00000000" w14:paraId="0000018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constraint equivalence re-attributions from Layer 2 redistributes control from downstream decision executors to upstream constraint-setting actors. In this adjusted model, influence over key system outputs—such as incarceration rates, sentence lengths, and plea frequencies—is concentrated in actors who define and activate constraint structures.</w:t>
      </w:r>
    </w:p>
    <w:p w:rsidR="00000000" w:rsidDel="00000000" w:rsidP="00000000" w:rsidRDefault="00000000" w:rsidRPr="00000000" w14:paraId="0000018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particular:</w:t>
      </w:r>
    </w:p>
    <w:p w:rsidR="00000000" w:rsidDel="00000000" w:rsidP="00000000" w:rsidRDefault="00000000" w:rsidRPr="00000000" w14:paraId="00000190">
      <w:pPr>
        <w:numPr>
          <w:ilvl w:val="0"/>
          <w:numId w:val="7"/>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Legislatures</w:t>
      </w:r>
      <w:r w:rsidDel="00000000" w:rsidR="00000000" w:rsidRPr="00000000">
        <w:rPr>
          <w:rFonts w:ascii="Google Sans" w:cs="Google Sans" w:eastAsia="Google Sans" w:hAnsi="Google Sans"/>
          <w:color w:val="1f1f1f"/>
          <w:rtl w:val="0"/>
        </w:rPr>
        <w:t xml:space="preserve"> establish the legal and economic constraint architecture (e.g., sentencing rules, bail systems, funding distributions)</w:t>
      </w:r>
    </w:p>
    <w:p w:rsidR="00000000" w:rsidDel="00000000" w:rsidP="00000000" w:rsidRDefault="00000000" w:rsidRPr="00000000" w14:paraId="00000191">
      <w:pPr>
        <w:numPr>
          <w:ilvl w:val="0"/>
          <w:numId w:val="7"/>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Prosecutors</w:t>
      </w:r>
      <w:r w:rsidDel="00000000" w:rsidR="00000000" w:rsidRPr="00000000">
        <w:rPr>
          <w:rFonts w:ascii="Google Sans" w:cs="Google Sans" w:eastAsia="Google Sans" w:hAnsi="Google Sans"/>
          <w:color w:val="1f1f1f"/>
          <w:rtl w:val="0"/>
        </w:rPr>
        <w:t xml:space="preserve"> operationalize these constraints through charging decisions and negotiation strategies that shape feasible outcome sets</w:t>
      </w:r>
    </w:p>
    <w:p w:rsidR="00000000" w:rsidDel="00000000" w:rsidP="00000000" w:rsidRDefault="00000000" w:rsidRPr="00000000" w14:paraId="0000019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reallocation does not eliminate the role of downstream actors, but it indicates that their influence operates within decision spaces defined elsewhere.</w:t>
      </w:r>
    </w:p>
    <w:p w:rsidR="00000000" w:rsidDel="00000000" w:rsidP="00000000" w:rsidRDefault="00000000" w:rsidRPr="00000000" w14:paraId="00000193">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spacing w:after="80" w:before="280" w:line="275.9999942779541" w:lineRule="auto"/>
        <w:rPr>
          <w:rFonts w:ascii="Google Sans" w:cs="Google Sans" w:eastAsia="Google Sans" w:hAnsi="Google Sans"/>
          <w:color w:val="1f1f1f"/>
          <w:sz w:val="26"/>
          <w:szCs w:val="26"/>
        </w:rPr>
      </w:pPr>
      <w:bookmarkStart w:colFirst="0" w:colLast="0" w:name="_in7y4j8g20pl" w:id="61"/>
      <w:bookmarkEnd w:id="61"/>
      <w:r w:rsidDel="00000000" w:rsidR="00000000" w:rsidRPr="00000000">
        <w:rPr>
          <w:rFonts w:ascii="Google Sans" w:cs="Google Sans" w:eastAsia="Google Sans" w:hAnsi="Google Sans"/>
          <w:color w:val="1f1f1f"/>
          <w:sz w:val="26"/>
          <w:szCs w:val="26"/>
          <w:rtl w:val="0"/>
        </w:rPr>
        <w:t xml:space="preserve">Conclusion</w:t>
      </w:r>
    </w:p>
    <w:p w:rsidR="00000000" w:rsidDel="00000000" w:rsidP="00000000" w:rsidRDefault="00000000" w:rsidRPr="00000000" w14:paraId="0000019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 layered analysis supports a consistent interpretation:</w:t>
      </w:r>
    </w:p>
    <w:p w:rsidR="00000000" w:rsidDel="00000000" w:rsidP="00000000" w:rsidRDefault="00000000" w:rsidRPr="00000000" w14:paraId="00000196">
      <w:pPr>
        <w:numPr>
          <w:ilvl w:val="0"/>
          <w:numId w:val="3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model attributes control to visible decision-makers</w:t>
      </w:r>
    </w:p>
    <w:p w:rsidR="00000000" w:rsidDel="00000000" w:rsidP="00000000" w:rsidRDefault="00000000" w:rsidRPr="00000000" w14:paraId="00000197">
      <w:pPr>
        <w:numPr>
          <w:ilvl w:val="0"/>
          <w:numId w:val="3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model identifies control in the design and activation of constraint maps</w:t>
      </w:r>
    </w:p>
    <w:p w:rsidR="00000000" w:rsidDel="00000000" w:rsidP="00000000" w:rsidRDefault="00000000" w:rsidRPr="00000000" w14:paraId="0000019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outcomes are therefore best understood as the result of </w:t>
      </w:r>
      <w:r w:rsidDel="00000000" w:rsidR="00000000" w:rsidRPr="00000000">
        <w:rPr>
          <w:rFonts w:ascii="Google Sans" w:cs="Google Sans" w:eastAsia="Google Sans" w:hAnsi="Google Sans"/>
          <w:b w:val="1"/>
          <w:bCs w:val="1"/>
          <w:color w:val="1f1f1f"/>
          <w:rtl w:val="0"/>
        </w:rPr>
        <w:t xml:space="preserve">constraint-mediated processes</w:t>
      </w:r>
      <w:r w:rsidDel="00000000" w:rsidR="00000000" w:rsidRPr="00000000">
        <w:rPr>
          <w:rFonts w:ascii="Google Sans" w:cs="Google Sans" w:eastAsia="Google Sans" w:hAnsi="Google Sans"/>
          <w:color w:val="1f1f1f"/>
          <w:rtl w:val="0"/>
        </w:rPr>
        <w:t xml:space="preserve">, in which observed behaviors emerge from the interaction between institutional rules, resource distributions, and decision environments.</w:t>
      </w:r>
    </w:p>
    <w:p w:rsidR="00000000" w:rsidDel="00000000" w:rsidP="00000000" w:rsidRDefault="00000000" w:rsidRPr="00000000" w14:paraId="0000019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conclusion does not depend on assumptions of intent or coordination. It follows from the conservation of control under the constraint structure identified across Layers 1–3.</w:t>
      </w:r>
    </w:p>
    <w:p w:rsidR="00000000" w:rsidDel="00000000" w:rsidP="00000000" w:rsidRDefault="00000000" w:rsidRPr="00000000" w14:paraId="0000019A">
      <w:pPr>
        <w:pStyle w:val="Heading1"/>
        <w:spacing w:after="120" w:before="480" w:line="275.9999942779541" w:lineRule="auto"/>
        <w:rPr>
          <w:rFonts w:ascii="Google Sans" w:cs="Google Sans" w:eastAsia="Google Sans" w:hAnsi="Google Sans"/>
          <w:color w:val="1f1f1f"/>
          <w:sz w:val="46"/>
          <w:szCs w:val="46"/>
        </w:rPr>
      </w:pPr>
      <w:bookmarkStart w:colFirst="0" w:colLast="0" w:name="_t6dxmhtiox2" w:id="62"/>
      <w:bookmarkEnd w:id="62"/>
      <w:r w:rsidDel="00000000" w:rsidR="00000000" w:rsidRPr="00000000">
        <w:rPr>
          <w:rFonts w:ascii="Google Sans" w:cs="Google Sans" w:eastAsia="Google Sans" w:hAnsi="Google Sans"/>
          <w:color w:val="1f1f1f"/>
          <w:sz w:val="46"/>
          <w:szCs w:val="46"/>
          <w:rtl w:val="0"/>
        </w:rPr>
        <w:t xml:space="preserve">11. Falsification Conditions</w:t>
      </w:r>
    </w:p>
    <w:p w:rsidR="00000000" w:rsidDel="00000000" w:rsidP="00000000" w:rsidRDefault="00000000" w:rsidRPr="00000000" w14:paraId="0000019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requirement of any structural framework is that it generate </w:t>
      </w:r>
      <w:r w:rsidDel="00000000" w:rsidR="00000000" w:rsidRPr="00000000">
        <w:rPr>
          <w:rFonts w:ascii="Google Sans" w:cs="Google Sans" w:eastAsia="Google Sans" w:hAnsi="Google Sans"/>
          <w:b w:val="1"/>
          <w:bCs w:val="1"/>
          <w:color w:val="1f1f1f"/>
          <w:rtl w:val="0"/>
        </w:rPr>
        <w:t xml:space="preserve">testable, falsifiable claims</w:t>
      </w:r>
      <w:r w:rsidDel="00000000" w:rsidR="00000000" w:rsidRPr="00000000">
        <w:rPr>
          <w:rFonts w:ascii="Google Sans" w:cs="Google Sans" w:eastAsia="Google Sans" w:hAnsi="Google Sans"/>
          <w:color w:val="1f1f1f"/>
          <w:rtl w:val="0"/>
        </w:rPr>
        <w:t xml:space="preserve">. The Conservation-and-Coherence (C&amp;C) analysis presented here produces several empirical predictions whose failure would weaken or invalidate key components of the model.</w:t>
      </w:r>
    </w:p>
    <w:p w:rsidR="00000000" w:rsidDel="00000000" w:rsidP="00000000" w:rsidRDefault="00000000" w:rsidRPr="00000000" w14:paraId="0000019C">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spacing w:after="80" w:before="280" w:line="275.9999942779541" w:lineRule="auto"/>
        <w:rPr>
          <w:rFonts w:ascii="Google Sans" w:cs="Google Sans" w:eastAsia="Google Sans" w:hAnsi="Google Sans"/>
          <w:color w:val="1f1f1f"/>
          <w:sz w:val="26"/>
          <w:szCs w:val="26"/>
        </w:rPr>
      </w:pPr>
      <w:bookmarkStart w:colFirst="0" w:colLast="0" w:name="_uoqok1v4wc7i" w:id="63"/>
      <w:bookmarkEnd w:id="63"/>
      <w:r w:rsidDel="00000000" w:rsidR="00000000" w:rsidRPr="00000000">
        <w:rPr>
          <w:rFonts w:ascii="Google Sans" w:cs="Google Sans" w:eastAsia="Google Sans" w:hAnsi="Google Sans"/>
          <w:color w:val="1f1f1f"/>
          <w:sz w:val="26"/>
          <w:szCs w:val="26"/>
          <w:rtl w:val="0"/>
        </w:rPr>
        <w:t xml:space="preserve">11.1 Layer-Specific Falsification Criteria</w:t>
      </w:r>
    </w:p>
    <w:p w:rsidR="00000000" w:rsidDel="00000000" w:rsidP="00000000" w:rsidRDefault="00000000" w:rsidRPr="00000000" w14:paraId="0000019E">
      <w:pPr>
        <w:pStyle w:val="Heading4"/>
        <w:spacing w:after="40" w:before="240" w:line="275.9999942779541" w:lineRule="auto"/>
        <w:rPr>
          <w:rFonts w:ascii="Google Sans" w:cs="Google Sans" w:eastAsia="Google Sans" w:hAnsi="Google Sans"/>
          <w:color w:val="1f1f1f"/>
          <w:sz w:val="22"/>
          <w:szCs w:val="22"/>
        </w:rPr>
      </w:pPr>
      <w:bookmarkStart w:colFirst="0" w:colLast="0" w:name="_6pskuhntvqar" w:id="64"/>
      <w:bookmarkEnd w:id="64"/>
      <w:r w:rsidDel="00000000" w:rsidR="00000000" w:rsidRPr="00000000">
        <w:rPr>
          <w:rFonts w:ascii="Google Sans" w:cs="Google Sans" w:eastAsia="Google Sans" w:hAnsi="Google Sans"/>
          <w:color w:val="1f1f1f"/>
          <w:sz w:val="22"/>
          <w:szCs w:val="22"/>
          <w:rtl w:val="0"/>
        </w:rPr>
        <w:t xml:space="preserve">Layer 1 — Residual Closure (H₁)</w:t>
      </w:r>
    </w:p>
    <w:p w:rsidR="00000000" w:rsidDel="00000000" w:rsidP="00000000" w:rsidRDefault="00000000" w:rsidRPr="00000000" w14:paraId="0000019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assumes that apparent closure under the narrative attribution may reflect proxy allocation rather than true control.</w:t>
      </w:r>
    </w:p>
    <w:p w:rsidR="00000000" w:rsidDel="00000000" w:rsidP="00000000" w:rsidRDefault="00000000" w:rsidRPr="00000000" w14:paraId="000001A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Falsification Condition:</w:t>
        <w:br w:type="textWrapping"/>
      </w:r>
      <w:r w:rsidDel="00000000" w:rsidR="00000000" w:rsidRPr="00000000">
        <w:rPr>
          <w:rFonts w:ascii="Google Sans" w:cs="Google Sans" w:eastAsia="Google Sans" w:hAnsi="Google Sans"/>
          <w:color w:val="1f1f1f"/>
          <w:rtl w:val="0"/>
        </w:rPr>
        <w:t xml:space="preserve"> If jurisdictions with high trial rates (e.g., &gt;30%) exhibit outcome distributions consistent with narrative attribution—such that judges and juries demonstrably determine outcomes without upstream constraint dominance—then the claim of false closure would be weakened.</w:t>
      </w:r>
    </w:p>
    <w:p w:rsidR="00000000" w:rsidDel="00000000" w:rsidP="00000000" w:rsidRDefault="00000000" w:rsidRPr="00000000" w14:paraId="000001A1">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4"/>
        <w:spacing w:after="40" w:before="240" w:line="275.9999942779541" w:lineRule="auto"/>
        <w:rPr>
          <w:rFonts w:ascii="Google Sans" w:cs="Google Sans" w:eastAsia="Google Sans" w:hAnsi="Google Sans"/>
          <w:color w:val="1f1f1f"/>
          <w:sz w:val="22"/>
          <w:szCs w:val="22"/>
        </w:rPr>
      </w:pPr>
      <w:bookmarkStart w:colFirst="0" w:colLast="0" w:name="_4b8izhw4ijnc" w:id="65"/>
      <w:bookmarkEnd w:id="65"/>
      <w:r w:rsidDel="00000000" w:rsidR="00000000" w:rsidRPr="00000000">
        <w:rPr>
          <w:rFonts w:ascii="Google Sans" w:cs="Google Sans" w:eastAsia="Google Sans" w:hAnsi="Google Sans"/>
          <w:color w:val="1f1f1f"/>
          <w:sz w:val="22"/>
          <w:szCs w:val="22"/>
          <w:rtl w:val="0"/>
        </w:rPr>
        <w:t xml:space="preserve">Layer 2 — Constraint Equivalence</w:t>
      </w:r>
    </w:p>
    <w:p w:rsidR="00000000" w:rsidDel="00000000" w:rsidP="00000000" w:rsidRDefault="00000000" w:rsidRPr="00000000" w14:paraId="000001A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asserts that actors who define feasible sets exert effective control over outcomes.</w:t>
      </w:r>
    </w:p>
    <w:p w:rsidR="00000000" w:rsidDel="00000000" w:rsidP="00000000" w:rsidRDefault="00000000" w:rsidRPr="00000000" w14:paraId="000001A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Falsification Conditions:</w:t>
      </w:r>
    </w:p>
    <w:p w:rsidR="00000000" w:rsidDel="00000000" w:rsidP="00000000" w:rsidRDefault="00000000" w:rsidRPr="00000000" w14:paraId="000001A5">
      <w:pPr>
        <w:numPr>
          <w:ilvl w:val="0"/>
          <w:numId w:val="3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removing or weakening constraint mechanisms (e.g., mandatory minimums, pretrial detention) does not produce measurable changes in plea rates, sentencing distributions, or trial frequency</w:t>
      </w:r>
    </w:p>
    <w:p w:rsidR="00000000" w:rsidDel="00000000" w:rsidP="00000000" w:rsidRDefault="00000000" w:rsidRPr="00000000" w14:paraId="000001A6">
      <w:pPr>
        <w:numPr>
          <w:ilvl w:val="0"/>
          <w:numId w:val="38"/>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defendants, when released pretrial and represented by adequately resourced defense counsel, continue to choose plea agreements at similar rates independent of constraint structure</w:t>
      </w:r>
    </w:p>
    <w:p w:rsidR="00000000" w:rsidDel="00000000" w:rsidP="00000000" w:rsidRDefault="00000000" w:rsidRPr="00000000" w14:paraId="000001A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role of constraint-driven control would be reduced.</w:t>
      </w:r>
    </w:p>
    <w:p w:rsidR="00000000" w:rsidDel="00000000" w:rsidP="00000000" w:rsidRDefault="00000000" w:rsidRPr="00000000" w14:paraId="000001A8">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4"/>
        <w:spacing w:after="40" w:before="240" w:line="275.9999942779541" w:lineRule="auto"/>
        <w:rPr>
          <w:rFonts w:ascii="Google Sans" w:cs="Google Sans" w:eastAsia="Google Sans" w:hAnsi="Google Sans"/>
          <w:color w:val="1f1f1f"/>
          <w:sz w:val="22"/>
          <w:szCs w:val="22"/>
        </w:rPr>
      </w:pPr>
      <w:bookmarkStart w:colFirst="0" w:colLast="0" w:name="_4yih9jdeqvvo" w:id="66"/>
      <w:bookmarkEnd w:id="66"/>
      <w:r w:rsidDel="00000000" w:rsidR="00000000" w:rsidRPr="00000000">
        <w:rPr>
          <w:rFonts w:ascii="Google Sans" w:cs="Google Sans" w:eastAsia="Google Sans" w:hAnsi="Google Sans"/>
          <w:color w:val="1f1f1f"/>
          <w:sz w:val="22"/>
          <w:szCs w:val="22"/>
          <w:rtl w:val="0"/>
        </w:rPr>
        <w:t xml:space="preserve">Layer 3 — Cross-System Coherence (H₂)</w:t>
      </w:r>
    </w:p>
    <w:p w:rsidR="00000000" w:rsidDel="00000000" w:rsidP="00000000" w:rsidRDefault="00000000" w:rsidRPr="00000000" w14:paraId="000001A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interprets the convergence of plea rates as evidence of shared constraint architecture.</w:t>
      </w:r>
    </w:p>
    <w:p w:rsidR="00000000" w:rsidDel="00000000" w:rsidP="00000000" w:rsidRDefault="00000000" w:rsidRPr="00000000" w14:paraId="000001A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Falsification Conditions:</w:t>
      </w:r>
    </w:p>
    <w:p w:rsidR="00000000" w:rsidDel="00000000" w:rsidP="00000000" w:rsidRDefault="00000000" w:rsidRPr="00000000" w14:paraId="000001AC">
      <w:pPr>
        <w:numPr>
          <w:ilvl w:val="0"/>
          <w:numId w:val="3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comparable jurisdictions with similar legal structures exhibit wide variance in plea rates without corresponding differences in constraint configurations</w:t>
      </w:r>
    </w:p>
    <w:p w:rsidR="00000000" w:rsidDel="00000000" w:rsidP="00000000" w:rsidRDefault="00000000" w:rsidRPr="00000000" w14:paraId="000001AD">
      <w:pPr>
        <w:numPr>
          <w:ilvl w:val="0"/>
          <w:numId w:val="3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controlling for known covariates (e.g., crime rates, case mix, funding levels) eliminates the observed coherence signal</w:t>
      </w:r>
    </w:p>
    <w:p w:rsidR="00000000" w:rsidDel="00000000" w:rsidP="00000000" w:rsidRDefault="00000000" w:rsidRPr="00000000" w14:paraId="000001A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inference of shared structural constraints would be weakened.</w:t>
      </w:r>
    </w:p>
    <w:p w:rsidR="00000000" w:rsidDel="00000000" w:rsidP="00000000" w:rsidRDefault="00000000" w:rsidRPr="00000000" w14:paraId="000001AF">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spacing w:after="40" w:before="240" w:line="275.9999942779541" w:lineRule="auto"/>
        <w:rPr>
          <w:rFonts w:ascii="Google Sans" w:cs="Google Sans" w:eastAsia="Google Sans" w:hAnsi="Google Sans"/>
          <w:color w:val="1f1f1f"/>
          <w:sz w:val="22"/>
          <w:szCs w:val="22"/>
        </w:rPr>
      </w:pPr>
      <w:bookmarkStart w:colFirst="0" w:colLast="0" w:name="_9htdfz4ljxpz" w:id="67"/>
      <w:bookmarkEnd w:id="67"/>
      <w:r w:rsidDel="00000000" w:rsidR="00000000" w:rsidRPr="00000000">
        <w:rPr>
          <w:rFonts w:ascii="Google Sans" w:cs="Google Sans" w:eastAsia="Google Sans" w:hAnsi="Google Sans"/>
          <w:color w:val="1f1f1f"/>
          <w:sz w:val="22"/>
          <w:szCs w:val="22"/>
          <w:rtl w:val="0"/>
        </w:rPr>
        <w:t xml:space="preserve">Layer 4 — Objective Function (H₃)</w:t>
      </w:r>
    </w:p>
    <w:p w:rsidR="00000000" w:rsidDel="00000000" w:rsidP="00000000" w:rsidRDefault="00000000" w:rsidRPr="00000000" w14:paraId="000001B1">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infers an effective objective function based on observed system behavior.</w:t>
      </w:r>
    </w:p>
    <w:p w:rsidR="00000000" w:rsidDel="00000000" w:rsidP="00000000" w:rsidRDefault="00000000" w:rsidRPr="00000000" w14:paraId="000001B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Falsification Conditions:</w:t>
      </w:r>
    </w:p>
    <w:p w:rsidR="00000000" w:rsidDel="00000000" w:rsidP="00000000" w:rsidRDefault="00000000" w:rsidRPr="00000000" w14:paraId="000001B3">
      <w:pPr>
        <w:numPr>
          <w:ilvl w:val="0"/>
          <w:numId w:val="1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institutional incentives (e.g., prosecutorial performance metrics, funding structures) are demonstrably aligned with accuracy and trial-based adjudication rather than throughput and conviction completion</w:t>
      </w:r>
    </w:p>
    <w:p w:rsidR="00000000" w:rsidDel="00000000" w:rsidP="00000000" w:rsidRDefault="00000000" w:rsidRPr="00000000" w14:paraId="000001B4">
      <w:pPr>
        <w:numPr>
          <w:ilvl w:val="0"/>
          <w:numId w:val="1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reducing throughput pressures (e.g., through increased capacity) results in a proportional increase in trial usage and adversarial testing</w:t>
      </w:r>
    </w:p>
    <w:p w:rsidR="00000000" w:rsidDel="00000000" w:rsidP="00000000" w:rsidRDefault="00000000" w:rsidRPr="00000000" w14:paraId="000001B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inferred objective function would require revision.</w:t>
      </w:r>
    </w:p>
    <w:p w:rsidR="00000000" w:rsidDel="00000000" w:rsidP="00000000" w:rsidRDefault="00000000" w:rsidRPr="00000000" w14:paraId="000001B6">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spacing w:after="80" w:before="280" w:line="275.9999942779541" w:lineRule="auto"/>
        <w:rPr>
          <w:rFonts w:ascii="Google Sans" w:cs="Google Sans" w:eastAsia="Google Sans" w:hAnsi="Google Sans"/>
          <w:color w:val="1f1f1f"/>
          <w:sz w:val="26"/>
          <w:szCs w:val="26"/>
        </w:rPr>
      </w:pPr>
      <w:bookmarkStart w:colFirst="0" w:colLast="0" w:name="_3x6zes3o4oie" w:id="68"/>
      <w:bookmarkEnd w:id="68"/>
      <w:r w:rsidDel="00000000" w:rsidR="00000000" w:rsidRPr="00000000">
        <w:rPr>
          <w:rFonts w:ascii="Google Sans" w:cs="Google Sans" w:eastAsia="Google Sans" w:hAnsi="Google Sans"/>
          <w:color w:val="1f1f1f"/>
          <w:sz w:val="26"/>
          <w:szCs w:val="26"/>
          <w:rtl w:val="0"/>
        </w:rPr>
        <w:t xml:space="preserve">11.2 Structural Response (G, R, P) Validation</w:t>
      </w:r>
    </w:p>
    <w:p w:rsidR="00000000" w:rsidDel="00000000" w:rsidP="00000000" w:rsidRDefault="00000000" w:rsidRPr="00000000" w14:paraId="000001B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operators generate forward-looking claims regarding intervention effects and system adaptation.</w:t>
      </w:r>
    </w:p>
    <w:p w:rsidR="00000000" w:rsidDel="00000000" w:rsidP="00000000" w:rsidRDefault="00000000" w:rsidRPr="00000000" w14:paraId="000001B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Falsification Conditions:</w:t>
      </w:r>
    </w:p>
    <w:p w:rsidR="00000000" w:rsidDel="00000000" w:rsidP="00000000" w:rsidRDefault="00000000" w:rsidRPr="00000000" w14:paraId="000001BA">
      <w:pPr>
        <w:numPr>
          <w:ilvl w:val="0"/>
          <w:numId w:val="2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high-leverage interventions targeting bottlenecks (e.g., bail reform, sentencing reform) fail to produce measurable changes in system outputs</w:t>
      </w:r>
    </w:p>
    <w:p w:rsidR="00000000" w:rsidDel="00000000" w:rsidP="00000000" w:rsidRDefault="00000000" w:rsidRPr="00000000" w14:paraId="000001BB">
      <w:pPr>
        <w:numPr>
          <w:ilvl w:val="0"/>
          <w:numId w:val="2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no adaptive responses emerge following constraint removal (i.e., no substitution of functionally similar mechanisms)</w:t>
      </w:r>
    </w:p>
    <w:p w:rsidR="00000000" w:rsidDel="00000000" w:rsidP="00000000" w:rsidRDefault="00000000" w:rsidRPr="00000000" w14:paraId="000001BC">
      <w:pPr>
        <w:numPr>
          <w:ilvl w:val="0"/>
          <w:numId w:val="2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system responses do not concentrate at the level where constraints are defined (e.g., legislative or policy domains)</w:t>
      </w:r>
    </w:p>
    <w:p w:rsidR="00000000" w:rsidDel="00000000" w:rsidP="00000000" w:rsidRDefault="00000000" w:rsidRPr="00000000" w14:paraId="000001B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the predictive validity of the Structural Response operators would be undermined.</w:t>
      </w:r>
    </w:p>
    <w:p w:rsidR="00000000" w:rsidDel="00000000" w:rsidP="00000000" w:rsidRDefault="00000000" w:rsidRPr="00000000" w14:paraId="000001BE">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spacing w:after="80" w:before="280" w:line="275.9999942779541" w:lineRule="auto"/>
        <w:rPr>
          <w:rFonts w:ascii="Google Sans" w:cs="Google Sans" w:eastAsia="Google Sans" w:hAnsi="Google Sans"/>
          <w:color w:val="1f1f1f"/>
          <w:sz w:val="26"/>
          <w:szCs w:val="26"/>
        </w:rPr>
      </w:pPr>
      <w:bookmarkStart w:colFirst="0" w:colLast="0" w:name="_8a17xn8t94p8" w:id="69"/>
      <w:bookmarkEnd w:id="69"/>
      <w:r w:rsidDel="00000000" w:rsidR="00000000" w:rsidRPr="00000000">
        <w:rPr>
          <w:rFonts w:ascii="Google Sans" w:cs="Google Sans" w:eastAsia="Google Sans" w:hAnsi="Google Sans"/>
          <w:color w:val="1f1f1f"/>
          <w:sz w:val="26"/>
          <w:szCs w:val="26"/>
          <w:rtl w:val="0"/>
        </w:rPr>
        <w:t xml:space="preserve">11.3 Summary</w:t>
      </w:r>
    </w:p>
    <w:p w:rsidR="00000000" w:rsidDel="00000000" w:rsidP="00000000" w:rsidRDefault="00000000" w:rsidRPr="00000000" w14:paraId="000001C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conditions define a falsification space in which:</w:t>
      </w:r>
    </w:p>
    <w:p w:rsidR="00000000" w:rsidDel="00000000" w:rsidP="00000000" w:rsidRDefault="00000000" w:rsidRPr="00000000" w14:paraId="000001C1">
      <w:pPr>
        <w:numPr>
          <w:ilvl w:val="0"/>
          <w:numId w:val="26"/>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absence of constraint sensitivity</w:t>
      </w:r>
    </w:p>
    <w:p w:rsidR="00000000" w:rsidDel="00000000" w:rsidP="00000000" w:rsidRDefault="00000000" w:rsidRPr="00000000" w14:paraId="000001C2">
      <w:pPr>
        <w:numPr>
          <w:ilvl w:val="0"/>
          <w:numId w:val="26"/>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absence of cross-system coherence</w:t>
      </w:r>
    </w:p>
    <w:p w:rsidR="00000000" w:rsidDel="00000000" w:rsidP="00000000" w:rsidRDefault="00000000" w:rsidRPr="00000000" w14:paraId="000001C3">
      <w:pPr>
        <w:numPr>
          <w:ilvl w:val="0"/>
          <w:numId w:val="26"/>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absence of adaptive structural response</w:t>
      </w:r>
    </w:p>
    <w:p w:rsidR="00000000" w:rsidDel="00000000" w:rsidP="00000000" w:rsidRDefault="00000000" w:rsidRPr="00000000" w14:paraId="000001C4">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challenge the central claim that </w:t>
      </w:r>
      <w:r w:rsidDel="00000000" w:rsidR="00000000" w:rsidRPr="00000000">
        <w:rPr>
          <w:rFonts w:ascii="Google Sans" w:cs="Google Sans" w:eastAsia="Google Sans" w:hAnsi="Google Sans"/>
          <w:b w:val="1"/>
          <w:bCs w:val="1"/>
          <w:color w:val="1f1f1f"/>
          <w:rtl w:val="0"/>
        </w:rPr>
        <w:t xml:space="preserve">constraint architectures govern system behavior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therefore empirically vulnerable in principle, and its validity depends on continued alignment between predicted and observed system dynamics.</w:t>
      </w:r>
    </w:p>
    <w:p w:rsidR="00000000" w:rsidDel="00000000" w:rsidP="00000000" w:rsidRDefault="00000000" w:rsidRPr="00000000" w14:paraId="000001C6">
      <w:pPr>
        <w:pStyle w:val="Heading1"/>
        <w:spacing w:after="120" w:before="480" w:line="275.9999942779541" w:lineRule="auto"/>
        <w:rPr>
          <w:rFonts w:ascii="Google Sans" w:cs="Google Sans" w:eastAsia="Google Sans" w:hAnsi="Google Sans"/>
          <w:color w:val="1f1f1f"/>
          <w:sz w:val="46"/>
          <w:szCs w:val="46"/>
        </w:rPr>
      </w:pPr>
      <w:bookmarkStart w:colFirst="0" w:colLast="0" w:name="_5bymz99kmxzy" w:id="70"/>
      <w:bookmarkEnd w:id="70"/>
      <w:r w:rsidDel="00000000" w:rsidR="00000000" w:rsidRPr="00000000">
        <w:rPr>
          <w:rFonts w:ascii="Google Sans" w:cs="Google Sans" w:eastAsia="Google Sans" w:hAnsi="Google Sans"/>
          <w:color w:val="1f1f1f"/>
          <w:sz w:val="46"/>
          <w:szCs w:val="46"/>
          <w:rtl w:val="0"/>
        </w:rPr>
        <w:t xml:space="preserve">12. Conclusion</w:t>
      </w:r>
    </w:p>
    <w:p w:rsidR="00000000" w:rsidDel="00000000" w:rsidP="00000000" w:rsidRDefault="00000000" w:rsidRPr="00000000" w14:paraId="000001C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applies the Conservation-and-Coherence framework to the U.S. criminal justice system in order to reconcile a persistent divergence between </w:t>
      </w:r>
      <w:r w:rsidDel="00000000" w:rsidR="00000000" w:rsidRPr="00000000">
        <w:rPr>
          <w:rFonts w:ascii="Google Sans" w:cs="Google Sans" w:eastAsia="Google Sans" w:hAnsi="Google Sans"/>
          <w:b w:val="1"/>
          <w:bCs w:val="1"/>
          <w:color w:val="1f1f1f"/>
          <w:rtl w:val="0"/>
        </w:rPr>
        <w:t xml:space="preserve">narrative attribution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observed system behavior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four analytical layers, a consistent pattern emerges:</w:t>
      </w:r>
    </w:p>
    <w:p w:rsidR="00000000" w:rsidDel="00000000" w:rsidP="00000000" w:rsidRDefault="00000000" w:rsidRPr="00000000" w14:paraId="000001C9">
      <w:pPr>
        <w:numPr>
          <w:ilvl w:val="0"/>
          <w:numId w:val="4"/>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1 (Residual Closure):</w:t>
        <w:br w:type="textWrapping"/>
      </w:r>
      <w:r w:rsidDel="00000000" w:rsidR="00000000" w:rsidRPr="00000000">
        <w:rPr>
          <w:rFonts w:ascii="Google Sans" w:cs="Google Sans" w:eastAsia="Google Sans" w:hAnsi="Google Sans"/>
          <w:color w:val="1f1f1f"/>
          <w:rtl w:val="0"/>
        </w:rPr>
        <w:t xml:space="preserve"> The system appears fully specified under narrative attribution, but this closure depends on assumptions about actor participation and autonomy that are not consistently satisfied in practice.</w:t>
      </w:r>
    </w:p>
    <w:p w:rsidR="00000000" w:rsidDel="00000000" w:rsidP="00000000" w:rsidRDefault="00000000" w:rsidRPr="00000000" w14:paraId="000001CA">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2 (Constraint Equivalence):</w:t>
        <w:br w:type="textWrapping"/>
      </w:r>
      <w:r w:rsidDel="00000000" w:rsidR="00000000" w:rsidRPr="00000000">
        <w:rPr>
          <w:rFonts w:ascii="Google Sans" w:cs="Google Sans" w:eastAsia="Google Sans" w:hAnsi="Google Sans"/>
          <w:color w:val="1f1f1f"/>
          <w:rtl w:val="0"/>
        </w:rPr>
        <w:t xml:space="preserve"> Control over outcomes shifts from visible decision-makers to actors who define and activate constraint structures, particularly through charging decisions, sentencing frameworks, and resource allocation.</w:t>
      </w:r>
    </w:p>
    <w:p w:rsidR="00000000" w:rsidDel="00000000" w:rsidP="00000000" w:rsidRDefault="00000000" w:rsidRPr="00000000" w14:paraId="000001CB">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3 (Cross-System Coherence):</w:t>
        <w:br w:type="textWrapping"/>
      </w:r>
      <w:r w:rsidDel="00000000" w:rsidR="00000000" w:rsidRPr="00000000">
        <w:rPr>
          <w:rFonts w:ascii="Google Sans" w:cs="Google Sans" w:eastAsia="Google Sans" w:hAnsi="Google Sans"/>
          <w:color w:val="1f1f1f"/>
          <w:rtl w:val="0"/>
        </w:rPr>
        <w:t xml:space="preserve"> The convergence of plea rates across jurisdictions indicates that these constraint structures are widely shared, producing aligned outcomes across nominally independent systems.</w:t>
      </w:r>
    </w:p>
    <w:p w:rsidR="00000000" w:rsidDel="00000000" w:rsidP="00000000" w:rsidRDefault="00000000" w:rsidRPr="00000000" w14:paraId="000001CC">
      <w:pPr>
        <w:numPr>
          <w:ilvl w:val="0"/>
          <w:numId w:val="4"/>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Layer 4 (Objective Inference):</w:t>
        <w:br w:type="textWrapping"/>
      </w:r>
      <w:r w:rsidDel="00000000" w:rsidR="00000000" w:rsidRPr="00000000">
        <w:rPr>
          <w:rFonts w:ascii="Google Sans" w:cs="Google Sans" w:eastAsia="Google Sans" w:hAnsi="Google Sans"/>
          <w:color w:val="1f1f1f"/>
          <w:rtl w:val="0"/>
        </w:rPr>
        <w:t xml:space="preserve"> Observed behavioral patterns are consistent with an effective objective function that places significant weight on throughput efficiency, conviction completion, and cost minimization under capacity constraints.</w:t>
      </w:r>
    </w:p>
    <w:p w:rsidR="00000000" w:rsidDel="00000000" w:rsidP="00000000" w:rsidRDefault="00000000" w:rsidRPr="00000000" w14:paraId="000001CD">
      <w:pPr>
        <w:numPr>
          <w:ilvl w:val="0"/>
          <w:numId w:val="4"/>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Attribution-Integrity Gap (AIG):</w:t>
        <w:br w:type="textWrapping"/>
      </w:r>
      <w:r w:rsidDel="00000000" w:rsidR="00000000" w:rsidRPr="00000000">
        <w:rPr>
          <w:rFonts w:ascii="Google Sans" w:cs="Google Sans" w:eastAsia="Google Sans" w:hAnsi="Google Sans"/>
          <w:color w:val="1f1f1f"/>
          <w:rtl w:val="0"/>
        </w:rPr>
        <w:t xml:space="preserve"> Public understanding of the system remains oriented around high-visibility processes, while the mechanisms that generate most outcomes operate with lower visibility and reduced feedback.</w:t>
      </w:r>
    </w:p>
    <w:p w:rsidR="00000000" w:rsidDel="00000000" w:rsidP="00000000" w:rsidRDefault="00000000" w:rsidRPr="00000000" w14:paraId="000001CE">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spacing w:after="80" w:before="280" w:line="275.9999942779541" w:lineRule="auto"/>
        <w:rPr>
          <w:rFonts w:ascii="Google Sans" w:cs="Google Sans" w:eastAsia="Google Sans" w:hAnsi="Google Sans"/>
          <w:color w:val="1f1f1f"/>
          <w:sz w:val="26"/>
          <w:szCs w:val="26"/>
        </w:rPr>
      </w:pPr>
      <w:bookmarkStart w:colFirst="0" w:colLast="0" w:name="_spzqlr1nait3" w:id="71"/>
      <w:bookmarkEnd w:id="71"/>
      <w:r w:rsidDel="00000000" w:rsidR="00000000" w:rsidRPr="00000000">
        <w:rPr>
          <w:rFonts w:ascii="Google Sans" w:cs="Google Sans" w:eastAsia="Google Sans" w:hAnsi="Google Sans"/>
          <w:color w:val="1f1f1f"/>
          <w:sz w:val="26"/>
          <w:szCs w:val="26"/>
          <w:rtl w:val="0"/>
        </w:rPr>
        <w:t xml:space="preserve">Integrated Interpretation</w:t>
      </w:r>
    </w:p>
    <w:p w:rsidR="00000000" w:rsidDel="00000000" w:rsidP="00000000" w:rsidRDefault="00000000" w:rsidRPr="00000000" w14:paraId="000001D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Taken together, these findings support a structural interpretation:</w:t>
      </w:r>
    </w:p>
    <w:p w:rsidR="00000000" w:rsidDel="00000000" w:rsidP="00000000" w:rsidRDefault="00000000" w:rsidRPr="00000000" w14:paraId="000001D1">
      <w:pPr>
        <w:spacing w:after="240" w:before="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outcomes are best understood as emerging from constraint-mediated processes rather than from independent, symmetrical adversarial adjudication.</w:t>
      </w:r>
    </w:p>
    <w:p w:rsidR="00000000" w:rsidDel="00000000" w:rsidP="00000000" w:rsidRDefault="00000000" w:rsidRPr="00000000" w14:paraId="000001D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interpretation does not require assumptions of intent, coordination, or normative judgment. It follows from:</w:t>
      </w:r>
    </w:p>
    <w:p w:rsidR="00000000" w:rsidDel="00000000" w:rsidP="00000000" w:rsidRDefault="00000000" w:rsidRPr="00000000" w14:paraId="000001D3">
      <w:pPr>
        <w:numPr>
          <w:ilvl w:val="0"/>
          <w:numId w:val="27"/>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of feasible sets</w:t>
      </w:r>
    </w:p>
    <w:p w:rsidR="00000000" w:rsidDel="00000000" w:rsidP="00000000" w:rsidRDefault="00000000" w:rsidRPr="00000000" w14:paraId="000001D4">
      <w:pPr>
        <w:numPr>
          <w:ilvl w:val="0"/>
          <w:numId w:val="27"/>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concentration of bottleneck control</w:t>
      </w:r>
    </w:p>
    <w:p w:rsidR="00000000" w:rsidDel="00000000" w:rsidP="00000000" w:rsidRDefault="00000000" w:rsidRPr="00000000" w14:paraId="000001D5">
      <w:pPr>
        <w:numPr>
          <w:ilvl w:val="0"/>
          <w:numId w:val="27"/>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of behavioral outputs across jurisdictions</w:t>
      </w:r>
    </w:p>
    <w:p w:rsidR="00000000" w:rsidDel="00000000" w:rsidP="00000000" w:rsidRDefault="00000000" w:rsidRPr="00000000" w14:paraId="000001D6">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spacing w:after="80" w:before="280" w:line="275.9999942779541" w:lineRule="auto"/>
        <w:rPr>
          <w:rFonts w:ascii="Google Sans" w:cs="Google Sans" w:eastAsia="Google Sans" w:hAnsi="Google Sans"/>
          <w:color w:val="1f1f1f"/>
          <w:sz w:val="26"/>
          <w:szCs w:val="26"/>
        </w:rPr>
      </w:pPr>
      <w:bookmarkStart w:colFirst="0" w:colLast="0" w:name="_3c6tk3ao67bz" w:id="72"/>
      <w:bookmarkEnd w:id="72"/>
      <w:r w:rsidDel="00000000" w:rsidR="00000000" w:rsidRPr="00000000">
        <w:rPr>
          <w:rFonts w:ascii="Google Sans" w:cs="Google Sans" w:eastAsia="Google Sans" w:hAnsi="Google Sans"/>
          <w:color w:val="1f1f1f"/>
          <w:sz w:val="26"/>
          <w:szCs w:val="26"/>
          <w:rtl w:val="0"/>
        </w:rPr>
        <w:t xml:space="preserve">Implications</w:t>
      </w:r>
    </w:p>
    <w:p w:rsidR="00000000" w:rsidDel="00000000" w:rsidP="00000000" w:rsidRDefault="00000000" w:rsidRPr="00000000" w14:paraId="000001D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framework, meaningful changes to system outcomes are most likely to occur when interventions:</w:t>
      </w:r>
    </w:p>
    <w:p w:rsidR="00000000" w:rsidDel="00000000" w:rsidP="00000000" w:rsidRDefault="00000000" w:rsidRPr="00000000" w14:paraId="000001D9">
      <w:pPr>
        <w:numPr>
          <w:ilvl w:val="0"/>
          <w:numId w:val="2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 binding constraint structures</w:t>
      </w:r>
    </w:p>
    <w:p w:rsidR="00000000" w:rsidDel="00000000" w:rsidP="00000000" w:rsidRDefault="00000000" w:rsidRPr="00000000" w14:paraId="000001DA">
      <w:pPr>
        <w:numPr>
          <w:ilvl w:val="0"/>
          <w:numId w:val="2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Rebalance feasible action sets across actors</w:t>
      </w:r>
    </w:p>
    <w:p w:rsidR="00000000" w:rsidDel="00000000" w:rsidP="00000000" w:rsidRDefault="00000000" w:rsidRPr="00000000" w14:paraId="000001DB">
      <w:pPr>
        <w:numPr>
          <w:ilvl w:val="0"/>
          <w:numId w:val="2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 transparency in dominant resolution processes</w:t>
      </w:r>
    </w:p>
    <w:p w:rsidR="00000000" w:rsidDel="00000000" w:rsidP="00000000" w:rsidRDefault="00000000" w:rsidRPr="00000000" w14:paraId="000001D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interventions that operate within existing constraint maps are expected to produce limited effects.</w:t>
      </w:r>
    </w:p>
    <w:p w:rsidR="00000000" w:rsidDel="00000000" w:rsidP="00000000" w:rsidRDefault="00000000" w:rsidRPr="00000000" w14:paraId="000001DD">
      <w:pPr>
        <w:spacing w:after="25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spacing w:after="80" w:before="280" w:line="275.9999942779541" w:lineRule="auto"/>
        <w:rPr>
          <w:rFonts w:ascii="Google Sans" w:cs="Google Sans" w:eastAsia="Google Sans" w:hAnsi="Google Sans"/>
          <w:color w:val="1f1f1f"/>
          <w:sz w:val="26"/>
          <w:szCs w:val="26"/>
        </w:rPr>
      </w:pPr>
      <w:bookmarkStart w:colFirst="0" w:colLast="0" w:name="_azkdhdqvkl0" w:id="73"/>
      <w:bookmarkEnd w:id="73"/>
      <w:r w:rsidDel="00000000" w:rsidR="00000000" w:rsidRPr="00000000">
        <w:rPr>
          <w:rFonts w:ascii="Google Sans" w:cs="Google Sans" w:eastAsia="Google Sans" w:hAnsi="Google Sans"/>
          <w:color w:val="1f1f1f"/>
          <w:sz w:val="26"/>
          <w:szCs w:val="26"/>
          <w:rtl w:val="0"/>
        </w:rPr>
        <w:t xml:space="preserve">Final Statement</w:t>
      </w:r>
    </w:p>
    <w:p w:rsidR="00000000" w:rsidDel="00000000" w:rsidP="00000000" w:rsidRDefault="00000000" w:rsidRPr="00000000" w14:paraId="000001D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contribution of this analysis is not a claim about what the system intends to do, but a model of how it behaves under its current structural conditions.</w:t>
      </w:r>
    </w:p>
    <w:p w:rsidR="00000000" w:rsidDel="00000000" w:rsidP="00000000" w:rsidRDefault="00000000" w:rsidRPr="00000000" w14:paraId="000001E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framework is correct, then:</w:t>
      </w:r>
    </w:p>
    <w:p w:rsidR="00000000" w:rsidDel="00000000" w:rsidP="00000000" w:rsidRDefault="00000000" w:rsidRPr="00000000" w14:paraId="000001E1">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resides in the design and activation of constraints</w:t>
      </w:r>
    </w:p>
    <w:p w:rsidR="00000000" w:rsidDel="00000000" w:rsidP="00000000" w:rsidRDefault="00000000" w:rsidRPr="00000000" w14:paraId="000001E2">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 reflect the topology of those constraints</w:t>
      </w:r>
    </w:p>
    <w:p w:rsidR="00000000" w:rsidDel="00000000" w:rsidP="00000000" w:rsidRDefault="00000000" w:rsidRPr="00000000" w14:paraId="000001E3">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observable system behavior can be predicted, tested, and, where desired, altered by modifying them</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Incarceration Trends - The Sentencing Project, accessed April 23, 2026, </w:t>
      </w:r>
      <w:hyperlink r:id="rId6">
        <w:r w:rsidDel="00000000" w:rsidR="00000000" w:rsidRPr="00000000">
          <w:rPr>
            <w:rFonts w:ascii="Google Sans" w:cs="Google Sans" w:eastAsia="Google Sans" w:hAnsi="Google Sans"/>
            <w:color w:val="0000ee"/>
            <w:sz w:val="24"/>
            <w:szCs w:val="24"/>
            <w:u w:val="single"/>
            <w:rtl w:val="0"/>
          </w:rPr>
          <w:t xml:space="preserve">https://www.sentencingproject.org/reports/mass-incarceration-trends/</w:t>
        </w:r>
      </w:hyperlink>
      <w:r w:rsidDel="00000000" w:rsidR="00000000" w:rsidRPr="00000000">
        <w:rPr>
          <w:rtl w:val="0"/>
        </w:rPr>
      </w:r>
    </w:p>
    <w:p w:rsidR="00000000" w:rsidDel="00000000" w:rsidP="00000000" w:rsidRDefault="00000000" w:rsidRPr="00000000" w14:paraId="000001E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Gets Arrested in America: Trends Across Four Decades, 1980-2024, accessed April 23, 2026, </w:t>
      </w:r>
      <w:hyperlink r:id="rId7">
        <w:r w:rsidDel="00000000" w:rsidR="00000000" w:rsidRPr="00000000">
          <w:rPr>
            <w:rFonts w:ascii="Google Sans" w:cs="Google Sans" w:eastAsia="Google Sans" w:hAnsi="Google Sans"/>
            <w:color w:val="0000ee"/>
            <w:sz w:val="24"/>
            <w:szCs w:val="24"/>
            <w:u w:val="single"/>
            <w:rtl w:val="0"/>
          </w:rPr>
          <w:t xml:space="preserve">https://counciloncj.org/who-gets-arrested-in-america-trends-across-four-decades-1980-2024/</w:t>
        </w:r>
      </w:hyperlink>
      <w:r w:rsidDel="00000000" w:rsidR="00000000" w:rsidRPr="00000000">
        <w:rPr>
          <w:rtl w:val="0"/>
        </w:rPr>
      </w:r>
    </w:p>
    <w:p w:rsidR="00000000" w:rsidDel="00000000" w:rsidP="00000000" w:rsidRDefault="00000000" w:rsidRPr="00000000" w14:paraId="000001E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Economics of incarceration - Prison Policy Initiative, accessed April 23, 2026, </w:t>
      </w:r>
      <w:hyperlink r:id="rId8">
        <w:r w:rsidDel="00000000" w:rsidR="00000000" w:rsidRPr="00000000">
          <w:rPr>
            <w:rFonts w:ascii="Google Sans" w:cs="Google Sans" w:eastAsia="Google Sans" w:hAnsi="Google Sans"/>
            <w:color w:val="0000ee"/>
            <w:sz w:val="24"/>
            <w:szCs w:val="24"/>
            <w:u w:val="single"/>
            <w:rtl w:val="0"/>
          </w:rPr>
          <w:t xml:space="preserve">https://www.prisonpolicy.org/research/economics_of_incarceration/</w:t>
        </w:r>
      </w:hyperlink>
      <w:r w:rsidDel="00000000" w:rsidR="00000000" w:rsidRPr="00000000">
        <w:rPr>
          <w:rtl w:val="0"/>
        </w:rPr>
      </w:r>
    </w:p>
    <w:p w:rsidR="00000000" w:rsidDel="00000000" w:rsidP="00000000" w:rsidRDefault="00000000" w:rsidRPr="00000000" w14:paraId="000001E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Shadows | Vera Institute, accessed April 23, 2026, </w:t>
      </w:r>
      <w:hyperlink r:id="rId9">
        <w:r w:rsidDel="00000000" w:rsidR="00000000" w:rsidRPr="00000000">
          <w:rPr>
            <w:rFonts w:ascii="Google Sans" w:cs="Google Sans" w:eastAsia="Google Sans" w:hAnsi="Google Sans"/>
            <w:color w:val="0000ee"/>
            <w:sz w:val="24"/>
            <w:szCs w:val="24"/>
            <w:u w:val="single"/>
            <w:rtl w:val="0"/>
          </w:rPr>
          <w:t xml:space="preserve">https://www.vera.org/publications/in-the-shadows-plea-bargaining</w:t>
        </w:r>
      </w:hyperlink>
      <w:r w:rsidDel="00000000" w:rsidR="00000000" w:rsidRPr="00000000">
        <w:rPr>
          <w:rtl w:val="0"/>
        </w:rPr>
      </w:r>
    </w:p>
    <w:p w:rsidR="00000000" w:rsidDel="00000000" w:rsidP="00000000" w:rsidRDefault="00000000" w:rsidRPr="00000000" w14:paraId="000001E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Bar Association's 2023 Plea Bargain Task Force Report | Criminal Legal News, accessed April 23, 2026, </w:t>
      </w:r>
      <w:hyperlink r:id="rId10">
        <w:r w:rsidDel="00000000" w:rsidR="00000000" w:rsidRPr="00000000">
          <w:rPr>
            <w:rFonts w:ascii="Google Sans" w:cs="Google Sans" w:eastAsia="Google Sans" w:hAnsi="Google Sans"/>
            <w:color w:val="0000ee"/>
            <w:sz w:val="24"/>
            <w:szCs w:val="24"/>
            <w:u w:val="single"/>
            <w:rtl w:val="0"/>
          </w:rPr>
          <w:t xml:space="preserve">https://www.criminallegalnews.org/news/2023/oct/1/american-bar-associations-2023-plea-bargain-task-force-report/</w:t>
        </w:r>
      </w:hyperlink>
      <w:r w:rsidDel="00000000" w:rsidR="00000000" w:rsidRPr="00000000">
        <w:rPr>
          <w:rtl w:val="0"/>
        </w:rPr>
      </w:r>
    </w:p>
    <w:p w:rsidR="00000000" w:rsidDel="00000000" w:rsidP="00000000" w:rsidRDefault="00000000" w:rsidRPr="00000000" w14:paraId="000001E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Criminal Justice Data - The Sentencing Project, accessed April 23, 2026, </w:t>
      </w:r>
      <w:hyperlink r:id="rId11">
        <w:r w:rsidDel="00000000" w:rsidR="00000000" w:rsidRPr="00000000">
          <w:rPr>
            <w:rFonts w:ascii="Google Sans" w:cs="Google Sans" w:eastAsia="Google Sans" w:hAnsi="Google Sans"/>
            <w:color w:val="0000ee"/>
            <w:sz w:val="24"/>
            <w:szCs w:val="24"/>
            <w:u w:val="single"/>
            <w:rtl w:val="0"/>
          </w:rPr>
          <w:t xml:space="preserve">https://www.sentencingproject.org/research/us-criminal-justice-data/</w:t>
        </w:r>
      </w:hyperlink>
      <w:r w:rsidDel="00000000" w:rsidR="00000000" w:rsidRPr="00000000">
        <w:rPr>
          <w:rtl w:val="0"/>
        </w:rPr>
      </w:r>
    </w:p>
    <w:p w:rsidR="00000000" w:rsidDel="00000000" w:rsidP="00000000" w:rsidRDefault="00000000" w:rsidRPr="00000000" w14:paraId="000001E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detention | Prison Policy Initiative, accessed April 23, 2026, </w:t>
      </w:r>
      <w:hyperlink r:id="rId12">
        <w:r w:rsidDel="00000000" w:rsidR="00000000" w:rsidRPr="00000000">
          <w:rPr>
            <w:rFonts w:ascii="Google Sans" w:cs="Google Sans" w:eastAsia="Google Sans" w:hAnsi="Google Sans"/>
            <w:color w:val="0000ee"/>
            <w:sz w:val="24"/>
            <w:szCs w:val="24"/>
            <w:u w:val="single"/>
            <w:rtl w:val="0"/>
          </w:rPr>
          <w:t xml:space="preserve">https://www.prisonpolicy.org/research/pretrial_detention/</w:t>
        </w:r>
      </w:hyperlink>
      <w:r w:rsidDel="00000000" w:rsidR="00000000" w:rsidRPr="00000000">
        <w:rPr>
          <w:rtl w:val="0"/>
        </w:rPr>
      </w:r>
    </w:p>
    <w:p w:rsidR="00000000" w:rsidDel="00000000" w:rsidP="00000000" w:rsidRDefault="00000000" w:rsidRPr="00000000" w14:paraId="000001E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Heavy Costs of High Bail: Evidence from Judge Randomization - Christopher Hansman, accessed April 23, 2026, </w:t>
      </w:r>
      <w:hyperlink r:id="rId13">
        <w:r w:rsidDel="00000000" w:rsidR="00000000" w:rsidRPr="00000000">
          <w:rPr>
            <w:rFonts w:ascii="Google Sans" w:cs="Google Sans" w:eastAsia="Google Sans" w:hAnsi="Google Sans"/>
            <w:color w:val="0000ee"/>
            <w:sz w:val="24"/>
            <w:szCs w:val="24"/>
            <w:u w:val="single"/>
            <w:rtl w:val="0"/>
          </w:rPr>
          <w:t xml:space="preserve">https://chansman.github.io/GHF_Bail.pdf</w:t>
        </w:r>
      </w:hyperlink>
      <w:r w:rsidDel="00000000" w:rsidR="00000000" w:rsidRPr="00000000">
        <w:rPr>
          <w:rtl w:val="0"/>
        </w:rPr>
      </w:r>
    </w:p>
    <w:p w:rsidR="00000000" w:rsidDel="00000000" w:rsidP="00000000" w:rsidRDefault="00000000" w:rsidRPr="00000000" w14:paraId="000001E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Aligning Profit with Outcomes in Private Prison Procurement | Cicero Institute, accessed April 23, 2026, </w:t>
      </w:r>
      <w:hyperlink r:id="rId14">
        <w:r w:rsidDel="00000000" w:rsidR="00000000" w:rsidRPr="00000000">
          <w:rPr>
            <w:rFonts w:ascii="Google Sans" w:cs="Google Sans" w:eastAsia="Google Sans" w:hAnsi="Google Sans"/>
            <w:color w:val="0000ee"/>
            <w:sz w:val="24"/>
            <w:szCs w:val="24"/>
            <w:u w:val="single"/>
            <w:rtl w:val="0"/>
          </w:rPr>
          <w:t xml:space="preserve">https://ciceroinstitute.org/research/aligning-profit-with-outcomes-in-private-prison-procurement/</w:t>
        </w:r>
      </w:hyperlink>
      <w:r w:rsidDel="00000000" w:rsidR="00000000" w:rsidRPr="00000000">
        <w:rPr>
          <w:rtl w:val="0"/>
        </w:rPr>
      </w:r>
    </w:p>
    <w:p w:rsidR="00000000" w:rsidDel="00000000" w:rsidP="00000000" w:rsidRDefault="00000000" w:rsidRPr="00000000" w14:paraId="000001E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dynamics_paper_v1.docx</w:t>
      </w:r>
    </w:p>
    <w:p w:rsidR="00000000" w:rsidDel="00000000" w:rsidP="00000000" w:rsidRDefault="00000000" w:rsidRPr="00000000" w14:paraId="000001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More You Have, The More You Lose: Criminal Justice Involvement, Ascribed Socioeconomic Status, and Achieved SES - PMC, accessed April 23,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https://pmc.ncbi.nlm.nih.gov/articles/PMC6438383/</w:t>
        </w:r>
      </w:hyperlink>
      <w:r w:rsidDel="00000000" w:rsidR="00000000" w:rsidRPr="00000000">
        <w:rPr>
          <w:rtl w:val="0"/>
        </w:rPr>
      </w:r>
    </w:p>
    <w:p w:rsidR="00000000" w:rsidDel="00000000" w:rsidP="00000000" w:rsidRDefault="00000000" w:rsidRPr="00000000" w14:paraId="000001F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Research Highlights in 2025 - Advancing Pretrial Policy &amp; Research (APPR), accessed April 23, 2026, </w:t>
      </w:r>
      <w:hyperlink r:id="rId16">
        <w:r w:rsidDel="00000000" w:rsidR="00000000" w:rsidRPr="00000000">
          <w:rPr>
            <w:rFonts w:ascii="Google Sans" w:cs="Google Sans" w:eastAsia="Google Sans" w:hAnsi="Google Sans"/>
            <w:color w:val="0000ee"/>
            <w:sz w:val="24"/>
            <w:szCs w:val="24"/>
            <w:u w:val="single"/>
            <w:rtl w:val="0"/>
          </w:rPr>
          <w:t xml:space="preserve">https://www.advancingpretrial.org/resource/pretrial-research-highlights-in-2025/</w:t>
        </w:r>
      </w:hyperlink>
      <w:r w:rsidDel="00000000" w:rsidR="00000000" w:rsidRPr="00000000">
        <w:rPr>
          <w:rtl w:val="0"/>
        </w:rPr>
      </w:r>
    </w:p>
    <w:p w:rsidR="00000000" w:rsidDel="00000000" w:rsidP="00000000" w:rsidRDefault="00000000" w:rsidRPr="00000000" w14:paraId="000001F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Unequal Scales: California's Investment Disparity Between ..., accessed April 23, 2026, </w:t>
      </w:r>
      <w:hyperlink r:id="rId17">
        <w:r w:rsidDel="00000000" w:rsidR="00000000" w:rsidRPr="00000000">
          <w:rPr>
            <w:rFonts w:ascii="Google Sans" w:cs="Google Sans" w:eastAsia="Google Sans" w:hAnsi="Google Sans"/>
            <w:color w:val="0000ee"/>
            <w:sz w:val="24"/>
            <w:szCs w:val="24"/>
            <w:u w:val="single"/>
            <w:rtl w:val="0"/>
          </w:rPr>
          <w:t xml:space="preserve">https://www.ospd.ca.gov/wp-content/uploads/2025/05/Unequal-Scales_Californias-Investment-Disparity-between-Prosecution-and-Public-Defense.pdf</w:t>
        </w:r>
      </w:hyperlink>
      <w:r w:rsidDel="00000000" w:rsidR="00000000" w:rsidRPr="00000000">
        <w:rPr>
          <w:rtl w:val="0"/>
        </w:rPr>
      </w:r>
    </w:p>
    <w:p w:rsidR="00000000" w:rsidDel="00000000" w:rsidP="00000000" w:rsidRDefault="00000000" w:rsidRPr="00000000" w14:paraId="000001F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Mandatory Minimum Penalties and the U.S. Sentencing ..., accessed April 23, 2026, </w:t>
      </w:r>
      <w:hyperlink r:id="rId18">
        <w:r w:rsidDel="00000000" w:rsidR="00000000" w:rsidRPr="00000000">
          <w:rPr>
            <w:rFonts w:ascii="Google Sans" w:cs="Google Sans" w:eastAsia="Google Sans" w:hAnsi="Google Sans"/>
            <w:color w:val="0000ee"/>
            <w:sz w:val="24"/>
            <w:szCs w:val="24"/>
            <w:u w:val="single"/>
            <w:rtl w:val="0"/>
          </w:rPr>
          <w:t xml:space="preserve">https://scholarship.law.umn.edu/cgi/viewcontent.cgi?article=1527&amp;context=faculty_articles</w:t>
        </w:r>
      </w:hyperlink>
      <w:r w:rsidDel="00000000" w:rsidR="00000000" w:rsidRPr="00000000">
        <w:rPr>
          <w:rtl w:val="0"/>
        </w:rPr>
      </w:r>
    </w:p>
    <w:p w:rsidR="00000000" w:rsidDel="00000000" w:rsidP="00000000" w:rsidRDefault="00000000" w:rsidRPr="00000000" w14:paraId="000001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Case against Mandatory Minimum Sentences | FAMM, accessed April 23, 2026, </w:t>
      </w:r>
      <w:hyperlink r:id="rId19">
        <w:r w:rsidDel="00000000" w:rsidR="00000000" w:rsidRPr="00000000">
          <w:rPr>
            <w:rFonts w:ascii="Google Sans" w:cs="Google Sans" w:eastAsia="Google Sans" w:hAnsi="Google Sans"/>
            <w:color w:val="0000ee"/>
            <w:sz w:val="24"/>
            <w:szCs w:val="24"/>
            <w:u w:val="single"/>
            <w:rtl w:val="0"/>
          </w:rPr>
          <w:t xml:space="preserve">https://famm.org/wp-content/uploads/2021/04/The-Case-against-Mandatory-Minimum-Sentences.pdf</w:t>
        </w:r>
      </w:hyperlink>
      <w:r w:rsidDel="00000000" w:rsidR="00000000" w:rsidRPr="00000000">
        <w:rPr>
          <w:rtl w:val="0"/>
        </w:rPr>
      </w:r>
    </w:p>
    <w:p w:rsidR="00000000" w:rsidDel="00000000" w:rsidP="00000000" w:rsidRDefault="00000000" w:rsidRPr="00000000" w14:paraId="000001F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Revealed: police unions spend millions to influence policy in biggest US cities, accessed April 23, 2026, </w:t>
      </w:r>
      <w:hyperlink r:id="rId20">
        <w:r w:rsidDel="00000000" w:rsidR="00000000" w:rsidRPr="00000000">
          <w:rPr>
            <w:rFonts w:ascii="Google Sans" w:cs="Google Sans" w:eastAsia="Google Sans" w:hAnsi="Google Sans"/>
            <w:color w:val="0000ee"/>
            <w:sz w:val="24"/>
            <w:szCs w:val="24"/>
            <w:u w:val="single"/>
            <w:rtl w:val="0"/>
          </w:rPr>
          <w:t xml:space="preserve">https://www.theguardian.com/us-news/2020/jun/23/police-unions-spending-policy-reform-chicago-new-york-la</w:t>
        </w:r>
      </w:hyperlink>
      <w:r w:rsidDel="00000000" w:rsidR="00000000" w:rsidRPr="00000000">
        <w:rPr>
          <w:rtl w:val="0"/>
        </w:rPr>
      </w:r>
    </w:p>
    <w:p w:rsidR="00000000" w:rsidDel="00000000" w:rsidP="00000000" w:rsidRDefault="00000000" w:rsidRPr="00000000" w14:paraId="000001F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Epoch Times: Civil forfeiture: How the Government makes billions by taking Americans' private property - Tim Walberg, accessed April 23, 2026, </w:t>
      </w:r>
      <w:hyperlink r:id="rId21">
        <w:r w:rsidDel="00000000" w:rsidR="00000000" w:rsidRPr="00000000">
          <w:rPr>
            <w:rFonts w:ascii="Google Sans" w:cs="Google Sans" w:eastAsia="Google Sans" w:hAnsi="Google Sans"/>
            <w:color w:val="0000ee"/>
            <w:sz w:val="24"/>
            <w:szCs w:val="24"/>
            <w:u w:val="single"/>
            <w:rtl w:val="0"/>
          </w:rPr>
          <w:t xml:space="preserve">https://walberg.house.gov/media/in-the-news/epoch-times-civil-forfeiture-how-government-makes-billions-taking-americans</w:t>
        </w:r>
      </w:hyperlink>
      <w:r w:rsidDel="00000000" w:rsidR="00000000" w:rsidRPr="00000000">
        <w:rPr>
          <w:rtl w:val="0"/>
        </w:rPr>
      </w:r>
    </w:p>
    <w:p w:rsidR="00000000" w:rsidDel="00000000" w:rsidP="00000000" w:rsidRDefault="00000000" w:rsidRPr="00000000" w14:paraId="000001F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prospects for career advancement as a prosecutor? : r/LawFirm - Reddit, accessed April 23, 2026, </w:t>
      </w:r>
      <w:hyperlink r:id="rId22">
        <w:r w:rsidDel="00000000" w:rsidR="00000000" w:rsidRPr="00000000">
          <w:rPr>
            <w:rFonts w:ascii="Google Sans" w:cs="Google Sans" w:eastAsia="Google Sans" w:hAnsi="Google Sans"/>
            <w:color w:val="0000ee"/>
            <w:sz w:val="24"/>
            <w:szCs w:val="24"/>
            <w:u w:val="single"/>
            <w:rtl w:val="0"/>
          </w:rPr>
          <w:t xml:space="preserve">https://www.reddit.com/r/LawFirm/comments/vonmpo/what_are_the_prospects_for_career_advancement_as/</w:t>
        </w:r>
      </w:hyperlink>
      <w:r w:rsidDel="00000000" w:rsidR="00000000" w:rsidRPr="00000000">
        <w:rPr>
          <w:rtl w:val="0"/>
        </w:rPr>
      </w:r>
    </w:p>
    <w:p w:rsidR="00000000" w:rsidDel="00000000" w:rsidP="00000000" w:rsidRDefault="00000000" w:rsidRPr="00000000" w14:paraId="000001F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Convictions versus Conviction Rates: The Prosecutor's Choice - Harvard Law School, accessed April 23, 2026, </w:t>
      </w:r>
      <w:hyperlink r:id="rId23">
        <w:r w:rsidDel="00000000" w:rsidR="00000000" w:rsidRPr="00000000">
          <w:rPr>
            <w:rFonts w:ascii="Google Sans" w:cs="Google Sans" w:eastAsia="Google Sans" w:hAnsi="Google Sans"/>
            <w:color w:val="0000ee"/>
            <w:sz w:val="24"/>
            <w:szCs w:val="24"/>
            <w:u w:val="single"/>
            <w:rtl w:val="0"/>
          </w:rPr>
          <w:t xml:space="preserve">https://hls.harvard.edu/bibliography/convictions-versus-conviction-rates-the-prosecutors-choice/</w:t>
        </w:r>
      </w:hyperlink>
      <w:r w:rsidDel="00000000" w:rsidR="00000000" w:rsidRPr="00000000">
        <w:rPr>
          <w:rtl w:val="0"/>
        </w:rPr>
      </w:r>
    </w:p>
    <w:p w:rsidR="00000000" w:rsidDel="00000000" w:rsidP="00000000" w:rsidRDefault="00000000" w:rsidRPr="00000000" w14:paraId="000001F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Give Me Liberty or Give Me . . . Alternatives?: Ending Cash Bail and Its Impact on Pretrial Incarceration - BrooklynWorks, accessed April 23, 2026, </w:t>
      </w:r>
      <w:hyperlink r:id="rId24">
        <w:r w:rsidDel="00000000" w:rsidR="00000000" w:rsidRPr="00000000">
          <w:rPr>
            <w:rFonts w:ascii="Google Sans" w:cs="Google Sans" w:eastAsia="Google Sans" w:hAnsi="Google Sans"/>
            <w:color w:val="0000ee"/>
            <w:sz w:val="24"/>
            <w:szCs w:val="24"/>
            <w:u w:val="single"/>
            <w:rtl w:val="0"/>
          </w:rPr>
          <w:t xml:space="preserve">https://brooklynworks.brooklaw.edu/blr/vol84/iss4/9/</w:t>
        </w:r>
      </w:hyperlink>
      <w:r w:rsidDel="00000000" w:rsidR="00000000" w:rsidRPr="00000000">
        <w:rPr>
          <w:rtl w:val="0"/>
        </w:rPr>
      </w:r>
    </w:p>
    <w:p w:rsidR="00000000" w:rsidDel="00000000" w:rsidP="00000000" w:rsidRDefault="00000000" w:rsidRPr="00000000" w14:paraId="000001F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Causal Analysis Confirmed Impact of Cash Bail on Verdicts, accessed April 23, 2026, </w:t>
      </w:r>
      <w:hyperlink r:id="rId25">
        <w:r w:rsidDel="00000000" w:rsidR="00000000" w:rsidRPr="00000000">
          <w:rPr>
            <w:rFonts w:ascii="Google Sans" w:cs="Google Sans" w:eastAsia="Google Sans" w:hAnsi="Google Sans"/>
            <w:color w:val="0000ee"/>
            <w:sz w:val="24"/>
            <w:szCs w:val="24"/>
            <w:u w:val="single"/>
            <w:rtl w:val="0"/>
          </w:rPr>
          <w:t xml:space="preserve">https://hrdag.org/2025/02/17/bail/</w:t>
        </w:r>
      </w:hyperlink>
      <w:r w:rsidDel="00000000" w:rsidR="00000000" w:rsidRPr="00000000">
        <w:rPr>
          <w:rtl w:val="0"/>
        </w:rPr>
      </w:r>
    </w:p>
    <w:p w:rsidR="00000000" w:rsidDel="00000000" w:rsidP="00000000" w:rsidRDefault="00000000" w:rsidRPr="00000000" w14:paraId="000001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Following the Money of Mass Incarceration 2026 | Prison Policy Initiative, accessed April 23, 2026, </w:t>
      </w:r>
      <w:hyperlink r:id="rId26">
        <w:r w:rsidDel="00000000" w:rsidR="00000000" w:rsidRPr="00000000">
          <w:rPr>
            <w:rFonts w:ascii="Google Sans" w:cs="Google Sans" w:eastAsia="Google Sans" w:hAnsi="Google Sans"/>
            <w:color w:val="0000ee"/>
            <w:sz w:val="24"/>
            <w:szCs w:val="24"/>
            <w:u w:val="single"/>
            <w:rtl w:val="0"/>
          </w:rPr>
          <w:t xml:space="preserve">https://www.prisonpolicy.org/reports/money2026.html</w:t>
        </w:r>
      </w:hyperlink>
      <w:r w:rsidDel="00000000" w:rsidR="00000000" w:rsidRPr="00000000">
        <w:rPr>
          <w:rtl w:val="0"/>
        </w:rPr>
      </w:r>
    </w:p>
    <w:p w:rsidR="00000000" w:rsidDel="00000000" w:rsidP="00000000" w:rsidRDefault="00000000" w:rsidRPr="00000000" w14:paraId="000001F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Policing for Profit 4 - Institute for Justice, accessed April 23, 2026, </w:t>
      </w:r>
      <w:hyperlink r:id="rId27">
        <w:r w:rsidDel="00000000" w:rsidR="00000000" w:rsidRPr="00000000">
          <w:rPr>
            <w:rFonts w:ascii="Google Sans" w:cs="Google Sans" w:eastAsia="Google Sans" w:hAnsi="Google Sans"/>
            <w:color w:val="0000ee"/>
            <w:sz w:val="24"/>
            <w:szCs w:val="24"/>
            <w:u w:val="single"/>
            <w:rtl w:val="0"/>
          </w:rPr>
          <w:t xml:space="preserve">https://ij.org/report/policing-for-profit-4/</w:t>
        </w:r>
      </w:hyperlink>
      <w:r w:rsidDel="00000000" w:rsidR="00000000" w:rsidRPr="00000000">
        <w:rPr>
          <w:rtl w:val="0"/>
        </w:rPr>
      </w:r>
    </w:p>
    <w:p w:rsidR="00000000" w:rsidDel="00000000" w:rsidP="00000000" w:rsidRDefault="00000000" w:rsidRPr="00000000" w14:paraId="000001F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Interest groups, local politics, and police unions - PMC - NIH, accessed April 23,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https://pmc.ncbi.nlm.nih.gov/articles/PMC8783788/</w:t>
        </w:r>
      </w:hyperlink>
      <w:r w:rsidDel="00000000" w:rsidR="00000000" w:rsidRPr="00000000">
        <w:rPr>
          <w:rtl w:val="0"/>
        </w:rPr>
      </w:r>
    </w:p>
    <w:p w:rsidR="00000000" w:rsidDel="00000000" w:rsidP="00000000" w:rsidRDefault="00000000" w:rsidRPr="00000000" w14:paraId="000001F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Police Unions on the Prosecution of Officers, Legitimacy, and Reform - OpenSIUC, accessed April 23, 2026, </w:t>
      </w:r>
      <w:hyperlink r:id="rId29">
        <w:r w:rsidDel="00000000" w:rsidR="00000000" w:rsidRPr="00000000">
          <w:rPr>
            <w:rFonts w:ascii="Google Sans" w:cs="Google Sans" w:eastAsia="Google Sans" w:hAnsi="Google Sans"/>
            <w:color w:val="0000ee"/>
            <w:sz w:val="24"/>
            <w:szCs w:val="24"/>
            <w:u w:val="single"/>
            <w:rtl w:val="0"/>
          </w:rPr>
          <w:t xml:space="preserve">https://opensiuc.lib.siu.edu/cgi/viewcontent.cgi?article=2488&amp;context=gs_rp</w:t>
        </w:r>
      </w:hyperlink>
      <w:r w:rsidDel="00000000" w:rsidR="00000000" w:rsidRPr="00000000">
        <w:rPr>
          <w:rtl w:val="0"/>
        </w:rPr>
      </w:r>
    </w:p>
    <w:p w:rsidR="00000000" w:rsidDel="00000000" w:rsidP="00000000" w:rsidRDefault="00000000" w:rsidRPr="00000000" w14:paraId="000001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Mandatory Minimums Perpetuate Mass Incarceration and What to Do About It, accessed April 23, 2026, </w:t>
      </w:r>
      <w:hyperlink r:id="rId30">
        <w:r w:rsidDel="00000000" w:rsidR="00000000" w:rsidRPr="00000000">
          <w:rPr>
            <w:rFonts w:ascii="Google Sans" w:cs="Google Sans" w:eastAsia="Google Sans" w:hAnsi="Google Sans"/>
            <w:color w:val="0000ee"/>
            <w:sz w:val="24"/>
            <w:szCs w:val="24"/>
            <w:u w:val="single"/>
            <w:rtl w:val="0"/>
          </w:rPr>
          <w:t xml:space="preserve">https://www.sentencingproject.org/fact-sheet/how-mandatory-minimums-perpetuate-mass-incarceration-and-what-to-do-about-it/</w:t>
        </w:r>
      </w:hyperlink>
      <w:r w:rsidDel="00000000" w:rsidR="00000000" w:rsidRPr="00000000">
        <w:rPr>
          <w:rtl w:val="0"/>
        </w:rPr>
      </w:r>
    </w:p>
    <w:p w:rsidR="00000000" w:rsidDel="00000000" w:rsidP="00000000" w:rsidRDefault="00000000" w:rsidRPr="00000000" w14:paraId="0000020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 Over Public Safety - Brennan Center for Justice, accessed April 23, 2026, </w:t>
      </w:r>
      <w:hyperlink r:id="rId31">
        <w:r w:rsidDel="00000000" w:rsidR="00000000" w:rsidRPr="00000000">
          <w:rPr>
            <w:rFonts w:ascii="Google Sans" w:cs="Google Sans" w:eastAsia="Google Sans" w:hAnsi="Google Sans"/>
            <w:color w:val="0000ee"/>
            <w:sz w:val="24"/>
            <w:szCs w:val="24"/>
            <w:u w:val="single"/>
            <w:rtl w:val="0"/>
          </w:rPr>
          <w:t xml:space="preserve">https://www.brennancenter.org/media/9813/download/2022_06_Perverse_Incentives_Report.pdf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guardian.com/us-news/2020/jun/23/police-unions-spending-policy-reform-chicago-new-york-la" TargetMode="External"/><Relationship Id="rId22" Type="http://schemas.openxmlformats.org/officeDocument/2006/relationships/hyperlink" Target="https://www.reddit.com/r/LawFirm/comments/vonmpo/what_are_the_prospects_for_career_advancement_as/" TargetMode="External"/><Relationship Id="rId21" Type="http://schemas.openxmlformats.org/officeDocument/2006/relationships/hyperlink" Target="https://walberg.house.gov/media/in-the-news/epoch-times-civil-forfeiture-how-government-makes-billions-taking-americans" TargetMode="External"/><Relationship Id="rId24" Type="http://schemas.openxmlformats.org/officeDocument/2006/relationships/hyperlink" Target="https://brooklynworks.brooklaw.edu/blr/vol84/iss4/9/" TargetMode="External"/><Relationship Id="rId23" Type="http://schemas.openxmlformats.org/officeDocument/2006/relationships/hyperlink" Target="https://hls.harvard.edu/bibliography/convictions-versus-conviction-rates-the-prosecutors-cho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a.org/publications/in-the-shadows-plea-bargaining" TargetMode="External"/><Relationship Id="rId26" Type="http://schemas.openxmlformats.org/officeDocument/2006/relationships/hyperlink" Target="https://www.prisonpolicy.org/reports/money2026.html" TargetMode="External"/><Relationship Id="rId25" Type="http://schemas.openxmlformats.org/officeDocument/2006/relationships/hyperlink" Target="https://hrdag.org/2025/02/17/bail/" TargetMode="External"/><Relationship Id="rId28" Type="http://schemas.openxmlformats.org/officeDocument/2006/relationships/hyperlink" Target="https://pmc.ncbi.nlm.nih.gov/articles/PMC8783788/" TargetMode="External"/><Relationship Id="rId27" Type="http://schemas.openxmlformats.org/officeDocument/2006/relationships/hyperlink" Target="https://ij.org/report/policing-for-profit-4/" TargetMode="External"/><Relationship Id="rId5" Type="http://schemas.openxmlformats.org/officeDocument/2006/relationships/styles" Target="styles.xml"/><Relationship Id="rId6" Type="http://schemas.openxmlformats.org/officeDocument/2006/relationships/hyperlink" Target="https://www.sentencingproject.org/reports/mass-incarceration-trends/" TargetMode="External"/><Relationship Id="rId29" Type="http://schemas.openxmlformats.org/officeDocument/2006/relationships/hyperlink" Target="https://opensiuc.lib.siu.edu/cgi/viewcontent.cgi?article=2488&amp;context=gs_rp" TargetMode="External"/><Relationship Id="rId7" Type="http://schemas.openxmlformats.org/officeDocument/2006/relationships/hyperlink" Target="https://counciloncj.org/who-gets-arrested-in-america-trends-across-four-decades-1980-2024/" TargetMode="External"/><Relationship Id="rId8" Type="http://schemas.openxmlformats.org/officeDocument/2006/relationships/hyperlink" Target="https://www.prisonpolicy.org/research/economics_of_incarceration/" TargetMode="External"/><Relationship Id="rId31" Type="http://schemas.openxmlformats.org/officeDocument/2006/relationships/hyperlink" Target="https://www.brennancenter.org/media/9813/download/2022_06_Perverse_Incentives_Report.pdf" TargetMode="External"/><Relationship Id="rId30" Type="http://schemas.openxmlformats.org/officeDocument/2006/relationships/hyperlink" Target="https://www.sentencingproject.org/fact-sheet/how-mandatory-minimums-perpetuate-mass-incarceration-and-what-to-do-about-it/" TargetMode="External"/><Relationship Id="rId11" Type="http://schemas.openxmlformats.org/officeDocument/2006/relationships/hyperlink" Target="https://www.sentencingproject.org/research/us-criminal-justice-data/" TargetMode="External"/><Relationship Id="rId10" Type="http://schemas.openxmlformats.org/officeDocument/2006/relationships/hyperlink" Target="https://www.criminallegalnews.org/news/2023/oct/1/american-bar-associations-2023-plea-bargain-task-force-report/" TargetMode="External"/><Relationship Id="rId13" Type="http://schemas.openxmlformats.org/officeDocument/2006/relationships/hyperlink" Target="https://chansman.github.io/GHF_Bail.pdf" TargetMode="External"/><Relationship Id="rId12" Type="http://schemas.openxmlformats.org/officeDocument/2006/relationships/hyperlink" Target="https://www.prisonpolicy.org/research/pretrial_detention/" TargetMode="External"/><Relationship Id="rId15" Type="http://schemas.openxmlformats.org/officeDocument/2006/relationships/hyperlink" Target="https://pmc.ncbi.nlm.nih.gov/articles/PMC6438383/" TargetMode="External"/><Relationship Id="rId14" Type="http://schemas.openxmlformats.org/officeDocument/2006/relationships/hyperlink" Target="https://ciceroinstitute.org/research/aligning-profit-with-outcomes-in-private-prison-procurement/" TargetMode="External"/><Relationship Id="rId17" Type="http://schemas.openxmlformats.org/officeDocument/2006/relationships/hyperlink" Target="https://www.ospd.ca.gov/wp-content/uploads/2025/05/Unequal-Scales_Californias-Investment-Disparity-between-Prosecution-and-Public-Defense.pdf" TargetMode="External"/><Relationship Id="rId16" Type="http://schemas.openxmlformats.org/officeDocument/2006/relationships/hyperlink" Target="https://www.advancingpretrial.org/resource/pretrial-research-highlights-in-2025/" TargetMode="External"/><Relationship Id="rId19" Type="http://schemas.openxmlformats.org/officeDocument/2006/relationships/hyperlink" Target="https://famm.org/wp-content/uploads/2021/04/The-Case-against-Mandatory-Minimum-Sentences.pdf" TargetMode="External"/><Relationship Id="rId18" Type="http://schemas.openxmlformats.org/officeDocument/2006/relationships/hyperlink" Target="https://scholarship.law.umn.edu/cgi/viewcontent.cgi?article=1527&amp;context=faculty_artic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