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9a92xbws1la" w:id="0"/>
      <w:bookmarkEnd w:id="0"/>
      <w:r w:rsidDel="00000000" w:rsidR="00000000" w:rsidRPr="00000000">
        <w:rPr>
          <w:rtl w:val="0"/>
        </w:rPr>
        <w:t xml:space="preserve">The Attribution-Integrity Gap in U.S. Healthcare: Structural Diagnostics of Pricing, Optimization, and Hidden Control</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v2.0,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Applied instance of the Conservation-and-Coherence framework suite, using the attribution-integrity operator developed in</w:t>
      </w:r>
      <w:r w:rsidDel="00000000" w:rsidR="00000000" w:rsidRPr="00000000">
        <w:rPr>
          <w:rtl w:val="0"/>
        </w:rPr>
        <w:t xml:space="preserve"> Attribution Integrity: Epistemic Health as a Content-Specific Measurement of the Objective-Mismatch Gap.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tq8tmndq7o5" w:id="1"/>
      <w:bookmarkEnd w:id="1"/>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public narrative about U.S. healthcare costs attributes pricing power and optimization to a familiar set of actors: aging demographics, chronic disease prevalence, pharmaceutical research costs, defensive medicine, and market forces. Applying the Conservation-and-Coherence framework's attribution-integrity operator to the 2024-2026 empirical record produces a structural attribution that differs substantially. Four hidden controllers account for the bulk of observable extraction: the American Medical Association / Specialty Society Relative Value Update Committee (RUC) sets the informational feasible set from which Medicare and, through rate-benchmarking, most commercial insurers determine physician payment; pharmacy benefit managers (PBMs) use rebate-wall architecture to convert list-price inflation into formulary gatekeeping; vertically integrated insurer-PBM-provider conglomerates exploit transfer pricing to evade Medical Loss Ratio (MLR) discipline; and the $252 billion annual employer-sponsored-insurance tax exclusion structurally prevents market exit that would otherwise discipline the system. The attribution-integrity gap is large, signed in the direction the framework predicts, and directly measurable from public data. We present the structural attribution, the empirical support, the method by which the attribution was derived, and the intervention topology that follows from treating the gap as a hidden-controller problem rather than a cost-control problem. A concluding section applies the framework to the employment-insurance tie as the structural anchor that keeps the architecture in place.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pv8z5l6fpmt4" w:id="2"/>
      <w:bookmarkEnd w:id="2"/>
      <w:r w:rsidDel="00000000" w:rsidR="00000000" w:rsidRPr="00000000">
        <w:rPr>
          <w:rtl w:val="0"/>
        </w:rPr>
        <w:t xml:space="preserve">1. The Paradox</w:t>
      </w:r>
    </w:p>
    <w:p w:rsidR="00000000" w:rsidDel="00000000" w:rsidP="00000000" w:rsidRDefault="00000000" w:rsidRPr="00000000" w14:paraId="0000000C">
      <w:pPr>
        <w:rPr/>
      </w:pPr>
      <w:r w:rsidDel="00000000" w:rsidR="00000000" w:rsidRPr="00000000">
        <w:rPr>
          <w:rtl w:val="0"/>
        </w:rPr>
        <w:t xml:space="preserve">The United States spends more on healthcare than any other nation and receives worse outcomes than its peers. This is not contested. The OECD's 2025 </w:t>
      </w:r>
      <w:r w:rsidDel="00000000" w:rsidR="00000000" w:rsidRPr="00000000">
        <w:rPr>
          <w:i w:val="1"/>
          <w:iCs w:val="1"/>
          <w:rtl w:val="0"/>
        </w:rPr>
        <w:t xml:space="preserve">Health at a Glance</w:t>
      </w:r>
      <w:r w:rsidDel="00000000" w:rsidR="00000000" w:rsidRPr="00000000">
        <w:rPr>
          <w:rtl w:val="0"/>
        </w:rPr>
        <w:t xml:space="preserve"> report documents that the U.S. spent $14,885 per capita on health in 2024, approximately 2.5 times the OECD average of $5,967, while U.S. life expectancy at 78.4 years sits three years below the OECD average. Total U.S. national health expenditure reached $5.3 trillion in 2024, 18.0 percent of GDP, with per-capita spending of $15,474 growing at 7.2 percent annually.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familiar narrative explains this paradox through five attributions: demographic aging, chronic disease burden, high pharmaceutical research costs, physician defensive medicine, and market forces operating in a technologically advanced sector. Each has some empirical support. None, individually or in combination, accounts for the magnitude of the gap between U.S. spending and OECD peer spending. Structural decomposition of the 2024 spending growth shows prices rising 2.7 percent and utilization and intensity rising 5.4 percent; neither component aligns with the demographic or research-cost narratives as primary drivers.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paradox tightens when the narrative is tested against specific control points. Physician payment rates are nominally set by the Centers for Medicare and Medicaid Services (CMS) but in practice are set by a private committee of physicians advising CMS. Hospital outpatient facility fees are nominally set by competitive market forces but in practice are set by a consolidation dynamic where acquiring independent practices triggers a 30-to-100 percent Medicare reimbursement premium. Pharmacy benefit managers are nominally cost-control intermediaries but in practice generate profits proportional to the list prices they negotiate against. Insurance companies are nominally constrained by the Affordable Care Act's Medical Loss Ratio rule but in practice have acquired the downstream providers they pay, converting regulated insurance profits into unregulated provider profits.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Each of these represents a gap between what the information environment attributes as the system's control structure and what the structural reality of the control structure actually is. The framework developed in the preceding papers of this suite calls this divergence the attribution-integrity gap. This paper applies that framework to the 2024-2026 U.S. healthcare system and produces a quantified structural attribution that the public narrative does not contain.</w:t>
      </w:r>
    </w:p>
    <w:p w:rsidR="00000000" w:rsidDel="00000000" w:rsidP="00000000" w:rsidRDefault="00000000" w:rsidRPr="00000000" w14:paraId="00000013">
      <w:pPr>
        <w:pStyle w:val="Heading2"/>
        <w:rPr/>
      </w:pPr>
      <w:bookmarkStart w:colFirst="0" w:colLast="0" w:name="_tmtc1ov5kg0m" w:id="3"/>
      <w:bookmarkEnd w:id="3"/>
      <w:r w:rsidDel="00000000" w:rsidR="00000000" w:rsidRPr="00000000">
        <w:rPr>
          <w:rtl w:val="0"/>
        </w:rPr>
        <w:t xml:space="preserve">2. Framework</w:t>
      </w:r>
    </w:p>
    <w:p w:rsidR="00000000" w:rsidDel="00000000" w:rsidP="00000000" w:rsidRDefault="00000000" w:rsidRPr="00000000" w14:paraId="00000014">
      <w:pPr>
        <w:rPr/>
      </w:pPr>
      <w:r w:rsidDel="00000000" w:rsidR="00000000" w:rsidRPr="00000000">
        <w:rPr>
          <w:rtl w:val="0"/>
        </w:rPr>
        <w:t xml:space="preserve">The Conservation-and-Coherence framework suite provides a specific operator for the phenomenon described above. The attribution-integrity operator (AIG) measures the divergence between the information environment's attributions of control and the structural reality of control, where structural reality is established by applying the framework's detection operators: constraint-equivalence (Theorem 3 of the detection paper), residual closure under bottleneck-gate conservation, and objective inference on the actor's revealed behavior.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Three operational moves follow from the framework and are used throughout this paper. First, </w:t>
      </w:r>
      <w:r w:rsidDel="00000000" w:rsidR="00000000" w:rsidRPr="00000000">
        <w:rPr>
          <w:b w:val="1"/>
          <w:bCs w:val="1"/>
          <w:rtl w:val="0"/>
        </w:rPr>
        <w:t xml:space="preserve">constraint-equivalence</w:t>
      </w:r>
      <w:r w:rsidDel="00000000" w:rsidR="00000000" w:rsidRPr="00000000">
        <w:rPr>
          <w:rtl w:val="0"/>
        </w:rPr>
        <w:t xml:space="preserve">: an actor who modifies another actor's feasible set has effective control over outcomes, regardless of whether the nominal control authority rests elsewhere. Identifying the constraint-setter is therefore the first attribution question. Second, </w:t>
      </w:r>
      <w:r w:rsidDel="00000000" w:rsidR="00000000" w:rsidRPr="00000000">
        <w:rPr>
          <w:b w:val="1"/>
          <w:bCs w:val="1"/>
          <w:rtl w:val="0"/>
        </w:rPr>
        <w:t xml:space="preserve">objective mismatch</w:t>
      </w:r>
      <w:r w:rsidDel="00000000" w:rsidR="00000000" w:rsidRPr="00000000">
        <w:rPr>
          <w:rtl w:val="0"/>
        </w:rPr>
        <w:t xml:space="preserve"> ($H_3$): the system's revealed optimization target can be recovered from behavior and compared to its stated target; divergence is measurable. Third, </w:t>
      </w:r>
      <w:r w:rsidDel="00000000" w:rsidR="00000000" w:rsidRPr="00000000">
        <w:rPr>
          <w:b w:val="1"/>
          <w:bCs w:val="1"/>
          <w:rtl w:val="0"/>
        </w:rPr>
        <w:t xml:space="preserve">bottleneck typing</w:t>
      </w:r>
      <w:r w:rsidDel="00000000" w:rsidR="00000000" w:rsidRPr="00000000">
        <w:rPr>
          <w:rtl w:val="0"/>
        </w:rPr>
        <w:t xml:space="preserve"> (from the dynamics paper): control bottlenecks are spatial, economic, technological, informational, or temporal, and the type determines which interventions have leverage.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framework does not identify hidden actors by name in the detection sense. In the healthcare case, the "hidden" actors are not concealed; they are visible, regulated, and publicly known. What is hidden is the structural primacy of their control relative to the narrative. The attribution-integrity gap measures the visibility-vs-primacy divergence, not the existence-vs-concealment divergence that the framework handles in its default mode. This is an important scope note: the paper uses the framework to describe a transparency problem in which everything is technically documented but the public narrative misallocates the control weights.</w:t>
      </w:r>
    </w:p>
    <w:p w:rsidR="00000000" w:rsidDel="00000000" w:rsidP="00000000" w:rsidRDefault="00000000" w:rsidRPr="00000000" w14:paraId="00000019">
      <w:pPr>
        <w:pStyle w:val="Heading2"/>
        <w:rPr/>
      </w:pPr>
      <w:bookmarkStart w:colFirst="0" w:colLast="0" w:name="_r43oafk4zfb2" w:id="4"/>
      <w:bookmarkEnd w:id="4"/>
      <w:r w:rsidDel="00000000" w:rsidR="00000000" w:rsidRPr="00000000">
        <w:rPr>
          <w:rtl w:val="0"/>
        </w:rPr>
        <w:t xml:space="preserve">3. Findings: The Structural Attribution</w:t>
      </w:r>
    </w:p>
    <w:p w:rsidR="00000000" w:rsidDel="00000000" w:rsidP="00000000" w:rsidRDefault="00000000" w:rsidRPr="00000000" w14:paraId="0000001A">
      <w:pPr>
        <w:rPr/>
      </w:pPr>
      <w:r w:rsidDel="00000000" w:rsidR="00000000" w:rsidRPr="00000000">
        <w:rPr>
          <w:rtl w:val="0"/>
        </w:rPr>
        <w:t xml:space="preserve">Applying the framework to 2024-2026 healthcare spending produces the attribution below. Percentages reflect the authors' estimate of each actor's share of the structural control field over observed cost growth, derived from the verified data sources cited in Sections 4-6 and synthesized in Section 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Narrative attribution (public discourse summary):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Attribution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Narrative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Aging 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Chronic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Pharmaceutical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Defensive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Provider/insurer greed (unstructured)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Market forces /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~15-20%</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Structural attribution (framework-derived):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Structural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Estimated 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AMA/Specialty Society RUC and its rate-benchmarking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Sets RVU values accepted by CMS ~87-99%; commercial insurers benchmark to Medicare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Vertically integrated insurer-PBM-provider conglomerates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Transfer-pricing gamesmanship of MLR; Optum/CVS/Cigna internal markup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PBM rebate-wall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Revenue scales with list price, not with price reduction; formulary-tier gatekeeping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PBM-affiliated offshore rebate-aggregator GPOs (Ascent, Zinc, Emisar)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Launders rebate flows as administrative fees outside U.S. regulatory reach; ~95% market concentration at GPO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Hospital 340B arbitrage and site-of-service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$147.8B program at list price 2024; 30-100% facility-fee premium for acquired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ESI tax exclusion ($252B/yr) preventing market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Structural lock-in of 165.6M Americans to employer-chosen insurer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Demographic, technological, and legitimate cost pressures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Aging, new drug classes, provider wages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Unattributed residual (measurement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~5-10%</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structural attribution sums to approximately 100 percent; so does the narrative attribution. The attribution-integrity gap is the divergence between the two tables, measured channel-by-channel. The gap is largest at the RUC, PBM/GPO, and vertical-integration rows (each structurally estimated at triple or more the narrative weight) and at the demographic row (structurally estimated at roughly half the narrative weight). The GPO row is a special case: it is nearly absent from the public narrative entirely, which means the attribution-integrity gap at that channel approaches its theoretical maximum.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emphasize that these percentages are structural estimates, not point measurements. The framework supports the </w:t>
      </w:r>
      <w:r w:rsidDel="00000000" w:rsidR="00000000" w:rsidRPr="00000000">
        <w:rPr>
          <w:i w:val="1"/>
          <w:iCs w:val="1"/>
          <w:rtl w:val="0"/>
        </w:rPr>
        <w:t xml:space="preserve">direction and relative ordering</w:t>
      </w:r>
      <w:r w:rsidDel="00000000" w:rsidR="00000000" w:rsidRPr="00000000">
        <w:rPr>
          <w:rtl w:val="0"/>
        </w:rPr>
        <w:t xml:space="preserve"> of the attribution with high confidence (Sections 4-6); the specific numerical shares are the authors' synthesis and are subject to revision as measurement improves. The paper's argument does not rest on exact percentages; it rests on the direction of the attribution gap.</w:t>
      </w:r>
    </w:p>
    <w:p w:rsidR="00000000" w:rsidDel="00000000" w:rsidP="00000000" w:rsidRDefault="00000000" w:rsidRPr="00000000" w14:paraId="0000004E">
      <w:pPr>
        <w:pStyle w:val="Heading2"/>
        <w:rPr/>
      </w:pPr>
      <w:bookmarkStart w:colFirst="0" w:colLast="0" w:name="_z8g99643dd6f" w:id="5"/>
      <w:bookmarkEnd w:id="5"/>
      <w:r w:rsidDel="00000000" w:rsidR="00000000" w:rsidRPr="00000000">
        <w:rPr>
          <w:rtl w:val="0"/>
        </w:rPr>
        <w:t xml:space="preserve">4. Explanation: Topology and Extraction</w:t>
      </w:r>
    </w:p>
    <w:p w:rsidR="00000000" w:rsidDel="00000000" w:rsidP="00000000" w:rsidRDefault="00000000" w:rsidRPr="00000000" w14:paraId="0000004F">
      <w:pPr>
        <w:rPr/>
      </w:pPr>
      <w:r w:rsidDel="00000000" w:rsidR="00000000" w:rsidRPr="00000000">
        <w:rPr>
          <w:rtl w:val="0"/>
        </w:rPr>
        <w:t xml:space="preserve">The structural attribution can be explained in a single topology. Five bottleneck nodes sit between healthcare capital and clinical outcomes: a rate-setting bottleneck (RUC), a drug-access bottleneck (PBM rebate walls operationalized through offshore GPO rebate aggregators), a site-of-service bottleneck (hospital outpatient consolidation and 340B), a coverage-pricing bottleneck (MLR-bound insurers and their integrated downstream providers), and a structural anchor that prevents market discipline (the ESI tax exclusion, addressed separately in Section 6). Each bottleneck is controlled by a structurally central actor who operates under an objective that diverges from the stated objective of the health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RUC controls the rate-setting bottleneck. CMS lacks independent data-collection infrastructure to validate RVUs for over 10,000 procedure codes and therefore relies on the RUC's surveys of physician specialists. A 2012 </w:t>
      </w:r>
      <w:r w:rsidDel="00000000" w:rsidR="00000000" w:rsidRPr="00000000">
        <w:rPr>
          <w:i w:val="1"/>
          <w:iCs w:val="1"/>
          <w:rtl w:val="0"/>
        </w:rPr>
        <w:t xml:space="preserve">Health Affairs</w:t>
      </w:r>
      <w:r w:rsidDel="00000000" w:rsidR="00000000" w:rsidRPr="00000000">
        <w:rPr>
          <w:rtl w:val="0"/>
        </w:rPr>
        <w:t xml:space="preserve"> study (Laugesen, Wada &amp; Chen) documented that CMS accepted 87.4 percent of RUC work-value recommendations from 1994 through 2010. CMS has begun to assert independence: the CY2026 Medicare Physician Fee Schedule Final Rule applied a 2.5 percent efficiency adjustment and explicitly cited "inherent conflicts of interest" and "overinflated valuations" from the RUC process. This acknowledgment is rare, new, and matters for intervention design (Section 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PBMs control the drug-access bottleneck through rebate-wall architecture. The top three PBMs (Express Scripts, CVS Caremark, OptumRx) process approximately 80 percent of 30-day-equivalent prescriptions. The FTC's Second Interim Staff Report (January 2025) found the Big Three generated $7.3 billion above the National Average Drug Acquisition Cost from 2017-2022 on specialty generics alone, plus $1.4 billion in spread pricing. The Big Three marked up a generic tadalafil by 7,736 percent; they marked up imatinib (generic Gleevec) to $17,000-plus for a 30-day supply that Cost Plus Drugs sells for $72. The Humira biosimilar trajectory is the cleanest empirical demonstration: biosimilars held 2 percent market share in year one, 4 percent through February 2024, and inflected sharply upward only when CVS Caremark removed Humira from its major national commercial formularies in April 2024. Adoption was formulary-gated, not clinically gated.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PBM bottleneck is operationally executed through a layer that is nearly absent from the public narrative: PBM-affiliated group purchasing organizations (GPOs), also called rebate aggregators. Beginning in 2019, each of the Big Three PBMs established a separate legal entity to conduct rebate negotiations with drug manufacturers. Express Scripts formed Ascent Health Services in Switzerland in 2019; CVS Caremark formed Zinc Health Services in 2020; OptumRx formed Emisar Pharma Services in Ireland in 2021. These three entities handle approximately 95 percent of rebate aggregation in the U.S. market, a higher concentration than the PBM layer above them. Manufacturer fees to these rebate aggregators doubled from $3.8 billion in 2018 to $7.6 billion in 2022, per the FTC's First Interim Staff Report. The House Oversight Committee's investigation concluded the entities were "headquartered overseas for the purpose of retaining additional revenue and fees and to sidestep U.S." regulatory oversight, describing the structure as "institutional intent at opacity and avoidance of oversight." A former OptumRx executive who helped establish Emisar stated directly that "the intention of the G.P.O. is to create a fee structure that can be retained and not passed on to a client." The operational function is to reclassify what would otherwise be a rebate as a GPO administrative fee, moving the flow outside the statutory definition of "rebate" and therefore outside rebate-passthrough obligations. The mechanism is the reason PBMs can truthfully claim to pass through 98 percent of rebates while retaining the majority of manufacturer payments: the retained portion is not legally a rebate. The FTC's February 2026 settlement with Express Scripts requires Ascent to relocate from Switzerland to the United States, bringing back approximately $750 billion in purchasing activity over the order duration, plus ten-year FTC monitoring. Private racketeering class actions against Express Scripts and CaremarkPCS have been filed in the U.S. District Court for the District of Rhode Island (March 2026); the Rhode Island state lawsuit against all three PBMs and their GPO affiliates survived a motion to dismiss on March 30, 2026. The constraint-equivalence relationship is clean: the GPO layer is the feasible-set modifier for where rebate flows land, and its constraint-setting authority is structurally higher than the PBM layer's because the GPOs sit outside the regulatory perimeter that binds PBMs.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separate, older GPO architecture operates on the hospital supply side. Premier, Vizient, and HealthTrust negotiate medical device and supply pricing on behalf of member hospitals, collecting manufacturer administrative fees (typically 2-3 percent of contract value) under a safe harbor in the 1986 Anti-Kickback Statute amendments (42 U.S.C. § 1320a-7b). This safe harbor is the single largest regulatory carveout distinguishing U.S. hospital procurement from peer-country systems, and academic research has argued it enables anti-competitive price premiums paid by hospitals that are recovered through higher-than-OECD prices to private payers. The hospital-GPO bottleneck is less urgent for the 2024-2026 cost-control story than the PBM-GPO bottleneck, but it is structurally analogous and should be named in the topology rather than conflated with either the hospital or the PBM layer.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Hospital systems control the site-of-service bottleneck. The 340B program reached $81.4 billion in discounted purchases and $147.8 billion at list price in 2024, up 23 percent and 16.7 percent year-over-year respectively, on track to surpass Medicare Part D within two years. A 2018 landmark study (Desai &amp; McWilliams, </w:t>
      </w:r>
      <w:r w:rsidDel="00000000" w:rsidR="00000000" w:rsidRPr="00000000">
        <w:rPr>
          <w:i w:val="1"/>
          <w:iCs w:val="1"/>
          <w:rtl w:val="0"/>
        </w:rPr>
        <w:t xml:space="preserve">NEJM</w:t>
      </w:r>
      <w:r w:rsidDel="00000000" w:rsidR="00000000" w:rsidRPr="00000000">
        <w:rPr>
          <w:rtl w:val="0"/>
        </w:rPr>
        <w:t xml:space="preserve">) found that 340B eligibility was associated with 230 percent more hematologist-oncologists and 900 percent more ophthalmologists in hospital-owned facilities, with no corresponding expansion of care for low-income patients. A 2023 study (Chang et al., </w:t>
      </w:r>
      <w:r w:rsidDel="00000000" w:rsidR="00000000" w:rsidRPr="00000000">
        <w:rPr>
          <w:i w:val="1"/>
          <w:iCs w:val="1"/>
          <w:rtl w:val="0"/>
        </w:rPr>
        <w:t xml:space="preserve">JAMA Health Forum</w:t>
      </w:r>
      <w:r w:rsidDel="00000000" w:rsidR="00000000" w:rsidRPr="00000000">
        <w:rPr>
          <w:rtl w:val="0"/>
        </w:rPr>
        <w:t xml:space="preserve">) found new 340B participation associated with approximately $4,075 higher commercial spending per outpatient biologic oncology episode. Site-neutral payment reform, which would eliminate the 30-100 percent facility-fee premium that currently rewards hospital acquisition of independent practices, has been calculated by CBO to save approximately $157 billion over ten years under full HOPD/PFS alignment; it has not been enacted, and the American Hospital Association's $29 million annual federal lobbying effort is a primary reason.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Vertically integrated insurers control the coverage-pricing bottleneck. The ACA's Medical Loss Ratio rule requires insurers to spend 80-85 percent of premium on medical claims, with rebates owed to policyholders if they fall short. Cumulative MLR rebates since 2012 total approximately $12.7 billion, a number that is structurally trivial against $5.3 trillion in annual NHE. The reason the rule has bound so weakly is vertical integration. UnitedHealth Group's Optum segment handles 4-5.4 million patients in value-based care arrangements while OptumRx processes $154.7 billion in 2025 revenue. CVS Health owns Caremark, Aetna, and retail pharmacies, with CVS reporting $53 billion in intercompany transactions within $263 billion of combined revenue. A November 2025 </w:t>
      </w:r>
      <w:r w:rsidDel="00000000" w:rsidR="00000000" w:rsidRPr="00000000">
        <w:rPr>
          <w:i w:val="1"/>
          <w:iCs w:val="1"/>
          <w:rtl w:val="0"/>
        </w:rPr>
        <w:t xml:space="preserve">Health Affairs</w:t>
      </w:r>
      <w:r w:rsidDel="00000000" w:rsidR="00000000" w:rsidRPr="00000000">
        <w:rPr>
          <w:rtl w:val="0"/>
        </w:rPr>
        <w:t xml:space="preserve"> study found that UnitedHealthcare pays Optum-owned providers 17 percent more than non-Optum providers, rising to 61 percent more in markets with at least 25 percent UHC share. A February 2026 </w:t>
      </w:r>
      <w:r w:rsidDel="00000000" w:rsidR="00000000" w:rsidRPr="00000000">
        <w:rPr>
          <w:i w:val="1"/>
          <w:iCs w:val="1"/>
          <w:rtl w:val="0"/>
        </w:rPr>
        <w:t xml:space="preserve">Health Affairs</w:t>
      </w:r>
      <w:r w:rsidDel="00000000" w:rsidR="00000000" w:rsidRPr="00000000">
        <w:rPr>
          <w:rtl w:val="0"/>
        </w:rPr>
        <w:t xml:space="preserve"> study on Optum's ambulatory surgery center acquisitions found prices to rival insurers rose 11 percent (approximately $239 per procedure, $10.1 million per facility annually). These intercompany transfers are booked as "medical spending" for MLR purposes, satisfying the 80-85 percent threshold while the actual profit flows to unregulated provider and pharmacy subsidiaries.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five bottlenecks share a common structural feature: each controller's effective objective, recoverable from its revealed behavior, diverges from its stated objective in the same direction. Rate-setting optimizes for specialist revenue over system cost-control; drug-access through the PBM-GPO layer optimizes for retained fee revenue over rebate passthrough; site-of-service optimizes for facility-fee arbitrage over neutral-site care; coverage-pricing optimizes for transfer-pricing profit over MLR compliance. This is the $H_3$ objective-mismatch signature the framework predicts for a system under consolidated extraction, and it is observable in each actor's own internal records, SEC filings, and (in the GPO case) court-discoverable corporate documents now being pursued in the Rhode Island litigation.</w:t>
      </w:r>
    </w:p>
    <w:p w:rsidR="00000000" w:rsidDel="00000000" w:rsidP="00000000" w:rsidRDefault="00000000" w:rsidRPr="00000000" w14:paraId="0000005E">
      <w:pPr>
        <w:pStyle w:val="Heading2"/>
        <w:rPr/>
      </w:pPr>
      <w:bookmarkStart w:colFirst="0" w:colLast="0" w:name="_y31yrbnu660b" w:id="6"/>
      <w:bookmarkEnd w:id="6"/>
      <w:r w:rsidDel="00000000" w:rsidR="00000000" w:rsidRPr="00000000">
        <w:rPr>
          <w:rtl w:val="0"/>
        </w:rPr>
        <w:t xml:space="preserve">5. Method</w:t>
      </w:r>
    </w:p>
    <w:p w:rsidR="00000000" w:rsidDel="00000000" w:rsidP="00000000" w:rsidRDefault="00000000" w:rsidRPr="00000000" w14:paraId="0000005F">
      <w:pPr>
        <w:rPr/>
      </w:pPr>
      <w:r w:rsidDel="00000000" w:rsidR="00000000" w:rsidRPr="00000000">
        <w:rPr>
          <w:rtl w:val="0"/>
        </w:rPr>
        <w:t xml:space="preserve">The attribution in Section 3 was derived through the Extended Detection Protocol specified as a methodological companion to this paper (Robbins 2026b). This section describes the procedure and documents what the base protocol and extended protocol each produce on this case, so the result can be replicated, contested, or compared against an independent application of the extended protocol to the same public data.</w:t>
      </w:r>
    </w:p>
    <w:p w:rsidR="00000000" w:rsidDel="00000000" w:rsidP="00000000" w:rsidRDefault="00000000" w:rsidRPr="00000000" w14:paraId="00000060">
      <w:pPr>
        <w:pStyle w:val="Heading3"/>
        <w:rPr/>
      </w:pPr>
      <w:bookmarkStart w:colFirst="0" w:colLast="0" w:name="_bocv2ij7fje5" w:id="7"/>
      <w:bookmarkEnd w:id="7"/>
      <w:r w:rsidDel="00000000" w:rsidR="00000000" w:rsidRPr="00000000">
        <w:rPr>
          <w:rtl w:val="0"/>
        </w:rPr>
        <w:t xml:space="preserve">5.1 A Note on the Origin of This Attribution</w:t>
      </w:r>
    </w:p>
    <w:p w:rsidR="00000000" w:rsidDel="00000000" w:rsidP="00000000" w:rsidRDefault="00000000" w:rsidRPr="00000000" w14:paraId="00000061">
      <w:pPr>
        <w:rPr/>
      </w:pPr>
      <w:r w:rsidDel="00000000" w:rsidR="00000000" w:rsidRPr="00000000">
        <w:rPr>
          <w:rtl w:val="0"/>
        </w:rPr>
        <w:t xml:space="preserve">Readers should understand how the attribution in Section 3 was first derived, because the process is relevant to how confidence in the result should be calibrated. The author's prior professional experience in the healthcare supply chain provided domain knowledge about how group purchasing organization architecture operates. That domain knowledge was used to specify candidate proxies for Layer 2 constraint-equivalence testing. Initial applications of the base four-layer detection protocol (by other analysts, using only public data and without domain priors about GPO structures) produced attributions that placed the PBM layer as the effective constraint-setter for rebate flows, missing the offshore PBM-affiliated GPO layer (Ascent, Zinc, Emisar) that now-public FTC investigations confirm as the structurally distinct constraint-setter. The failure mode was informative: the base protocol's Layer 1 residual closed approximately, Layer 2 was not applied because it required the analyst to hypothesize candidate proxies that the protocol itself did not surface, and the GPO layer remained undetected.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experience motivated the Extended Detection Protocol's specification (Robbins 2026b), which formalizes sequential application of the four detection layers and adds a hypothesis-free trigger for Layer 2 re-testing. The extended protocol has been run against the attribution in Section 3 and produces the same result. The subsection below documents each pass.</w:t>
      </w:r>
    </w:p>
    <w:p w:rsidR="00000000" w:rsidDel="00000000" w:rsidP="00000000" w:rsidRDefault="00000000" w:rsidRPr="00000000" w14:paraId="00000064">
      <w:pPr>
        <w:pStyle w:val="Heading3"/>
        <w:rPr/>
      </w:pPr>
      <w:bookmarkStart w:colFirst="0" w:colLast="0" w:name="_7bo2ljpq9suw" w:id="8"/>
      <w:bookmarkEnd w:id="8"/>
      <w:r w:rsidDel="00000000" w:rsidR="00000000" w:rsidRPr="00000000">
        <w:rPr>
          <w:rtl w:val="0"/>
        </w:rPr>
        <w:t xml:space="preserve">5.2 Five-Pass Extended Detection Protocol Applied to 2024-2026 U.S. Healthcare</w:t>
      </w:r>
    </w:p>
    <w:p w:rsidR="00000000" w:rsidDel="00000000" w:rsidP="00000000" w:rsidRDefault="00000000" w:rsidRPr="00000000" w14:paraId="00000065">
      <w:pPr>
        <w:rPr/>
      </w:pPr>
      <w:r w:rsidDel="00000000" w:rsidR="00000000" w:rsidRPr="00000000">
        <w:rPr>
          <w:b w:val="1"/>
          <w:bCs w:val="1"/>
          <w:rtl w:val="0"/>
        </w:rPr>
        <w:t xml:space="preserve">Pass 1: Layer 1 residual closure applied to the narrative attribution.</w:t>
      </w:r>
      <w:r w:rsidDel="00000000" w:rsidR="00000000" w:rsidRPr="00000000">
        <w:rPr>
          <w:rtl w:val="0"/>
        </w:rPr>
        <w:t xml:space="preserve"> The narrative attribution of Section 3 assigns approximately 100% of healthcare cost growth to the combined narrative actors (aging demographics, chronic disease, pharmaceutical R&amp;D, defensive medicine, provider/insurer greed, market forces). $H_1$ residual closes to approximately zero. The base protocol would terminate here, endorsing the narrative attribution.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Pass 2: Layer 2 constraint equivalence applied to top narrative actors.</w:t>
      </w:r>
      <w:r w:rsidDel="00000000" w:rsidR="00000000" w:rsidRPr="00000000">
        <w:rPr>
          <w:rtl w:val="0"/>
        </w:rPr>
        <w:t xml:space="preserve"> The narrative attribution's top actors are "aging demographics" and "market forces / technology." Layer 2 constraint-equivalence testing asks whether these are proxies for structurally distinct constraint-setters. For "aging demographics," the Layer 2 test asks: what external actor modifies the feasible set of how aging demographics translate into healthcare spending? Candidate constraint-setters include RVU-based physician payment (which converts demographic service utilization into spending volume), hospital consolidation-driven site-of-service pricing (which converts the same utilization into a 30-100% facility-fee premium), and PBM formulary tiering (which converts pharmaceutical utilization into out-of-pocket burden and abandonment). Each of these exhibits $CC$ above threshold against the aging-demographics "actor," indicating that aging is not a principal but a volume input that other actors convert into cost growth through their constraint-setting. This reallocates substantial attribution from aging to the downstream constraint-setters. Similar analysis for "market forces / technology" identifies pharmaceutical list-pricing (controlled by manufacturers within PBM formulary constraints) and hospital facility-fee architecture (controlled by 340B and site-of-service rules) as the constraint-setters that transform underlying technology and market conditions into cost growth.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Pass 3: Hypothesis-free proxy detection via EDS applied to the revised attribution.</w:t>
      </w:r>
      <w:r w:rsidDel="00000000" w:rsidR="00000000" w:rsidRPr="00000000">
        <w:rPr>
          <w:rtl w:val="0"/>
        </w:rPr>
        <w:t xml:space="preserve"> Following Pass 2's expansion of the actor set, the revised attribution includes PBMs, hospitals, RUC, and vertically integrated insurers as structural controllers. Pass 3 computes EDS for each. PBMs' predicted empowerment based on their attributed control of drug-access decisions (high, given formulary tiering authority) substantially exceeds PBMs' observed empowerment over the specific outcome of rebate-flow disposition. The divergence is signed and large: the attribution predicts PBMs should have high leverage over rebate flows, but observed behavior indicates PBMs' rebate-negotiation authority is exercised through contractual structures (PBM-affiliated offshore GPOs) whose contracts PBMs cannot unilaterally renegotiate. $\text{EDS}_{\text{PBM}}$ exceeds threshold. PBMs are flagged as candidate proxies for rebate-flow control. The protocol returns to Pass 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Pass 2 (iteration 2): constraint equivalence on PBMs as flagged proxies.</w:t>
      </w:r>
      <w:r w:rsidDel="00000000" w:rsidR="00000000" w:rsidRPr="00000000">
        <w:rPr>
          <w:rtl w:val="0"/>
        </w:rPr>
        <w:t xml:space="preserve"> Investigation of external actors modifying PBM feasible sets for rebate negotiation identifies Ascent Health Services (Switzerland, formed by Express Scripts in 2019), Zinc Health Services (formed by CVS Caremark in 2020), and Emisar Pharma Services (Ireland, formed by OptumRx in 2021) as the structurally distinct constraint-setters. Documentary evidence is extensive: FTC First Interim Staff Report (July 2024), FTC Second Interim Staff Report (January 2025), House Oversight Committee investigations (2025), FTC Express Scripts settlement (February 2026), Rhode Island state lawsuit (surviving motion to dismiss March 2026). $CC$(GPO $\to$ PBM) exceeds threshold on the rebate-flow outcome. The GPO layer is added to the actor set with appropriate share reallocation.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Pass 1 (iteration 2): re-attribution check.</w:t>
      </w:r>
      <w:r w:rsidDel="00000000" w:rsidR="00000000" w:rsidRPr="00000000">
        <w:rPr>
          <w:rtl w:val="0"/>
        </w:rPr>
        <w:t xml:space="preserve"> With the GPO layer added, $H_1$ residual remains within threshold. No new residual gap is indicated.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Pass 3 (iteration 2): EDS check on expanded set.</w:t>
      </w:r>
      <w:r w:rsidDel="00000000" w:rsidR="00000000" w:rsidRPr="00000000">
        <w:rPr>
          <w:rtl w:val="0"/>
        </w:rPr>
        <w:t xml:space="preserve"> EDS computation on the expanded actor set (including the GPO layer) produces values within threshold for all actors. The attribution now reflects the actual empowerment structure of the system.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Pass 4: Layer 3 cross-system coherence ($H_2$).</w:t>
      </w:r>
      <w:r w:rsidDel="00000000" w:rsidR="00000000" w:rsidRPr="00000000">
        <w:rPr>
          <w:rtl w:val="0"/>
        </w:rPr>
        <w:t xml:space="preserve"> Cross-system coherence analysis is applicable here because the three major PBM-GPO pairs (Express Scripts/Ascent, CVS/Zinc, OptumRx/Emisar) are nominally independent but exhibit substantial behavioral alignment in rebate-aggregation strategy, offshoring jurisdiction choice, and legal-classification structure for retained fees. The coherence exceeds the independence baseline given separate corporate parentage. This is consistent with shared hidden structure (the broader constraint environment created by the rebate-passthrough regulatory regime and the 1986 Anti-Kickback Statute safe harbor structures) rather than direct coordination. The $H_2$ finding supplements but does not drive the attribution; the Layer 2 constraint-equivalence evidence is load-bearing.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Pass 5: Layer 4 objective inference ($H_3$).</w:t>
      </w:r>
      <w:r w:rsidDel="00000000" w:rsidR="00000000" w:rsidRPr="00000000">
        <w:rPr>
          <w:rtl w:val="0"/>
        </w:rPr>
        <w:t xml:space="preserve"> The stated objective of each constraint-setter diverges from the revealed objective in the same direction. RUC's stated objective (accurate physician work-value determination) versus revealed objective (specialist revenue preservation): GAO 2015 findings, CMS CY2026 Final Rule language on "inherent conflicts of interest." PBM-GPO stated objective (rebate negotiation for plan sponsor savings) versus revealed objective (retention of manufacturer payments as GPO administrative fees outside statutory passthrough obligations): FTC First and Second Interim Reports, former OptumRx executive testimony on Emisar design intent. Vertically integrated insurer stated objective (MLR compliance) versus revealed objective (transfer-pricing of medical spending to affiliated providers): UnitedHealth 17% Optum premium finding, CVS intercompany transaction disclosures. 340B stated objective (support for safety-net institutions) versus revealed objective (site-of-service facility-fee arbitrage): Desai and McWilliams 2018, Chang et al. 2023. Hospital-GPO stated objective (member savings through pooled purchasing) versus revealed objective (preservation of supplier-side competitive dynamics and 1986 safe harbor fee structure): academic literature on competitive dynamics in the 1986 Anti-Kickback Statute safe harbor. In each case, the direction of divergence is consistent across all five constraint-setters, supporting the $H_3$ objective-mismatch signature characteristic of systems under consolidated extraction.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Termination.</w:t>
      </w:r>
      <w:r w:rsidDel="00000000" w:rsidR="00000000" w:rsidRPr="00000000">
        <w:rPr>
          <w:rtl w:val="0"/>
        </w:rPr>
        <w:t xml:space="preserve"> After the second iteration of Passes 1-3 and completion of Passes 4-5, all termination conditions are met. Final attribution is as presented in Section 3.</w:t>
      </w:r>
    </w:p>
    <w:p w:rsidR="00000000" w:rsidDel="00000000" w:rsidP="00000000" w:rsidRDefault="00000000" w:rsidRPr="00000000" w14:paraId="00000076">
      <w:pPr>
        <w:pStyle w:val="Heading3"/>
        <w:rPr/>
      </w:pPr>
      <w:bookmarkStart w:colFirst="0" w:colLast="0" w:name="_g2n9k3ex9ej" w:id="9"/>
      <w:bookmarkEnd w:id="9"/>
      <w:r w:rsidDel="00000000" w:rsidR="00000000" w:rsidRPr="00000000">
        <w:rPr>
          <w:rtl w:val="0"/>
        </w:rPr>
        <w:t xml:space="preserve">5.3 What the Base and Extended Protocols Each Surface on This Case</w:t>
      </w:r>
    </w:p>
    <w:p w:rsidR="00000000" w:rsidDel="00000000" w:rsidP="00000000" w:rsidRDefault="00000000" w:rsidRPr="00000000" w14:paraId="00000077">
      <w:pPr>
        <w:rPr/>
      </w:pPr>
      <w:r w:rsidDel="00000000" w:rsidR="00000000" w:rsidRPr="00000000">
        <w:rPr>
          <w:rtl w:val="0"/>
        </w:rPr>
        <w:t xml:space="preserve">The base four-layer protocol, applied by an analyst without domain knowledge of GPO architecture, produces an attribution that misses the PBM-affiliated GPO layer. This is not a theoretical claim; it was the observed result of early applications of the base protocol to this case. The PBM layer is identified as the constraint-setter for rebate flows, and analysis terminates after Pass 1 closes.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extended protocol, run on the same public data without requiring GPO-specific domain knowledge, produces the attribution in Section 3 including the GPO layer. The EDS trigger in Pass 3 forces the Layer 2 re-test that would otherwise require the analyst to hypothesize GPOs as a candidate proxy in advance.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difference is the specific evidence that the extended protocol contributes operational value for applied analysis. The base framework's operators are sufficient in principle; the extended protocol closes the gap in practice between "operators sufficient in principle" and "operators applied correctly in practice."</w:t>
      </w:r>
    </w:p>
    <w:p w:rsidR="00000000" w:rsidDel="00000000" w:rsidP="00000000" w:rsidRDefault="00000000" w:rsidRPr="00000000" w14:paraId="0000007C">
      <w:pPr>
        <w:pStyle w:val="Heading3"/>
        <w:rPr/>
      </w:pPr>
      <w:bookmarkStart w:colFirst="0" w:colLast="0" w:name="_h1xrnwuw9kub" w:id="10"/>
      <w:bookmarkEnd w:id="10"/>
      <w:r w:rsidDel="00000000" w:rsidR="00000000" w:rsidRPr="00000000">
        <w:rPr>
          <w:rtl w:val="0"/>
        </w:rPr>
        <w:t xml:space="preserve">5.4 Known Limitations of This Attribution</w:t>
      </w:r>
    </w:p>
    <w:p w:rsidR="00000000" w:rsidDel="00000000" w:rsidP="00000000" w:rsidRDefault="00000000" w:rsidRPr="00000000" w14:paraId="0000007D">
      <w:pPr>
        <w:rPr/>
      </w:pPr>
      <w:r w:rsidDel="00000000" w:rsidR="00000000" w:rsidRPr="00000000">
        <w:rPr>
          <w:b w:val="1"/>
          <w:bCs w:val="1"/>
          <w:rtl w:val="0"/>
        </w:rPr>
        <w:t xml:space="preserve">Structural shares are estimates with uncertainty bands, not point measurements.</w:t>
      </w:r>
      <w:r w:rsidDel="00000000" w:rsidR="00000000" w:rsidRPr="00000000">
        <w:rPr>
          <w:rtl w:val="0"/>
        </w:rPr>
        <w:t xml:space="preserve"> The attribution depends on the framework's model of control, and alternative causal models would produce different allocations. Uncertainty bands of several percentage points apply to each structural share.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EDS threshold calibration is domain-specific.</w:t>
      </w:r>
      <w:r w:rsidDel="00000000" w:rsidR="00000000" w:rsidRPr="00000000">
        <w:rPr>
          <w:rtl w:val="0"/>
        </w:rPr>
        <w:t xml:space="preserve"> The $\tau$ threshold for EDS used in this analysis was set conservatively. Different calibrations could produce different Pass 3 trigger patterns.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The attribution does not quantify individual executive culpability.</w:t>
      </w:r>
      <w:r w:rsidDel="00000000" w:rsidR="00000000" w:rsidRPr="00000000">
        <w:rPr>
          <w:rtl w:val="0"/>
        </w:rPr>
        <w:t xml:space="preserve"> The paper identifies structural signatures, not legal responsibility. The framework detects topology; it does not indict.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Direct replication using the extended protocol on this case would strengthen the finding.</w:t>
      </w:r>
      <w:r w:rsidDel="00000000" w:rsidR="00000000" w:rsidRPr="00000000">
        <w:rPr>
          <w:rtl w:val="0"/>
        </w:rPr>
        <w:t xml:space="preserve"> An independent analyst running the extended protocol against the same public data, without access to this paper's attribution, is the appropriate test of whether the protocol forces the GPO identification in general or only in this author's application. Such replication is encouraged.</w:t>
      </w:r>
    </w:p>
    <w:p w:rsidR="00000000" w:rsidDel="00000000" w:rsidP="00000000" w:rsidRDefault="00000000" w:rsidRPr="00000000" w14:paraId="00000084">
      <w:pPr>
        <w:pStyle w:val="Heading2"/>
        <w:rPr/>
      </w:pPr>
      <w:bookmarkStart w:colFirst="0" w:colLast="0" w:name="_3ypol96lsq3y" w:id="11"/>
      <w:bookmarkEnd w:id="11"/>
      <w:r w:rsidDel="00000000" w:rsidR="00000000" w:rsidRPr="00000000">
        <w:rPr>
          <w:rtl w:val="0"/>
        </w:rPr>
        <w:t xml:space="preserve">6. The Structural Anchor: Why the Architecture Persists</w:t>
      </w:r>
    </w:p>
    <w:p w:rsidR="00000000" w:rsidDel="00000000" w:rsidP="00000000" w:rsidRDefault="00000000" w:rsidRPr="00000000" w14:paraId="00000085">
      <w:pPr>
        <w:rPr/>
      </w:pPr>
      <w:r w:rsidDel="00000000" w:rsidR="00000000" w:rsidRPr="00000000">
        <w:rPr>
          <w:rtl w:val="0"/>
        </w:rPr>
        <w:t xml:space="preserve">A serious reader will ask: given that the four bottlenecks are known, documented, and actively producing harm, why has the market not corrected? This section addresses the question.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standard answer is that healthcare markets are special: asymmetric information, externalities, and inelastic demand prevent ordinary market discipline. This is true and insufficient. A more complete answer identifies the structural anchor that prevents exit: the employer-sponsored-insurance (ESI) tax exclusion, which subsidizes employment-based coverage at approximately $252 billion per year (Treasury FY2024 estimate; approximately $5.9 trillion over ten years when payroll-tax effects are included).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exclusion originated in three steps. The 1942 Stabilization Act froze wages and salaries at September 1942 levels but exempted "insurance and pension benefits in a reasonable amount." The War Labor Board ruled in 1943 that employer health-insurance contributions were not wages for wage-control purposes. The Internal Revenue Code of 1954 codified the exclusion statutorily through Section 106, removing prior caps. Health coverage grew from approximately 12 million enrollees in 1940 to approximately 70 million in the 1950s, establishing the employment-based pooling architecture that dominates U.S. coverage today. As of 2024, 165.6 million nonelderly Americans (60.0 percent of the nonelderly population) receive coverage through employment (March 2025 CPS ASEC).</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exclusion structurally prevents market exit in three ways.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First, it creates a price wedge between employer-purchased and individual-purchased coverage. Workers who receive $20,000 in employer health benefits pay no income or payroll tax on that compensation. Workers who purchase equivalent individual coverage pay tax on the compensation used to fund it, then purchase with after-tax dollars. The effective after-tax cost of individual coverage is roughly 20-40 percent higher than equivalent employer coverage for the same worker. This is not a small distortion; it is a structural subsidy to employer-mediated purchasing.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Second, the exclusion is the largest individual tax expenditure in the federal budget, larger than the mortgage interest deduction, larger than the state and local tax deduction, larger than the capital gains preference. CBO's 2024 budget option calculated that capping the exclusion at the 50th percentile would save $893 billion from 2026 through 2032. The subsidy's scale makes its removal politically difficult: 165 million beneficiaries would face a perceived tax increase, while the integrated insurer-PBM-provider conglomerates would face market competition they currently do not.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Third, job lock compounds the exit barrier at the individual level. Madrian's 1994 study (</w:t>
      </w:r>
      <w:r w:rsidDel="00000000" w:rsidR="00000000" w:rsidRPr="00000000">
        <w:rPr>
          <w:i w:val="1"/>
          <w:iCs w:val="1"/>
          <w:rtl w:val="0"/>
        </w:rPr>
        <w:t xml:space="preserve">Quarterly Journal of Economics</w:t>
      </w:r>
      <w:r w:rsidDel="00000000" w:rsidR="00000000" w:rsidRPr="00000000">
        <w:rPr>
          <w:rtl w:val="0"/>
        </w:rPr>
        <w:t xml:space="preserve">) documented a 25 percent reduction in voluntary turnover among ESI holders. Subsequent literature has contested the magnitude but confirmed the direction. The ACA's guaranteed-issue and pre-existing-condition reforms reduced but did not eliminate the effect; residual job lock persists, particularly for workers with chronic conditions or family members with high-cost care needs.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exclusion therefore operates as a technological-and-temporal composite bottleneck in the framework's typology. It is technological in that the subsidy is engineered into the tax code and operates durably so long as the code remains unchanged. It is temporal in that each year of employment compounds the exclusion's individual value, making exit progressively more costly. The framework's predicted behavior for this bottleneck type is that interventions against downstream extractors (RUC, PBMs, vertical integration, 340B) face reactive resistance that is structurally anchored by the upstream subsidy. Empirically, this matches the record: every meaningful reform proposal encounters resistance that would collapse if the downstream actors faced market-exit threats, and the ESI exclusion is the structural reason market-exit threats do not arise.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Cadillac tax under ACA Section 9001 was the only significant legislative effort to cap the exclusion. It was delayed in 2016 and 2018 and repealed permanently in December 2019. The repeal is the clearest available evidence that the exclusion's political durability exceeds the durability of the conditions that created the downstream extraction problem.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 do not argue in this paper that the exclusion should be eliminated; the distributional politics of its removal are serious and the transition costs would be substantial. We argue that it should be named as the structural anchor of the architecture that the preceding sections described, and that reform proposals targeting the four downstream bottlenecks without addressing the anchor are structurally predicted to face reactive resistance the framework's response-operator machinery (R(i,t) from the response paper) would recognize as stabilizing feedback from the anchor.</w:t>
      </w:r>
    </w:p>
    <w:p w:rsidR="00000000" w:rsidDel="00000000" w:rsidP="00000000" w:rsidRDefault="00000000" w:rsidRPr="00000000" w14:paraId="00000098">
      <w:pPr>
        <w:pStyle w:val="Heading2"/>
        <w:rPr/>
      </w:pPr>
      <w:bookmarkStart w:colFirst="0" w:colLast="0" w:name="_srgygnxbn1t4" w:id="12"/>
      <w:bookmarkEnd w:id="12"/>
      <w:r w:rsidDel="00000000" w:rsidR="00000000" w:rsidRPr="00000000">
        <w:rPr>
          <w:rtl w:val="0"/>
        </w:rPr>
        <w:t xml:space="preserve">7. Interventions: Topology Shifts That Would Work</w:t>
      </w:r>
    </w:p>
    <w:p w:rsidR="00000000" w:rsidDel="00000000" w:rsidP="00000000" w:rsidRDefault="00000000" w:rsidRPr="00000000" w14:paraId="00000099">
      <w:pPr>
        <w:rPr/>
      </w:pPr>
      <w:r w:rsidDel="00000000" w:rsidR="00000000" w:rsidRPr="00000000">
        <w:rPr>
          <w:rtl w:val="0"/>
        </w:rPr>
        <w:t xml:space="preserve">The intervention design follows from the bottleneck typing in Section 5 plus the response-operator machinery from the framework suite. We state each intervention at the level of topology shift (what the intervention actually changes) rather than policy vehicle (which bill, which regulation).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Rate-setting bottleneck.</w:t>
      </w:r>
      <w:r w:rsidDel="00000000" w:rsidR="00000000" w:rsidRPr="00000000">
        <w:rPr>
          <w:rtl w:val="0"/>
        </w:rPr>
        <w:t xml:space="preserve"> The CY2026 PFS Final Rule's efficiency adjustment and CMS's explicit language about "inherent conflicts of interest" in the RUC process represent the first meaningful shift in a three-decade-old dependency. The framework's recommendation is to continue the shift by standing up an independent Technical Expert Panel within CMS with budget sufficient to produce primary data on procedure time, effort, and resource use (Berenson &amp; Hayes 2024; Laugesen 2025). Cost estimates are modest: the primary barrier is CMS's underfunding, not the technical feasibility of independent data collection. Expected effect: a rebalancing of RVU weights toward cognitive and primary care over procedural care, with downstream effects on commercial benchmarking.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Drug-access bottleneck.</w:t>
      </w:r>
      <w:r w:rsidDel="00000000" w:rsidR="00000000" w:rsidRPr="00000000">
        <w:rPr>
          <w:rtl w:val="0"/>
        </w:rPr>
        <w:t xml:space="preserve"> The Consolidated Appropriations Act of 2026, signed February 3, 2026, mandates 100 percent rebate passthrough in commercial and ERISA plans beginning approximately January 1, 2029, and prohibits rebate-tied PBM compensation in Medicare Part D beginning January 1, 2028. These provisions target the rebate-wall architecture directly and are the largest federal PBM reform to date. The framework predicts, with high confidence, that PBMs will migrate the extraction to the GPO layer: rebate flows will be reclassified as GPO administrative fees, service fees, or manufacturer data fees, none of which are "rebates" under CAA 2026's statutory definition. The migration vehicle already exists and is operational. Ascent, Zinc, and Emisar collectively handled approximately $750 billion in purchasing activity (Express Scripts alone, per the FTC's February 2026 settlement) before any CAA 2026 provisions took effect; the CAA 2026 reforms will increase the economic incentive to route flows through these entities, not decrease it. Three interventions are required, not one. First, the CAA 2026 rebate-passthrough language must be interpreted or amended to treat offshore-GPO administrative fees as captured rebates for passthrough purposes. Second, the FTC's reshoring requirement for Ascent must be extended to Zinc and Emisar through analogous enforcement actions or legislation. Third, the Anti-Kickback Statute's application to PBM-affiliated GPOs, which was structured around hospital-side GPOs in 1986, must be reexamined to determine whether the rebate-aggregator configuration fits the safe harbor's original public-interest justification. Without all three interventions, CAA 2026 will shift the accounting layer without shifting the topology. Expected effect if all three hold: measurable decline in the gross-to-net bubble (currently $356 billion) and in list-price inflation over a three-to-five-year adjustment. Expected effect if only CAA 2026 as currently written is enforced: migration of extraction to the GPO layer with minimal change in net patient costs, which is the outcome the framework's response-operator machinery ($R$ in the response paper) predicts for any intervention that targets one layer without addressing the substitutable layer beneath 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Site-of-service bottleneck.</w:t>
      </w:r>
      <w:r w:rsidDel="00000000" w:rsidR="00000000" w:rsidRPr="00000000">
        <w:rPr>
          <w:rtl w:val="0"/>
        </w:rPr>
        <w:t xml:space="preserve"> Site-neutral payment alignment would remove the 30-100 percent reimbursement premium for hospital outpatient departments versus independent physician offices for equivalent services. CBO has scored full HOPD/PFS alignment at approximately $157 billion over ten years. This is the highest-leverage intervention in the structural attribution by CBO-scored dollar savings. The intervention has not been enacted; the American Hospital Association's $29 million annual federal lobbying is a primary reason. The framework's recommendation is political rather than technical: the policy design exists, the savings estimates are robust, and the intervention requires legislative courage rather than further analysis. A parallel recommendation applies to hospital-side GPOs: the 1986 Anti-Kickback Statute safe harbor should be reexamined in light of the degree of consolidation in hospital procurement since its enactment. Expected effect: disruption of the hospital-physician consolidation dynamic that 340B participation has accelerated over the past decade.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MLR bottleneck.</w:t>
      </w:r>
      <w:r w:rsidDel="00000000" w:rsidR="00000000" w:rsidRPr="00000000">
        <w:rPr>
          <w:rtl w:val="0"/>
        </w:rPr>
        <w:t xml:space="preserve"> Transfer-pricing benchmarks that cap affiliated-entity payments to a multiple of Medicare fee-for-service rates would eliminate the arbitrage mechanism vertical integration currently exploits. A more structural reform, sometimes described as a "Glass-Steagall for healthcare," would bar insurers from owning pharmacy benefit managers or provider groups. The framework does not prescribe which of these to prefer; it observes that both would shift the topology by removing the intercompany-transaction mechanism. The framework also observes that MLR is only a binding constraint if intercompany transactions are not allowed to inflate medical spending artificially, which is currently not the case. Expected effect: reversion of insurer economics toward the pre-2010 competitive insurance-underwriting model, with downstream effects on vertical-integration incentives.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ESI tax exclusion.</w:t>
      </w:r>
      <w:r w:rsidDel="00000000" w:rsidR="00000000" w:rsidRPr="00000000">
        <w:rPr>
          <w:rtl w:val="0"/>
        </w:rPr>
        <w:t xml:space="preserve"> Capping the exclusion at the 50th percentile (CBO: $893 billion savings over 2026-2032) or at the 80th percentile (Tax Foundation 2025: $138-389 billion over 2026-2035) would reduce but not eliminate the structural anchor. The framework's prediction is that downstream reforms will face lower reactive resistance if the anchor is addressed simultaneously. Implementation would require managing the distributional politics carefully; the framework does not supply that design. Expected effect: increased elasticity in individual-market and small-group coverage, which would create the market-exit threat that disciplines the four downstream extractors.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framework does not predict that any of these interventions will be enacted; it predicts what topology would shift if they were enacted. The prediction is falsifiable: an intervention that does not shift the claimed bottleneck would indicate that the attribution was wrong at that node.</w:t>
      </w:r>
    </w:p>
    <w:p w:rsidR="00000000" w:rsidDel="00000000" w:rsidP="00000000" w:rsidRDefault="00000000" w:rsidRPr="00000000" w14:paraId="000000A6">
      <w:pPr>
        <w:pStyle w:val="Heading2"/>
        <w:rPr/>
      </w:pPr>
      <w:bookmarkStart w:colFirst="0" w:colLast="0" w:name="_65fjdr3zt9yh" w:id="13"/>
      <w:bookmarkEnd w:id="13"/>
      <w:r w:rsidDel="00000000" w:rsidR="00000000" w:rsidRPr="00000000">
        <w:rPr>
          <w:rtl w:val="0"/>
        </w:rPr>
        <w:t xml:space="preserve">8. Conclusion</w:t>
      </w:r>
    </w:p>
    <w:p w:rsidR="00000000" w:rsidDel="00000000" w:rsidP="00000000" w:rsidRDefault="00000000" w:rsidRPr="00000000" w14:paraId="000000A7">
      <w:pPr>
        <w:rPr/>
      </w:pPr>
      <w:r w:rsidDel="00000000" w:rsidR="00000000" w:rsidRPr="00000000">
        <w:rPr>
          <w:rtl w:val="0"/>
        </w:rPr>
        <w:t xml:space="preserve">The United States healthcare system's cost problem is conventionally described as a cost problem and addressed through cost-control proposals. The Conservation-and-Coherence framework's attribution-integrity operator identifies the problem differently. It is not a cost problem; it is a hidden-control problem. Five constraint-setters sit at structurally central bottlenecks in the system's topology, each optimizing for an objective that diverges from the system's stated objective in the same direction: extraction. A structural anchor, the ESI tax exclusion, prevents the market exit that would otherwise discipline the extractors. One of the five, the offshore PBM-affiliated GPO layer, is nearly absent from the public narrative, which makes it both the most leveraged target for framework-driven analysis and the most likely site of continued extraction after nominally significant 2026 reforms.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attribution-integrity gap between this structural reading and the public narrative is large, signed, and measurable from 2024-2026 public data. The narrative attributes healthcare cost growth primarily to aging, chronic disease, research costs, and defensive medicine. The structural attribution places approximately 60-80 percent of the cost growth in four specific bottleneck controllers and a structural subsidy that prevents their discipline. The gap is not caused by concealment in the detection-paper sense; the actors are public, the institutions are documented, and the mechanisms appear in academic literature, FTC reports, MedPAC analyses, SEC filings, and Congressional investigations. The gap is caused by a misallocation of narrative weights relative to structural weights.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is the attribution-integrity pattern the framework was built to diagnose. Its resolution is not new data but a recalibration of which data is load-bearing for the causal story. The framework provides that recalibration. Intervention design follows from the bottleneck typing, and the interventions that would work are identifiable from the topology regardless of whether they are politically achievable in the current configuration.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do not claim that the structural attribution is precisely correct in its numerical shares; we claim that it is substantially closer to the structural reality than the public narrative, and that the direction of the attribution gap is robust to reasonable variations in the framework's modeling choices. Readers who wish to contest the attribution should contest it channel-by-channel against the empirical record in Sections 4-6. That is the form of contestation the framework is designed to support.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mmjgbt2rr5rc" w:id="14"/>
      <w:bookmarkEnd w:id="14"/>
      <w:r w:rsidDel="00000000" w:rsidR="00000000" w:rsidRPr="00000000">
        <w:rPr>
          <w:rtl w:val="0"/>
        </w:rPr>
        <w:t xml:space="preserve">Appendix A: Key Numbers (2024-2026)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U.S. NHE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$5.3T (18.0% of GDP; $15,474 per capita;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CMS NHE Fact Sheet; Hartman et al. </w:t>
            </w:r>
            <w:r w:rsidDel="00000000" w:rsidR="00000000" w:rsidRPr="00000000">
              <w:rPr>
                <w:i w:val="1"/>
                <w:iCs w:val="1"/>
                <w:rtl w:val="0"/>
              </w:rPr>
              <w:t xml:space="preserve">Health Affairs</w:t>
            </w:r>
            <w:r w:rsidDel="00000000" w:rsidR="00000000" w:rsidRPr="00000000">
              <w:rPr>
                <w:rtl w:val="0"/>
              </w:rPr>
              <w:t xml:space="preserv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Price vs. utilization decomposition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Prices +2.7%, utilization/intensity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Hartman et al.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U.S. vs. OECD per capita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$14,885 vs. $5,967 OECD average (~2.5x)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OECD </w:t>
            </w:r>
            <w:r w:rsidDel="00000000" w:rsidR="00000000" w:rsidRPr="00000000">
              <w:rPr>
                <w:i w:val="1"/>
                <w:iCs w:val="1"/>
                <w:rtl w:val="0"/>
              </w:rPr>
              <w:t xml:space="preserve">Health at a Glance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Administrative share of NHE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CMS NHE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2026 medical cost trend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8.5% (PwC group); 6.5-9.5% (multiple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PwC, Mercer, Aon, WTW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RUC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32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CMS acceptance of RUC recommendations 1994-2010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87.4% of 2,768 work-value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Laugesen, Wada &amp; Chen, </w:t>
            </w:r>
            <w:r w:rsidDel="00000000" w:rsidR="00000000" w:rsidRPr="00000000">
              <w:rPr>
                <w:i w:val="1"/>
                <w:iCs w:val="1"/>
                <w:rtl w:val="0"/>
              </w:rPr>
              <w:t xml:space="preserve">Health Affairs</w:t>
            </w:r>
            <w:r w:rsidDel="00000000" w:rsidR="00000000" w:rsidRPr="00000000">
              <w:rPr>
                <w:rtl w:val="0"/>
              </w:rPr>
              <w:t xml:space="preserve"> 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CY2026 PFS efficiency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-2.5% on non-time-based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CMS CY2026 PFS Final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340B program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$81.4B discounted / $147.8B list (+23%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HRSA Dec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Site-neutral savings (full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~$157B over 10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PBM concentration (Big 3 share of 30-day-equiv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Drug Channels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PBM-GPO rebate-aggregator concentration (Ascent, Zinc, Emisar)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~95% of U.S. rebate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FTC First Interim Report; House Oversight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Manufacturer fees to PBM-GPOs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rtl w:val="0"/>
              </w:rPr>
              <w:t xml:space="preserve">$3.8B (2018) → $7.6B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FTC First Interim Staff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Ascent purchasing activity brought back by FTC reshoring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~$750B over order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FTC Express Scripts Settlement, Feb 4,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Gross-to-net bubble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$356B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Drug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FTC specialty-generic markup total 2017-2022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$7.3B above NADAC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FTC Second Interim Report Jan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Humira biosimilar uptake year 1 / post-Apr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2% / inflection with CVS formulary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Samsung Bioepis; Spherix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IRA MFPs 2026 first 10 drugs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38-79% off list; avg ~56.5%; $6B/yr Medicare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MLR cumulative rebates 2012-2024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~$12.7B (trivial vs. $5.3T NHE)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KFF; HealthInsurance.org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Optum provider premium over non-Optum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17% (61% in high-UHC-share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i w:val="1"/>
                <w:iCs w:val="1"/>
                <w:rtl w:val="0"/>
              </w:rPr>
              <w:t xml:space="preserve">Health Affairs</w:t>
            </w:r>
            <w:r w:rsidDel="00000000" w:rsidR="00000000" w:rsidRPr="00000000">
              <w:rPr>
                <w:rtl w:val="0"/>
              </w:rPr>
              <w:t xml:space="preserve"> Nov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KFF 2025 avg family ESI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$26,993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KFF Oct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ACA 2026 marketplace rate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median 18%, mean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Peterson-KFF Aug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Subsidized enrollee premium change 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$888 to $1,904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KFF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ESI tax exclusion FY2024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$252.4B (Treasury); ~$5.9T/10yr income+payroll (Tax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Treasury OTA; Tax Foundation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CBO 50th-percentile exclusion cap 2026-2032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$893B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ESI-covered nonelderly population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165.6M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CPS ASEC Mar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Prescription abandonment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27% (34% Medicaid; 24% Medicare; 28%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IQVIA 2025</w:t>
            </w:r>
          </w:p>
        </w:tc>
      </w:tr>
    </w:tbl>
    <w:p w:rsidR="00000000" w:rsidDel="00000000" w:rsidP="00000000" w:rsidRDefault="00000000" w:rsidRPr="00000000" w14:paraId="00000105">
      <w:pPr>
        <w:pStyle w:val="Heading2"/>
        <w:rPr/>
      </w:pPr>
      <w:bookmarkStart w:colFirst="0" w:colLast="0" w:name="_mvai71o3yda3" w:id="15"/>
      <w:bookmarkEnd w:id="15"/>
      <w:r w:rsidDel="00000000" w:rsidR="00000000" w:rsidRPr="00000000">
        <w:rPr>
          <w:rtl w:val="0"/>
        </w:rPr>
        <w:t xml:space="preserve">Appendix B: Notation and Framework References</w:t>
      </w:r>
    </w:p>
    <w:p w:rsidR="00000000" w:rsidDel="00000000" w:rsidP="00000000" w:rsidRDefault="00000000" w:rsidRPr="00000000" w14:paraId="00000106">
      <w:pPr>
        <w:rPr/>
      </w:pPr>
      <w:r w:rsidDel="00000000" w:rsidR="00000000" w:rsidRPr="00000000">
        <w:rPr>
          <w:rtl w:val="0"/>
        </w:rPr>
        <w:t xml:space="preserve">AIG: attribution-integrity gap. See </w:t>
      </w:r>
      <w:r w:rsidDel="00000000" w:rsidR="00000000" w:rsidRPr="00000000">
        <w:rPr>
          <w:i w:val="1"/>
          <w:iCs w:val="1"/>
          <w:rtl w:val="0"/>
        </w:rPr>
        <w:t xml:space="preserve">Attribution Integrity</w:t>
      </w:r>
      <w:r w:rsidDel="00000000" w:rsidR="00000000" w:rsidRPr="00000000">
        <w:rPr>
          <w:rtl w:val="0"/>
        </w:rPr>
        <w:t xml:space="preserve"> paper, this suite. $H_3$: objective-mismatch operator. See detection paper §6. Constraint-equivalence: detection paper Theorem 3. Bottleneck typing: dynamics paper §5. Response-operator machinery ($G$, $R$, $P$): response paper §3-6.</w:t>
      </w:r>
    </w:p>
    <w:p w:rsidR="00000000" w:rsidDel="00000000" w:rsidP="00000000" w:rsidRDefault="00000000" w:rsidRPr="00000000" w14:paraId="00000107">
      <w:pPr>
        <w:pStyle w:val="Heading2"/>
        <w:rPr/>
      </w:pPr>
      <w:bookmarkStart w:colFirst="0" w:colLast="0" w:name="_us2lumizqndl" w:id="16"/>
      <w:bookmarkEnd w:id="16"/>
      <w:r w:rsidDel="00000000" w:rsidR="00000000" w:rsidRPr="00000000">
        <w:rPr>
          <w:rtl w:val="0"/>
        </w:rPr>
        <w:t xml:space="preserve">References</w:t>
      </w:r>
    </w:p>
    <w:p w:rsidR="00000000" w:rsidDel="00000000" w:rsidP="00000000" w:rsidRDefault="00000000" w:rsidRPr="00000000" w14:paraId="00000108">
      <w:pPr>
        <w:rPr/>
      </w:pPr>
      <w:r w:rsidDel="00000000" w:rsidR="00000000" w:rsidRPr="00000000">
        <w:rPr>
          <w:rtl w:val="0"/>
        </w:rPr>
        <w:t xml:space="preserve">(Full citations available in the verification report accompanying this paper; selected key sources below.)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Hartman M, Martin AB, Washington B, et al. National health care spending increased 7.2 percent in 2024 as utilization remained elevated. </w:t>
      </w:r>
      <w:r w:rsidDel="00000000" w:rsidR="00000000" w:rsidRPr="00000000">
        <w:rPr>
          <w:i w:val="1"/>
          <w:iCs w:val="1"/>
          <w:rtl w:val="0"/>
        </w:rPr>
        <w:t xml:space="preserve">Health Affairs</w:t>
      </w:r>
      <w:r w:rsidDel="00000000" w:rsidR="00000000" w:rsidRPr="00000000">
        <w:rPr>
          <w:rtl w:val="0"/>
        </w:rPr>
        <w:t xml:space="preserve">. Jan 14, 2026. doi:10.1377/hlthaff.2025.01683.</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Laugesen MJ, Wada R, Chen EM. In setting doctors' Medicare fees, CMS almost always accepts the relative value update panel's advice on work values. </w:t>
      </w:r>
      <w:r w:rsidDel="00000000" w:rsidR="00000000" w:rsidRPr="00000000">
        <w:rPr>
          <w:i w:val="1"/>
          <w:iCs w:val="1"/>
          <w:rtl w:val="0"/>
        </w:rPr>
        <w:t xml:space="preserve">Health Affairs</w:t>
      </w:r>
      <w:r w:rsidDel="00000000" w:rsidR="00000000" w:rsidRPr="00000000">
        <w:rPr>
          <w:rtl w:val="0"/>
        </w:rPr>
        <w:t xml:space="preserve">. 2012;31(5):965-972.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Berenson RA, Hayes KJ. The road to value can't be paved with a broken Medicare physician fee schedule. </w:t>
      </w:r>
      <w:r w:rsidDel="00000000" w:rsidR="00000000" w:rsidRPr="00000000">
        <w:rPr>
          <w:i w:val="1"/>
          <w:iCs w:val="1"/>
          <w:rtl w:val="0"/>
        </w:rPr>
        <w:t xml:space="preserve">Health Affairs</w:t>
      </w:r>
      <w:r w:rsidDel="00000000" w:rsidR="00000000" w:rsidRPr="00000000">
        <w:rPr>
          <w:rtl w:val="0"/>
        </w:rPr>
        <w:t xml:space="preserve">. 2024;43(7). doi:10.1377/hlthaff.2024.00299.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U.S. Government Accountability Office. </w:t>
      </w:r>
      <w:r w:rsidDel="00000000" w:rsidR="00000000" w:rsidRPr="00000000">
        <w:rPr>
          <w:i w:val="1"/>
          <w:iCs w:val="1"/>
          <w:rtl w:val="0"/>
        </w:rPr>
        <w:t xml:space="preserve">Medicare Physician Payment Rates: Better Data and Greater Transparency Could Improve Accuracy</w:t>
      </w:r>
      <w:r w:rsidDel="00000000" w:rsidR="00000000" w:rsidRPr="00000000">
        <w:rPr>
          <w:rtl w:val="0"/>
        </w:rPr>
        <w:t xml:space="preserve">. GAO-15-434. May 2015.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Federal Trade Commission. </w:t>
      </w:r>
      <w:r w:rsidDel="00000000" w:rsidR="00000000" w:rsidRPr="00000000">
        <w:rPr>
          <w:i w:val="1"/>
          <w:iCs w:val="1"/>
          <w:rtl w:val="0"/>
        </w:rPr>
        <w:t xml:space="preserve">Specialty Generic Drugs: A Growing Profit Center for Vertically Integrated Pharmacy Benefit Managers</w:t>
      </w:r>
      <w:r w:rsidDel="00000000" w:rsidR="00000000" w:rsidRPr="00000000">
        <w:rPr>
          <w:rtl w:val="0"/>
        </w:rPr>
        <w:t xml:space="preserve"> (Second Interim Staff Report). January 14, 2025.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Federal Trade Commission. </w:t>
      </w:r>
      <w:r w:rsidDel="00000000" w:rsidR="00000000" w:rsidRPr="00000000">
        <w:rPr>
          <w:i w:val="1"/>
          <w:iCs w:val="1"/>
          <w:rtl w:val="0"/>
        </w:rPr>
        <w:t xml:space="preserve">Pharmacy Benefit Managers: The Powerful Middlemen Inflating Drug Costs and Squeezing Main Street Pharmacies</w:t>
      </w:r>
      <w:r w:rsidDel="00000000" w:rsidR="00000000" w:rsidRPr="00000000">
        <w:rPr>
          <w:rtl w:val="0"/>
        </w:rPr>
        <w:t xml:space="preserve"> (First Interim Staff Report). July 9, 2024.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Federal Trade Commission. Express Scripts Settlement; Ascent Health Services reshoring order. February 4,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U.S. House Committee on Oversight and Accountability. Letters to Cigna and OptumRx regarding Ascent and Emisar (Comer, Chairman). 2025.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Desai SM, McWilliams JM. Consequences of the 340B drug pricing program. </w:t>
      </w:r>
      <w:r w:rsidDel="00000000" w:rsidR="00000000" w:rsidRPr="00000000">
        <w:rPr>
          <w:i w:val="1"/>
          <w:iCs w:val="1"/>
          <w:rtl w:val="0"/>
        </w:rPr>
        <w:t xml:space="preserve">New England Journal of Medicine</w:t>
      </w:r>
      <w:r w:rsidDel="00000000" w:rsidR="00000000" w:rsidRPr="00000000">
        <w:rPr>
          <w:rtl w:val="0"/>
        </w:rPr>
        <w:t xml:space="preserve">. 2018;378(6):539-548.</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Chang E, Richards MR, Whaley CM. Association between new 340B program participation and commercial insurance spending on outpatient biologic oncology drugs. </w:t>
      </w:r>
      <w:r w:rsidDel="00000000" w:rsidR="00000000" w:rsidRPr="00000000">
        <w:rPr>
          <w:i w:val="1"/>
          <w:iCs w:val="1"/>
          <w:rtl w:val="0"/>
        </w:rPr>
        <w:t xml:space="preserve">JAMA Health Forum</w:t>
      </w:r>
      <w:r w:rsidDel="00000000" w:rsidR="00000000" w:rsidRPr="00000000">
        <w:rPr>
          <w:rtl w:val="0"/>
        </w:rPr>
        <w:t xml:space="preserve">. 2023.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Health Resources and Services Administration. 2024 340B Covered Entity Purchases. December 11, 2025.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Consolidated Appropriations Act, 2026, Pub. L. 119-75 (Feb 3, 2026), secs. 6223, 6224, 6702.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Optum/Affiliated provider pricing analyses. </w:t>
      </w:r>
      <w:r w:rsidDel="00000000" w:rsidR="00000000" w:rsidRPr="00000000">
        <w:rPr>
          <w:i w:val="1"/>
          <w:iCs w:val="1"/>
          <w:rtl w:val="0"/>
        </w:rPr>
        <w:t xml:space="preserve">Health Affairs</w:t>
      </w:r>
      <w:r w:rsidDel="00000000" w:rsidR="00000000" w:rsidRPr="00000000">
        <w:rPr>
          <w:rtl w:val="0"/>
        </w:rPr>
        <w:t xml:space="preserve">. November 2025; February 2026. doi:10.1377/hlthaff.2025.01062.</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Kaiser Family Foundation. </w:t>
      </w:r>
      <w:r w:rsidDel="00000000" w:rsidR="00000000" w:rsidRPr="00000000">
        <w:rPr>
          <w:i w:val="1"/>
          <w:iCs w:val="1"/>
          <w:rtl w:val="0"/>
        </w:rPr>
        <w:t xml:space="preserve">Employer Health Benefits 2025 Annual Survey</w:t>
      </w:r>
      <w:r w:rsidDel="00000000" w:rsidR="00000000" w:rsidRPr="00000000">
        <w:rPr>
          <w:rtl w:val="0"/>
        </w:rPr>
        <w:t xml:space="preserve">. October 2025.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Congressional Budget Office. </w:t>
      </w:r>
      <w:r w:rsidDel="00000000" w:rsidR="00000000" w:rsidRPr="00000000">
        <w:rPr>
          <w:i w:val="1"/>
          <w:iCs w:val="1"/>
          <w:rtl w:val="0"/>
        </w:rPr>
        <w:t xml:space="preserve">The Budget and Economic Outlook: 2025 to 2035</w:t>
      </w:r>
      <w:r w:rsidDel="00000000" w:rsidR="00000000" w:rsidRPr="00000000">
        <w:rPr>
          <w:rtl w:val="0"/>
        </w:rPr>
        <w:t xml:space="preserve">. Budget options related to ESI exclusion cap. 2024-2025.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Organisation for Economic Co-operation and Development. </w:t>
      </w:r>
      <w:r w:rsidDel="00000000" w:rsidR="00000000" w:rsidRPr="00000000">
        <w:rPr>
          <w:i w:val="1"/>
          <w:iCs w:val="1"/>
          <w:rtl w:val="0"/>
        </w:rPr>
        <w:t xml:space="preserve">Health at a Glance 2025</w:t>
      </w:r>
      <w:r w:rsidDel="00000000" w:rsidR="00000000" w:rsidRPr="00000000">
        <w:rPr>
          <w:rtl w:val="0"/>
        </w:rPr>
        <w:t xml:space="preserve">. November 2025.</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Madrian BC. Employment-based health insurance and job mobility: is there evidence of job-lock? </w:t>
      </w:r>
      <w:r w:rsidDel="00000000" w:rsidR="00000000" w:rsidRPr="00000000">
        <w:rPr>
          <w:i w:val="1"/>
          <w:iCs w:val="1"/>
          <w:rtl w:val="0"/>
        </w:rPr>
        <w:t xml:space="preserve">Quarterly Journal of Economics</w:t>
      </w:r>
      <w:r w:rsidDel="00000000" w:rsidR="00000000" w:rsidRPr="00000000">
        <w:rPr>
          <w:rtl w:val="0"/>
        </w:rPr>
        <w:t xml:space="preserve">. 1994;109(1):27-54.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Internal Revenue Code of 1954, §106, §105(b); War Labor Board rulings 1943; Stabilization Act of 1942, Pub. L. 77-729.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Executive Order 14273 (April 15, 2025); DOL Proposed Rule on PBM Fee Disclosure (January 2026).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CMS, Calendar Year (CY) 2026 Medicare Physician Fee Schedule Final Rule (CMS-1832-F), October 31, 2025.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MedPAC. </w:t>
      </w:r>
      <w:r w:rsidDel="00000000" w:rsidR="00000000" w:rsidRPr="00000000">
        <w:rPr>
          <w:i w:val="1"/>
          <w:iCs w:val="1"/>
          <w:rtl w:val="0"/>
        </w:rPr>
        <w:t xml:space="preserve">June 2025 Report to the Congress: Medicare and the Health Care Delivery System</w:t>
      </w:r>
      <w:r w:rsidDel="00000000" w:rsidR="00000000" w:rsidRPr="00000000">
        <w:rPr>
          <w:rtl w:val="0"/>
        </w:rPr>
        <w:t xml:space="preserve">. Chapter 1.</w:t>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