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4hs3mpr72s8" w:id="0"/>
      <w:bookmarkEnd w:id="0"/>
      <w:r w:rsidDel="00000000" w:rsidR="00000000" w:rsidRPr="00000000">
        <w:rPr>
          <w:rtl w:val="0"/>
        </w:rPr>
        <w:t xml:space="preserve">The Attribution-Integrity Gap in U.S. Healthcare: Structural Diagnostics of Pricing, Optimization, and Hidden Control</w:t>
      </w:r>
    </w:p>
    <w:p w:rsidR="00000000" w:rsidDel="00000000" w:rsidP="00000000" w:rsidRDefault="00000000" w:rsidRPr="00000000" w14:paraId="00000002">
      <w:pPr>
        <w:rPr/>
      </w:pPr>
      <w:r w:rsidDel="00000000" w:rsidR="00000000" w:rsidRPr="00000000">
        <w:rPr>
          <w:b w:val="1"/>
          <w:bCs w:val="1"/>
          <w:rtl w:val="0"/>
        </w:rPr>
        <w:t xml:space="preserve">K.C.M. Robbins</w:t>
      </w:r>
      <w:r w:rsidDel="00000000" w:rsidR="00000000" w:rsidRPr="00000000">
        <w:rPr>
          <w:rtl w:val="0"/>
        </w:rPr>
        <w:t xml:space="preserve"> </w:t>
      </w:r>
      <w:r w:rsidDel="00000000" w:rsidR="00000000" w:rsidRPr="00000000">
        <w:rPr>
          <w:i w:val="1"/>
          <w:iCs w:val="1"/>
          <w:rtl w:val="0"/>
        </w:rPr>
        <w:t xml:space="preserve">Independent researcher</w:t>
      </w:r>
      <w:r w:rsidDel="00000000" w:rsidR="00000000" w:rsidRPr="00000000">
        <w:rPr>
          <w:rtl w:val="0"/>
        </w:rPr>
        <w:t xml:space="preserve"> Draft v2.0, April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Applied instance of the Conservation-and-Coherence framework suite, using the attribution-integrity operator developed in</w:t>
      </w:r>
      <w:r w:rsidDel="00000000" w:rsidR="00000000" w:rsidRPr="00000000">
        <w:rPr>
          <w:rtl w:val="0"/>
        </w:rPr>
        <w:t xml:space="preserve"> Attribution Integrity: Epistemic Health as a Content-Specific Measurement of the Objective-Mismatch Gap.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7xqbf32farh4" w:id="1"/>
      <w:bookmarkEnd w:id="1"/>
      <w:r w:rsidDel="00000000" w:rsidR="00000000" w:rsidRPr="00000000">
        <w:rPr>
          <w:rtl w:val="0"/>
        </w:rPr>
        <w:t xml:space="preserve">Abstract</w:t>
      </w:r>
    </w:p>
    <w:p w:rsidR="00000000" w:rsidDel="00000000" w:rsidP="00000000" w:rsidRDefault="00000000" w:rsidRPr="00000000" w14:paraId="00000008">
      <w:pPr>
        <w:rPr/>
      </w:pPr>
      <w:r w:rsidDel="00000000" w:rsidR="00000000" w:rsidRPr="00000000">
        <w:rPr>
          <w:rtl w:val="0"/>
        </w:rPr>
        <w:t xml:space="preserve">The public narrative about U.S. healthcare costs attributes pricing power and optimization to a familiar set of actors: aging demographics, chronic disease prevalence, pharmaceutical research costs, defensive medicine, and market forces. Applying the Conservation-and-Coherence framework's attribution-integrity operator to the 2024-2026 empirical record produces a structural attribution that differs substantially. Four hidden controllers account for the bulk of observable extraction: the American Medical Association / Specialty Society Relative Value Update Committee (RUC) sets the informational feasible set from which Medicare and, through rate-benchmarking, most commercial insurers determine physician payment; pharmacy benefit managers (PBMs) use rebate-wall architecture to convert list-price inflation into formulary gatekeeping; vertically integrated insurer-PBM-provider conglomerates exploit transfer pricing to evade Medical Loss Ratio (MLR) discipline; and the $252 billion annual employer-sponsored-insurance tax exclusion structurally prevents market exit that would otherwise discipline the system. The attribution-integrity gap is large, signed in the direction the framework predicts, and directly measurable from public data. We present the structural attribution, the empirical support, the method by which the attribution was derived, and the intervention topology that follows from treating the gap as a hidden-controller problem rather than a cost-control problem. A concluding section applies the framework to the employment-insurance tie as the structural anchor that keeps the architecture in place.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9m2nqf3tw6ej" w:id="2"/>
      <w:bookmarkEnd w:id="2"/>
      <w:r w:rsidDel="00000000" w:rsidR="00000000" w:rsidRPr="00000000">
        <w:rPr>
          <w:rtl w:val="0"/>
        </w:rPr>
        <w:t xml:space="preserve">1. The Paradox</w:t>
      </w:r>
    </w:p>
    <w:p w:rsidR="00000000" w:rsidDel="00000000" w:rsidP="00000000" w:rsidRDefault="00000000" w:rsidRPr="00000000" w14:paraId="0000000C">
      <w:pPr>
        <w:rPr/>
      </w:pPr>
      <w:r w:rsidDel="00000000" w:rsidR="00000000" w:rsidRPr="00000000">
        <w:rPr>
          <w:rtl w:val="0"/>
        </w:rPr>
        <w:t xml:space="preserve">The United States spends more on healthcare than any other nation and receives worse outcomes than its peers. This is not contested. The OECD's 2025 </w:t>
      </w:r>
      <w:r w:rsidDel="00000000" w:rsidR="00000000" w:rsidRPr="00000000">
        <w:rPr>
          <w:i w:val="1"/>
          <w:iCs w:val="1"/>
          <w:rtl w:val="0"/>
        </w:rPr>
        <w:t xml:space="preserve">Health at a Glance</w:t>
      </w:r>
      <w:r w:rsidDel="00000000" w:rsidR="00000000" w:rsidRPr="00000000">
        <w:rPr>
          <w:rtl w:val="0"/>
        </w:rPr>
        <w:t xml:space="preserve"> report documents that the U.S. spent $14,885 per capita on health in 2024, approximately 2.5 times the OECD average of $5,967, while U.S. life expectancy at 78.4 years sits three years below the OECD average. Total U.S. national health expenditure reached $5.3 trillion in 2024, 18.0 percent of GDP, with per-capita spending of $15,474 growing at 7.2 percent annually.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familiar narrative explains this paradox through five attributions: demographic aging, chronic disease burden, high pharmaceutical research costs, physician defensive medicine, and market forces operating in a technologically advanced sector. Each has some empirical support. None, individually or in combination, accounts for the magnitude of the gap between U.S. spending and OECD peer spending. Structural decomposition of the 2024 spending growth shows prices rising 2.7 percent and utilization and intensity rising 5.4 percent; neither component aligns with the demographic or research-cost narratives as primary drivers.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paradox tightens when the narrative is tested against specific control points. Physician payment rates are nominally set by the Centers for Medicare and Medicaid Services (CMS) but in practice are set by a private committee of physicians advising CMS. Hospital outpatient facility fees are nominally set by competitive market forces but in practice are set by a consolidation dynamic where acquiring independent practices triggers a 30-to-100 percent Medicare reimbursement premium. Pharmacy benefit managers are nominally cost-control intermediaries but in practice generate profits proportional to the list prices they negotiate against. Insurance companies are nominally constrained by the Affordable Care Act's Medical Loss Ratio rule but in practice have acquired the downstream providers they pay, converting regulated insurance profits into unregulated provider profits.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Each of these represents a gap between what the information environment attributes as the system's control structure and what the structural reality of the control structure actually is. The framework developed in the preceding papers of this suite calls this divergence the attribution-integrity gap. This paper applies that framework to the 2024-2026 U.S. healthcare system and produces a quantified structural attribution that the public narrative does not contain.</w:t>
      </w:r>
    </w:p>
    <w:p w:rsidR="00000000" w:rsidDel="00000000" w:rsidP="00000000" w:rsidRDefault="00000000" w:rsidRPr="00000000" w14:paraId="00000013">
      <w:pPr>
        <w:pStyle w:val="Heading2"/>
        <w:rPr/>
      </w:pPr>
      <w:bookmarkStart w:colFirst="0" w:colLast="0" w:name="_ebbjynrpwpjg" w:id="3"/>
      <w:bookmarkEnd w:id="3"/>
      <w:r w:rsidDel="00000000" w:rsidR="00000000" w:rsidRPr="00000000">
        <w:rPr>
          <w:rtl w:val="0"/>
        </w:rPr>
        <w:t xml:space="preserve">2. Framework</w:t>
      </w:r>
    </w:p>
    <w:p w:rsidR="00000000" w:rsidDel="00000000" w:rsidP="00000000" w:rsidRDefault="00000000" w:rsidRPr="00000000" w14:paraId="00000014">
      <w:pPr>
        <w:rPr/>
      </w:pPr>
      <w:r w:rsidDel="00000000" w:rsidR="00000000" w:rsidRPr="00000000">
        <w:rPr>
          <w:rtl w:val="0"/>
        </w:rPr>
        <w:t xml:space="preserve">The Conservation-and-Coherence framework suite provides a specific operator for the phenomenon described above. The attribution-integrity operator (AIG) measures the divergence between the information environment's attributions of control and the structural reality of control, where structural reality is established by applying the framework's detection operators: constraint-equivalence (Theorem 3 of the detection paper), residual closure under bottleneck-gate conservation, and objective inference on the actor's revealed behavior.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Three operational moves follow from the framework and are used throughout this paper. First, </w:t>
      </w:r>
      <w:r w:rsidDel="00000000" w:rsidR="00000000" w:rsidRPr="00000000">
        <w:rPr>
          <w:b w:val="1"/>
          <w:bCs w:val="1"/>
          <w:rtl w:val="0"/>
        </w:rPr>
        <w:t xml:space="preserve">constraint-equivalence</w:t>
      </w:r>
      <w:r w:rsidDel="00000000" w:rsidR="00000000" w:rsidRPr="00000000">
        <w:rPr>
          <w:rtl w:val="0"/>
        </w:rPr>
        <w:t xml:space="preserve">: an actor who modifies another actor's feasible set has effective control over outcomes, regardless of whether the nominal control authority rests elsewhere. Identifying the constraint-setter is therefore the first attribution question. Second, </w:t>
      </w:r>
      <w:r w:rsidDel="00000000" w:rsidR="00000000" w:rsidRPr="00000000">
        <w:rPr>
          <w:b w:val="1"/>
          <w:bCs w:val="1"/>
          <w:rtl w:val="0"/>
        </w:rPr>
        <w:t xml:space="preserve">objective mismatch</w:t>
      </w:r>
      <w:r w:rsidDel="00000000" w:rsidR="00000000" w:rsidRPr="00000000">
        <w:rPr>
          <w:rtl w:val="0"/>
        </w:rPr>
        <w:t xml:space="preserve"> ($H_3$): the system's revealed optimization target can be recovered from behavior and compared to its stated target; divergence is measurable. Third, </w:t>
      </w:r>
      <w:r w:rsidDel="00000000" w:rsidR="00000000" w:rsidRPr="00000000">
        <w:rPr>
          <w:b w:val="1"/>
          <w:bCs w:val="1"/>
          <w:rtl w:val="0"/>
        </w:rPr>
        <w:t xml:space="preserve">bottleneck typing</w:t>
      </w:r>
      <w:r w:rsidDel="00000000" w:rsidR="00000000" w:rsidRPr="00000000">
        <w:rPr>
          <w:rtl w:val="0"/>
        </w:rPr>
        <w:t xml:space="preserve"> (from the dynamics paper): control bottlenecks are spatial, economic, technological, informational, or temporal, and the type determines which interventions have leverage.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framework does not identify hidden actors by name in the detection sense. In the healthcare case, the "hidden" actors are not concealed; they are visible, regulated, and publicly known. What is hidden is the structural primacy of their control relative to the narrative. The attribution-integrity gap measures the visibility-vs-primacy divergence, not the existence-vs-concealment divergence that the framework handles in its default mode. This is an important scope note: the paper uses the framework to describe a transparency problem in which everything is technically documented but the public narrative misallocates the control weights.</w:t>
      </w:r>
    </w:p>
    <w:p w:rsidR="00000000" w:rsidDel="00000000" w:rsidP="00000000" w:rsidRDefault="00000000" w:rsidRPr="00000000" w14:paraId="00000019">
      <w:pPr>
        <w:pStyle w:val="Heading2"/>
        <w:rPr/>
      </w:pPr>
      <w:bookmarkStart w:colFirst="0" w:colLast="0" w:name="_w3eui39dxf" w:id="4"/>
      <w:bookmarkEnd w:id="4"/>
      <w:r w:rsidDel="00000000" w:rsidR="00000000" w:rsidRPr="00000000">
        <w:rPr>
          <w:rtl w:val="0"/>
        </w:rPr>
        <w:t xml:space="preserve">3. Findings: The Structural Attribution</w:t>
      </w:r>
    </w:p>
    <w:p w:rsidR="00000000" w:rsidDel="00000000" w:rsidP="00000000" w:rsidRDefault="00000000" w:rsidRPr="00000000" w14:paraId="0000001A">
      <w:pPr>
        <w:rPr/>
      </w:pPr>
      <w:r w:rsidDel="00000000" w:rsidR="00000000" w:rsidRPr="00000000">
        <w:rPr>
          <w:rtl w:val="0"/>
        </w:rPr>
        <w:t xml:space="preserve">Applying the framework to 2024-2026 healthcare spending produces the attribution below. Percentages reflect the authors' estimate of each actor's share of the structural control field over observed cost growth, derived from the verified data sources cited in Sections 4-6 and synthesized in Section 7.</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Narrative attribution (public discourse summary):</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Attribution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Narrative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Aging demographics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Chronic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~15-20%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Pharmaceutical R&amp;D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~15-20%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Defensive 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Provider/insurer greed (unstructured)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Market forces /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~15-20%</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Structural attribution (framework-derived):</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Structural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Estimated share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AMA/Specialty Society RUC and its rate-benchmarking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Sets RVU values accepted by CMS ~87-99%; commercial insurers benchmark to Medicare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Vertically integrated insurer-PBM-provider conglomerates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Transfer-pricing gamesmanship of MLR; Optum/CVS/Cigna internal markup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~15-20%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PBM rebate-wall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Revenue scales with list price, not with price reduction; formulary-tier gatekeeping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~10-15%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PBM-affiliated offshore rebate-aggregator GPOs (Ascent, Zinc, Emisar)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Launders rebate flows as administrative fees outside U.S. regulatory reach; ~95% market concentration at GPO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Hospital 340B arbitrage and site-of-service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$147.8B program at list price 2024; 30-100% facility-fee premium for acquired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~10-15%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ESI tax exclusion ($252B/yr) preventing market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Structural lock-in of 165.6M Americans to employer-chosen insurer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~15-20%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Demographic, technological, and legitimate cost pressures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Aging, new drug classes, provider wages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~10-15%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Unattributed residual (measurement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~5-10%</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structural attribution sums to approximately 100 percent; so does the narrative attribution. The attribution-integrity gap is the divergence between the two tables, measured channel-by-channel. The gap is largest at the RUC, PBM/GPO, and vertical-integration rows (each structurally estimated at triple or more the narrative weight) and at the demographic row (structurally estimated at roughly half the narrative weight). The GPO row is a special case: it is nearly absent from the public narrative entirely, which means the attribution-integrity gap at that channel approaches its theoretical maximum.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 emphasize that these percentages are structural estimates, not point measurements. The framework supports the </w:t>
      </w:r>
      <w:r w:rsidDel="00000000" w:rsidR="00000000" w:rsidRPr="00000000">
        <w:rPr>
          <w:i w:val="1"/>
          <w:iCs w:val="1"/>
          <w:rtl w:val="0"/>
        </w:rPr>
        <w:t xml:space="preserve">direction and relative ordering</w:t>
      </w:r>
      <w:r w:rsidDel="00000000" w:rsidR="00000000" w:rsidRPr="00000000">
        <w:rPr>
          <w:rtl w:val="0"/>
        </w:rPr>
        <w:t xml:space="preserve"> of the attribution with high confidence (Sections 4-6); the specific numerical shares are the authors' synthesis and are subject to revision as measurement improves. The paper's argument does not rest on exact percentages; it rests on the direction of the attribution gap.</w:t>
      </w:r>
    </w:p>
    <w:p w:rsidR="00000000" w:rsidDel="00000000" w:rsidP="00000000" w:rsidRDefault="00000000" w:rsidRPr="00000000" w14:paraId="0000004E">
      <w:pPr>
        <w:pStyle w:val="Heading2"/>
        <w:rPr/>
      </w:pPr>
      <w:bookmarkStart w:colFirst="0" w:colLast="0" w:name="_o8k0h8jvkfxt" w:id="5"/>
      <w:bookmarkEnd w:id="5"/>
      <w:r w:rsidDel="00000000" w:rsidR="00000000" w:rsidRPr="00000000">
        <w:rPr>
          <w:rtl w:val="0"/>
        </w:rPr>
        <w:t xml:space="preserve">4. Explanation: Topology and Extraction</w:t>
      </w:r>
    </w:p>
    <w:p w:rsidR="00000000" w:rsidDel="00000000" w:rsidP="00000000" w:rsidRDefault="00000000" w:rsidRPr="00000000" w14:paraId="0000004F">
      <w:pPr>
        <w:rPr/>
      </w:pPr>
      <w:r w:rsidDel="00000000" w:rsidR="00000000" w:rsidRPr="00000000">
        <w:rPr>
          <w:rtl w:val="0"/>
        </w:rPr>
        <w:t xml:space="preserve">The structural attribution can be explained in a single topology. Five bottleneck nodes sit between healthcare capital and clinical outcomes: a rate-setting bottleneck (RUC), a drug-access bottleneck (PBM rebate walls operationalized through offshore GPO rebate aggregators), a site-of-service bottleneck (hospital outpatient consolidation and 340B), a coverage-pricing bottleneck (MLR-bound insurers and their integrated downstream providers), and a structural anchor that prevents market discipline (the ESI tax exclusion, addressed separately in Section 6). Each bottleneck is controlled by a structurally central actor who operates under an objective that diverges from the stated objective of the health system.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RUC controls the rate-setting bottleneck. CMS lacks independent data-collection infrastructure to validate RVUs for over 10,000 procedure codes and therefore relies on the RUC's surveys of physician specialists. A 2012 </w:t>
      </w:r>
      <w:r w:rsidDel="00000000" w:rsidR="00000000" w:rsidRPr="00000000">
        <w:rPr>
          <w:i w:val="1"/>
          <w:iCs w:val="1"/>
          <w:rtl w:val="0"/>
        </w:rPr>
        <w:t xml:space="preserve">Health Affairs</w:t>
      </w:r>
      <w:r w:rsidDel="00000000" w:rsidR="00000000" w:rsidRPr="00000000">
        <w:rPr>
          <w:rtl w:val="0"/>
        </w:rPr>
        <w:t xml:space="preserve"> study (Laugesen, Wada &amp; Chen) documented that CMS accepted 87.4 percent of RUC work-value recommendations from 1994 through 2010. CMS has begun to assert independence: the CY2026 Medicare Physician Fee Schedule Final Rule applied a 2.5 percent efficiency adjustment and explicitly cited "inherent conflicts of interest" and "overinflated valuations" from the RUC process. This acknowledgment is rare, new, and matters for intervention design (Section 8).</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PBMs control the drug-access bottleneck through rebate-wall architecture. The top three PBMs (Express Scripts, CVS Caremark, OptumRx) process approximately 80 percent of 30-day-equivalent prescriptions. The FTC's Second Interim Staff Report (January 2025) found the Big Three generated $7.3 billion above the National Average Drug Acquisition Cost from 2017-2022 on specialty generics alone, plus $1.4 billion in spread pricing. The Big Three marked up a generic tadalafil by 7,736 percent; they marked up imatinib (generic Gleevec) to $17,000-plus for a 30-day supply that Cost Plus Drugs sells for $72. The Humira biosimilar trajectory is the cleanest empirical demonstration: biosimilars held 2 percent market share in year one, 4 percent through February 2024, and inflected sharply upward only when CVS Caremark removed Humira from its major national commercial formularies in April 2024. Adoption was formulary-gated, not clinically gated.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PBM bottleneck is operationally executed through a layer that is nearly absent from the public narrative: PBM-affiliated group purchasing organizations (GPOs), also called rebate aggregators. Beginning in 2019, each of the Big Three PBMs established a separate legal entity to conduct rebate negotiations with drug manufacturers. Express Scripts formed Ascent Health Services in Switzerland in 2019; CVS Caremark formed Zinc Health Services in 2020; OptumRx formed Emisar Pharma Services in Ireland in 2021. These three entities handle approximately 95 percent of rebate aggregation in the U.S. market, a higher concentration than the PBM layer above them. Manufacturer fees to these rebate aggregators doubled from $3.8 billion in 2018 to $7.6 billion in 2022, per the FTC's First Interim Staff Report. The House Oversight Committee's investigation concluded the entities were "headquartered overseas for the purpose of retaining additional revenue and fees and to sidestep U.S." regulatory oversight, describing the structure as "institutional intent at opacity and avoidance of oversight." A former OptumRx executive who helped establish Emisar stated directly that "the intention of the G.P.O. is to create a fee structure that can be retained and not passed on to a client." The operational function is to reclassify what would otherwise be a rebate as a GPO administrative fee, moving the flow outside the statutory definition of "rebate" and therefore outside rebate-passthrough obligations. The mechanism is the reason PBMs can truthfully claim to pass through 98 percent of rebates while retaining the majority of manufacturer payments: the retained portion is not legally a rebate. The FTC's February 2026 settlement with Express Scripts requires Ascent to relocate from Switzerland to the United States, bringing back approximately $750 billion in purchasing activity over the order duration, plus ten-year FTC monitoring. Private racketeering class actions against Express Scripts and CaremarkPCS have been filed in the U.S. District Court for the District of Rhode Island (March 2026); the Rhode Island state lawsuit against all three PBMs and their GPO affiliates survived a motion to dismiss on March 30, 2026. The constraint-equivalence relationship is clean: the GPO layer is the feasible-set modifier for where rebate flows land, and its constraint-setting authority is structurally higher than the PBM layer's because the GPOs sit outside the regulatory perimeter that binds PBMs.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separate, older GPO architecture operates on the hospital supply side. Premier, Vizient, and HealthTrust negotiate medical device and supply pricing on behalf of member hospitals, collecting manufacturer administrative fees (typically 2-3 percent of contract value) under a safe harbor in the 1986 Anti-Kickback Statute amendments (42 U.S.C. § 1320a-7b). This safe harbor is the single largest regulatory carveout distinguishing U.S. hospital procurement from peer-country systems, and academic research has argued it enables anti-competitive price premiums paid by hospitals that are recovered through higher-than-OECD prices to private payers. The hospital-GPO bottleneck is less urgent for the 2024-2026 cost-control story than the PBM-GPO bottleneck, but it is structurally analogous and should be named in the topology rather than conflated with either the hospital or the PBM layer.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Hospital systems control the site-of-service bottleneck. The 340B program reached $81.4 billion in discounted purchases and $147.8 billion at list price in 2024, up 23 percent and 16.7 percent year-over-year respectively, on track to surpass Medicare Part D within two years. A 2018 landmark study (Desai &amp; McWilliams, </w:t>
      </w:r>
      <w:r w:rsidDel="00000000" w:rsidR="00000000" w:rsidRPr="00000000">
        <w:rPr>
          <w:i w:val="1"/>
          <w:iCs w:val="1"/>
          <w:rtl w:val="0"/>
        </w:rPr>
        <w:t xml:space="preserve">NEJM</w:t>
      </w:r>
      <w:r w:rsidDel="00000000" w:rsidR="00000000" w:rsidRPr="00000000">
        <w:rPr>
          <w:rtl w:val="0"/>
        </w:rPr>
        <w:t xml:space="preserve">) found that 340B eligibility was associated with 230 percent more hematologist-oncologists and 900 percent more ophthalmologists in hospital-owned facilities, with no corresponding expansion of care for low-income patients. A 2023 study (Chang et al., </w:t>
      </w:r>
      <w:r w:rsidDel="00000000" w:rsidR="00000000" w:rsidRPr="00000000">
        <w:rPr>
          <w:i w:val="1"/>
          <w:iCs w:val="1"/>
          <w:rtl w:val="0"/>
        </w:rPr>
        <w:t xml:space="preserve">JAMA Health Forum</w:t>
      </w:r>
      <w:r w:rsidDel="00000000" w:rsidR="00000000" w:rsidRPr="00000000">
        <w:rPr>
          <w:rtl w:val="0"/>
        </w:rPr>
        <w:t xml:space="preserve">) found new 340B participation associated with approximately $4,075 higher commercial spending per outpatient biologic oncology episode. Site-neutral payment reform, which would eliminate the 30-100 percent facility-fee premium that currently rewards hospital acquisition of independent practices, has been calculated by CBO to save approximately $157 billion over ten years under full HOPD/PFS alignment; it has not been enacted, and the American Hospital Association's $29 million annual federal lobbying effort is a primary reason.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Vertically integrated insurers control the coverage-pricing bottleneck. The ACA's Medical Loss Ratio rule requires insurers to spend 80-85 percent of premium on medical claims, with rebates owed to policyholders if they fall short. Cumulative MLR rebates since 2012 total approximately $12.7 billion, a number that is structurally trivial against $5.3 trillion in annual NHE. The reason the rule has bound so weakly is vertical integration. UnitedHealth Group's Optum segment handles 4-5.4 million patients in value-based care arrangements while OptumRx processes $154.7 billion in 2025 revenue. CVS Health owns Caremark, Aetna, and retail pharmacies, with CVS reporting $53 billion in intercompany transactions within $263 billion of combined revenue. A November 2025 </w:t>
      </w:r>
      <w:r w:rsidDel="00000000" w:rsidR="00000000" w:rsidRPr="00000000">
        <w:rPr>
          <w:i w:val="1"/>
          <w:iCs w:val="1"/>
          <w:rtl w:val="0"/>
        </w:rPr>
        <w:t xml:space="preserve">Health Affairs</w:t>
      </w:r>
      <w:r w:rsidDel="00000000" w:rsidR="00000000" w:rsidRPr="00000000">
        <w:rPr>
          <w:rtl w:val="0"/>
        </w:rPr>
        <w:t xml:space="preserve"> study found that UnitedHealthcare pays Optum-owned providers 17 percent more than non-Optum providers, rising to 61 percent more in markets with at least 25 percent UHC share. A February 2026 </w:t>
      </w:r>
      <w:r w:rsidDel="00000000" w:rsidR="00000000" w:rsidRPr="00000000">
        <w:rPr>
          <w:i w:val="1"/>
          <w:iCs w:val="1"/>
          <w:rtl w:val="0"/>
        </w:rPr>
        <w:t xml:space="preserve">Health Affairs</w:t>
      </w:r>
      <w:r w:rsidDel="00000000" w:rsidR="00000000" w:rsidRPr="00000000">
        <w:rPr>
          <w:rtl w:val="0"/>
        </w:rPr>
        <w:t xml:space="preserve"> study on Optum's ambulatory surgery center acquisitions found prices to rival insurers rose 11 percent (approximately $239 per procedure, $10.1 million per facility annually). These intercompany transfers are booked as "medical spending" for MLR purposes, satisfying the 80-85 percent threshold while the actual profit flows to unregulated provider and pharmacy subsidiaries.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five bottlenecks share a common structural feature: each controller's effective objective, recoverable from its revealed behavior, diverges from its stated objective in the same direction. Rate-setting optimizes for specialist revenue over system cost-control; drug-access through the PBM-GPO layer optimizes for retained fee revenue over rebate passthrough; site-of-service optimizes for facility-fee arbitrage over neutral-site care; coverage-pricing optimizes for transfer-pricing profit over MLR compliance. This is the $H_3$ objective-mismatch signature the framework predicts for a system under consolidated extraction, and it is observable in each actor's own internal records, SEC filings, and (in the GPO case) court-discoverable corporate documents now being pursued in the Rhode Island litigation.</w:t>
      </w:r>
    </w:p>
    <w:p w:rsidR="00000000" w:rsidDel="00000000" w:rsidP="00000000" w:rsidRDefault="00000000" w:rsidRPr="00000000" w14:paraId="0000005E">
      <w:pPr>
        <w:pStyle w:val="Heading2"/>
        <w:rPr/>
      </w:pPr>
      <w:bookmarkStart w:colFirst="0" w:colLast="0" w:name="_m92hwp47z4vh" w:id="6"/>
      <w:bookmarkEnd w:id="6"/>
      <w:r w:rsidDel="00000000" w:rsidR="00000000" w:rsidRPr="00000000">
        <w:rPr>
          <w:rtl w:val="0"/>
        </w:rPr>
        <w:t xml:space="preserve">5. Method</w:t>
      </w:r>
    </w:p>
    <w:p w:rsidR="00000000" w:rsidDel="00000000" w:rsidP="00000000" w:rsidRDefault="00000000" w:rsidRPr="00000000" w14:paraId="0000005F">
      <w:pPr>
        <w:rPr/>
      </w:pPr>
      <w:r w:rsidDel="00000000" w:rsidR="00000000" w:rsidRPr="00000000">
        <w:rPr>
          <w:rtl w:val="0"/>
        </w:rPr>
        <w:t xml:space="preserve">The attribution in Section 3 was derived through a specific procedure, stated here so the result can be replicated or contested.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Step 1: Enumerate narrative attributions.</w:t>
      </w:r>
      <w:r w:rsidDel="00000000" w:rsidR="00000000" w:rsidRPr="00000000">
        <w:rPr>
          <w:rtl w:val="0"/>
        </w:rPr>
        <w:t xml:space="preserve"> We assembled the public-discourse attribution by surveying CMS Office of the Actuary explanatory material, KFF Health Policy 101 content, major business-press coverage of the 2024 NHE release, and professional-association communications. The narrative table in Section 3 is a synthesis of these sources. It is not a rigorous content analysis; it is a characterization that practitioners in the field would recognize.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Step 2: Identify structural control points via constraint-equivalence.</w:t>
      </w:r>
      <w:r w:rsidDel="00000000" w:rsidR="00000000" w:rsidRPr="00000000">
        <w:rPr>
          <w:rtl w:val="0"/>
        </w:rPr>
        <w:t xml:space="preserve"> For each major healthcare cost category (physician services, hospital services, pharmaceuticals, insurance administration), we applied the constraint-equivalence theorem to identify which actor's feasible-set modification has the largest effect on observed outcomes. The RUC is the constraint-setter for physician services because CMS's RVU process depends on RUC inputs. Hospital systems are the constraint-setters for site-of-service pricing because acquisition decisions determine facility-fee eligibility. PBMs are the constraint-setters for drug access because formulary tiering determines which drugs patients can obtain at what cost. Insurer-PBM-provider conglomerates are the constraint-setters for MLR compliance because vertical integration determines whether medical spending flows to independent providers or affiliated ones.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Step 3: Recover effective objectives via $H_3$.</w:t>
      </w:r>
      <w:r w:rsidDel="00000000" w:rsidR="00000000" w:rsidRPr="00000000">
        <w:rPr>
          <w:rtl w:val="0"/>
        </w:rPr>
        <w:t xml:space="preserve"> For each identified controller, we compared the stated objective (from public statements, regulatory filings, professional-association materials) against the revealed objective (from internal documents surfaced by FTC reports, Congressional investigations, academic research, and SEC filings). In every case examined, the revealed objective diverged from the stated objective in a direction consistent with rent extraction rather than efficient allocation. Section 4 cites specific evidence for each.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Step 4: Estimate structural shares.</w:t>
      </w:r>
      <w:r w:rsidDel="00000000" w:rsidR="00000000" w:rsidRPr="00000000">
        <w:rPr>
          <w:rtl w:val="0"/>
        </w:rPr>
        <w:t xml:space="preserve"> Each controller's share of the structural attribution was estimated from its quantitative footprint in the system. The RUC's share reflects the fraction of total healthcare spending affected by RVU-benchmarked rates (approximately 60 percent via Medicare direct effect plus commercial benchmarking). The vertical-integration share reflects MLR-rule evasion scale (cumulative intercompany markup estimated at hundreds of billions per year, though precise quantification is blocked by the transparency problem MedPAC has documented). The PBM share reflects the gross-to-net bubble ($356 billion in 2024) minus portions attributable to pure pricing rather than formulary-gating behavior. The 340B share reflects the $66.4 billion list-to-discount gap plus the consolidation-driven facility-fee premium. The ESI-exclusion share reflects the $252 billion subsidy plus the implicit premium elasticity that exit would otherwise produce. These are structural estimates with acknowledged uncertainty bands of several percentage points each; they are not claimed as point measurements.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Step 5: Bottleneck typing.</w:t>
      </w:r>
      <w:r w:rsidDel="00000000" w:rsidR="00000000" w:rsidRPr="00000000">
        <w:rPr>
          <w:rtl w:val="0"/>
        </w:rPr>
        <w:t xml:space="preserve"> Each controller was classified by bottleneck type (Section 4 of the dynamics paper). The RUC is a composite informational-and-technological bottleneck (controlling data inputs to a durable institutional process). PBM rebate walls are composite economic-and-informational (the rebate math is structural; its concealment is informational). Vertical integration is primarily economic with informational components (transfer pricing is visible to regulators but not to public narrative). 340B and site-of-service are economic. The ESI exclusion is economic-and-temporal (the exclusion compounds over a lifetime of employment; unwinding faces transition-cost barriers). Bottleneck typing is load-bearing for intervention design (Section 8).</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Known limitations.</w:t>
      </w:r>
      <w:r w:rsidDel="00000000" w:rsidR="00000000" w:rsidRPr="00000000">
        <w:rPr>
          <w:rtl w:val="0"/>
        </w:rPr>
        <w:t xml:space="preserve"> Structural shares are estimates with uncertainty bands, not point measurements. The attribution depends on the framework's model of control, and alternative causal models would produce different allocations. The paper does not attempt to quantify individual executive culpability and does not identify any actor as legally responsible for any specific outcome. The framework detects structural signatures; it does not indict. These limitations are consistent with the framework's non-identification stance established in the detection paper.</w:t>
      </w:r>
    </w:p>
    <w:p w:rsidR="00000000" w:rsidDel="00000000" w:rsidP="00000000" w:rsidRDefault="00000000" w:rsidRPr="00000000" w14:paraId="0000006C">
      <w:pPr>
        <w:pStyle w:val="Heading2"/>
        <w:rPr/>
      </w:pPr>
      <w:bookmarkStart w:colFirst="0" w:colLast="0" w:name="_19i3ts6m1sch" w:id="7"/>
      <w:bookmarkEnd w:id="7"/>
      <w:r w:rsidDel="00000000" w:rsidR="00000000" w:rsidRPr="00000000">
        <w:rPr>
          <w:rtl w:val="0"/>
        </w:rPr>
        <w:t xml:space="preserve">6. The Structural Anchor: Why the Architecture Persists</w:t>
      </w:r>
    </w:p>
    <w:p w:rsidR="00000000" w:rsidDel="00000000" w:rsidP="00000000" w:rsidRDefault="00000000" w:rsidRPr="00000000" w14:paraId="0000006D">
      <w:pPr>
        <w:rPr/>
      </w:pPr>
      <w:r w:rsidDel="00000000" w:rsidR="00000000" w:rsidRPr="00000000">
        <w:rPr>
          <w:rtl w:val="0"/>
        </w:rPr>
        <w:t xml:space="preserve">A serious reader will ask: given that the four bottlenecks are known, documented, and actively producing harm, why has the market not corrected? This section addresses the question.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standard answer is that healthcare markets are special: asymmetric information, externalities, and inelastic demand prevent ordinary market discipline. This is true and insufficient. A more complete answer identifies the structural anchor that prevents exit: the employer-sponsored-insurance (ESI) tax exclusion, which subsidizes employment-based coverage at approximately $252 billion per year (Treasury FY2024 estimate; approximately $5.9 trillion over ten years when payroll-tax effects are included).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exclusion originated in three steps. The 1942 Stabilization Act froze wages and salaries at September 1942 levels but exempted "insurance and pension benefits in a reasonable amount." The War Labor Board ruled in 1943 that employer health-insurance contributions were not wages for wage-control purposes. The Internal Revenue Code of 1954 codified the exclusion statutorily through Section 106, removing prior caps. Health coverage grew from approximately 12 million enrollees in 1940 to approximately 70 million in the 1950s, establishing the employment-based pooling architecture that dominates U.S. coverage today. As of 2024, 165.6 million nonelderly Americans (60.0 percent of the nonelderly population) receive coverage through employment (March 2025 CPS ASEC).</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exclusion structurally prevents market exit in three ways.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First, it creates a price wedge between employer-purchased and individual-purchased coverage. Workers who receive $20,000 in employer health benefits pay no income or payroll tax on that compensation. Workers who purchase equivalent individual coverage pay tax on the compensation used to fund it, then purchase with after-tax dollars. The effective after-tax cost of individual coverage is roughly 20-40 percent higher than equivalent employer coverage for the same worker. This is not a small distortion; it is a structural subsidy to employer-mediated purchasing.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Second, the exclusion is the largest individual tax expenditure in the federal budget, larger than the mortgage interest deduction, larger than the state and local tax deduction, larger than the capital gains preference. CBO's 2024 budget option calculated that capping the exclusion at the 50th percentile would save $893 billion from 2026 through 2032. The subsidy's scale makes its removal politically difficult: 165 million beneficiaries would face a perceived tax increase, while the integrated insurer-PBM-provider conglomerates would face market competition they currently do not.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Third, job lock compounds the exit barrier at the individual level. Madrian's 1994 study (</w:t>
      </w:r>
      <w:r w:rsidDel="00000000" w:rsidR="00000000" w:rsidRPr="00000000">
        <w:rPr>
          <w:i w:val="1"/>
          <w:iCs w:val="1"/>
          <w:rtl w:val="0"/>
        </w:rPr>
        <w:t xml:space="preserve">Quarterly Journal of Economics</w:t>
      </w:r>
      <w:r w:rsidDel="00000000" w:rsidR="00000000" w:rsidRPr="00000000">
        <w:rPr>
          <w:rtl w:val="0"/>
        </w:rPr>
        <w:t xml:space="preserve">) documented a 25 percent reduction in voluntary turnover among ESI holders. Subsequent literature has contested the magnitude but confirmed the direction. The ACA's guaranteed-issue and pre-existing-condition reforms reduced but did not eliminate the effect; residual job lock persists, particularly for workers with chronic conditions or family members with high-cost care needs.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exclusion therefore operates as a technological-and-temporal composite bottleneck in the framework's typology. It is technological in that the subsidy is engineered into the tax code and operates durably so long as the code remains unchanged. It is temporal in that each year of employment compounds the exclusion's individual value, making exit progressively more costly. The framework's predicted behavior for this bottleneck type is that interventions against downstream extractors (RUC, PBMs, vertical integration, 340B) face reactive resistance that is structurally anchored by the upstream subsidy. Empirically, this matches the record: every meaningful reform proposal encounters resistance that would collapse if the downstream actors faced market-exit threats, and the ESI exclusion is the structural reason market-exit threats do not arise.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Cadillac tax under ACA Section 9001 was the only significant legislative effort to cap the exclusion. It was delayed in 2016 and 2018 and repealed permanently in December 2019. The repeal is the clearest available evidence that the exclusion's political durability exceeds the durability of the conditions that created the downstream extraction problem.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We do not argue in this paper that the exclusion should be eliminated; the distributional politics of its removal are serious and the transition costs would be substantial. We argue that it should be named as the structural anchor of the architecture that the preceding sections described, and that reform proposals targeting the four downstream bottlenecks without addressing the anchor are structurally predicted to face reactive resistance the framework's response-operator machinery (R(i,t) from the response paper) would recognize as stabilizing feedback from the anchor.</w:t>
      </w:r>
    </w:p>
    <w:p w:rsidR="00000000" w:rsidDel="00000000" w:rsidP="00000000" w:rsidRDefault="00000000" w:rsidRPr="00000000" w14:paraId="00000080">
      <w:pPr>
        <w:pStyle w:val="Heading2"/>
        <w:rPr/>
      </w:pPr>
      <w:bookmarkStart w:colFirst="0" w:colLast="0" w:name="_pcga1a66vkqc" w:id="8"/>
      <w:bookmarkEnd w:id="8"/>
      <w:r w:rsidDel="00000000" w:rsidR="00000000" w:rsidRPr="00000000">
        <w:rPr>
          <w:rtl w:val="0"/>
        </w:rPr>
        <w:t xml:space="preserve">7. Interventions: Topology Shifts That Would Work</w:t>
      </w:r>
    </w:p>
    <w:p w:rsidR="00000000" w:rsidDel="00000000" w:rsidP="00000000" w:rsidRDefault="00000000" w:rsidRPr="00000000" w14:paraId="00000081">
      <w:pPr>
        <w:rPr/>
      </w:pPr>
      <w:r w:rsidDel="00000000" w:rsidR="00000000" w:rsidRPr="00000000">
        <w:rPr>
          <w:rtl w:val="0"/>
        </w:rPr>
        <w:t xml:space="preserve">The intervention design follows from the bottleneck typing in Section 5 plus the response-operator machinery from the framework suite. We state each intervention at the level of topology shift (what the intervention actually changes) rather than policy vehicle (which bill, which regulation).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Rate-setting bottleneck.</w:t>
      </w:r>
      <w:r w:rsidDel="00000000" w:rsidR="00000000" w:rsidRPr="00000000">
        <w:rPr>
          <w:rtl w:val="0"/>
        </w:rPr>
        <w:t xml:space="preserve"> The CY2026 PFS Final Rule's efficiency adjustment and CMS's explicit language about "inherent conflicts of interest" in the RUC process represent the first meaningful shift in a three-decade-old dependency. The framework's recommendation is to continue the shift by standing up an independent Technical Expert Panel within CMS with budget sufficient to produce primary data on procedure time, effort, and resource use (Berenson &amp; Hayes 2024; Laugesen 2025). Cost estimates are modest: the primary barrier is CMS's underfunding, not the technical feasibility of independent data collection. Expected effect: a rebalancing of RVU weights toward cognitive and primary care over procedural care, with downstream effects on commercial benchmarking.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Drug-access bottleneck.</w:t>
      </w:r>
      <w:r w:rsidDel="00000000" w:rsidR="00000000" w:rsidRPr="00000000">
        <w:rPr>
          <w:rtl w:val="0"/>
        </w:rPr>
        <w:t xml:space="preserve"> The Consolidated Appropriations Act of 2026, signed February 3, 2026, mandates 100 percent rebate passthrough in commercial and ERISA plans beginning approximately January 1, 2029, and prohibits rebate-tied PBM compensation in Medicare Part D beginning January 1, 2028. These provisions target the rebate-wall architecture directly and are the largest federal PBM reform to date. The framework predicts, with high confidence, that PBMs will migrate the extraction to the GPO layer: rebate flows will be reclassified as GPO administrative fees, service fees, or manufacturer data fees, none of which are "rebates" under CAA 2026's statutory definition. The migration vehicle already exists and is operational. Ascent, Zinc, and Emisar collectively handled approximately $750 billion in purchasing activity (Express Scripts alone, per the FTC's February 2026 settlement) before any CAA 2026 provisions took effect; the CAA 2026 reforms will increase the economic incentive to route flows through these entities, not decrease it. Three interventions are required, not one. First, the CAA 2026 rebate-passthrough language must be interpreted or amended to treat offshore-GPO administrative fees as captured rebates for passthrough purposes. Second, the FTC's reshoring requirement for Ascent must be extended to Zinc and Emisar through analogous enforcement actions or legislation. Third, the Anti-Kickback Statute's application to PBM-affiliated GPOs, which was structured around hospital-side GPOs in 1986, must be reexamined to determine whether the rebate-aggregator configuration fits the safe harbor's original public-interest justification. Without all three interventions, CAA 2026 will shift the accounting layer without shifting the topology. Expected effect if all three hold: measurable decline in the gross-to-net bubble (currently $356 billion) and in list-price inflation over a three-to-five-year adjustment. Expected effect if only CAA 2026 as currently written is enforced: migration of extraction to the GPO layer with minimal change in net patient costs, which is the outcome the framework's response-operator machinery ($R$ in the response paper) predicts for any intervention that targets one layer without addressing the substitutable layer beneath it.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Site-of-service bottleneck.</w:t>
      </w:r>
      <w:r w:rsidDel="00000000" w:rsidR="00000000" w:rsidRPr="00000000">
        <w:rPr>
          <w:rtl w:val="0"/>
        </w:rPr>
        <w:t xml:space="preserve"> Site-neutral payment alignment would remove the 30-100 percent reimbursement premium for hospital outpatient departments versus independent physician offices for equivalent services. CBO has scored full HOPD/PFS alignment at approximately $157 billion over ten years. This is the highest-leverage intervention in the structural attribution by CBO-scored dollar savings. The intervention has not been enacted; the American Hospital Association's $29 million annual federal lobbying is a primary reason. The framework's recommendation is political rather than technical: the policy design exists, the savings estimates are robust, and the intervention requires legislative courage rather than further analysis. A parallel recommendation applies to hospital-side GPOs: the 1986 Anti-Kickback Statute safe harbor should be reexamined in light of the degree of consolidation in hospital procurement since its enactment. Expected effect: disruption of the hospital-physician consolidation dynamic that 340B participation has accelerated over the past decade.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MLR bottleneck.</w:t>
      </w:r>
      <w:r w:rsidDel="00000000" w:rsidR="00000000" w:rsidRPr="00000000">
        <w:rPr>
          <w:rtl w:val="0"/>
        </w:rPr>
        <w:t xml:space="preserve"> Transfer-pricing benchmarks that cap affiliated-entity payments to a multiple of Medicare fee-for-service rates would eliminate the arbitrage mechanism vertical integration currently exploits. A more structural reform, sometimes described as a "Glass-Steagall for healthcare," would bar insurers from owning pharmacy benefit managers or provider groups. The framework does not prescribe which of these to prefer; it observes that both would shift the topology by removing the intercompany-transaction mechanism. The framework also observes that MLR is only a binding constraint if intercompany transactions are not allowed to inflate medical spending artificially, which is currently not the case. Expected effect: reversion of insurer economics toward the pre-2010 competitive insurance-underwriting model, with downstream effects on vertical-integration incentives.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ESI tax exclusion.</w:t>
      </w:r>
      <w:r w:rsidDel="00000000" w:rsidR="00000000" w:rsidRPr="00000000">
        <w:rPr>
          <w:rtl w:val="0"/>
        </w:rPr>
        <w:t xml:space="preserve"> Capping the exclusion at the 50th percentile (CBO: $893 billion savings over 2026-2032) or at the 80th percentile (Tax Foundation 2025: $138-389 billion over 2026-2035) would reduce but not eliminate the structural anchor. The framework's prediction is that downstream reforms will face lower reactive resistance if the anchor is addressed simultaneously. Implementation would require managing the distributional politics carefully; the framework does not supply that design. Expected effect: increased elasticity in individual-market and small-group coverage, which would create the market-exit threat that disciplines the four downstream extractors.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framework does not predict that any of these interventions will be enacted; it predicts what topology would shift if they were enacted. The prediction is falsifiable: an intervention that does not shift the claimed bottleneck would indicate that the attribution was wrong at that node.</w:t>
      </w:r>
    </w:p>
    <w:p w:rsidR="00000000" w:rsidDel="00000000" w:rsidP="00000000" w:rsidRDefault="00000000" w:rsidRPr="00000000" w14:paraId="0000008E">
      <w:pPr>
        <w:pStyle w:val="Heading2"/>
        <w:rPr/>
      </w:pPr>
      <w:bookmarkStart w:colFirst="0" w:colLast="0" w:name="_ujx8ojfqqkod" w:id="9"/>
      <w:bookmarkEnd w:id="9"/>
      <w:r w:rsidDel="00000000" w:rsidR="00000000" w:rsidRPr="00000000">
        <w:rPr>
          <w:rtl w:val="0"/>
        </w:rPr>
        <w:t xml:space="preserve">8. Conclusion</w:t>
      </w:r>
    </w:p>
    <w:p w:rsidR="00000000" w:rsidDel="00000000" w:rsidP="00000000" w:rsidRDefault="00000000" w:rsidRPr="00000000" w14:paraId="0000008F">
      <w:pPr>
        <w:rPr/>
      </w:pPr>
      <w:r w:rsidDel="00000000" w:rsidR="00000000" w:rsidRPr="00000000">
        <w:rPr>
          <w:rtl w:val="0"/>
        </w:rPr>
        <w:t xml:space="preserve">The United States healthcare system's cost problem is conventionally described as a cost problem and addressed through cost-control proposals. The Conservation-and-Coherence framework's attribution-integrity operator identifies the problem differently. It is not a cost problem; it is a hidden-control problem. Five constraint-setters sit at structurally central bottlenecks in the system's topology, each optimizing for an objective that diverges from the system's stated objective in the same direction: extraction. A structural anchor, the ESI tax exclusion, prevents the market exit that would otherwise discipline the extractors. One of the five, the offshore PBM-affiliated GPO layer, is nearly absent from the public narrative, which makes it both the most leveraged target for framework-driven analysis and the most likely site of continued extraction after nominally significant 2026 reforms.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attribution-integrity gap between this structural reading and the public narrative is large, signed, and measurable from 2024-2026 public data. The narrative attributes healthcare cost growth primarily to aging, chronic disease, research costs, and defensive medicine. The structural attribution places approximately 60-80 percent of the cost growth in four specific bottleneck controllers and a structural subsidy that prevents their discipline. The gap is not caused by concealment in the detection-paper sense; the actors are public, the institutions are documented, and the mechanisms appear in academic literature, FTC reports, MedPAC analyses, SEC filings, and Congressional investigations. The gap is caused by a misallocation of narrative weights relative to structural weights.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is the attribution-integrity pattern the framework was built to diagnose. Its resolution is not new data but a recalibration of which data is load-bearing for the causal story. The framework provides that recalibration. Intervention design follows from the bottleneck typing, and the interventions that would work are identifiable from the topology regardless of whether they are politically achievable in the current configuration.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We do not claim that the structural attribution is precisely correct in its numerical shares; we claim that it is substantially closer to the structural reality than the public narrative, and that the direction of the attribution gap is robust to reasonable variations in the framework's modeling choices. Readers who wish to contest the attribution should contest it channel-by-channel against the empirical record in Sections 4-6. That is the form of contestation the framework is designed to support.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tg07rf64kcwo" w:id="10"/>
      <w:bookmarkEnd w:id="10"/>
      <w:r w:rsidDel="00000000" w:rsidR="00000000" w:rsidRPr="00000000">
        <w:rPr>
          <w:rtl w:val="0"/>
        </w:rPr>
        <w:t xml:space="preserve">Appendix A: Key Numbers (2024-2026)</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U.S. NHE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$5.3T (18.0% of GDP; $15,474 per capita;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CMS NHE Fact Sheet; Hartman et al. </w:t>
            </w:r>
            <w:r w:rsidDel="00000000" w:rsidR="00000000" w:rsidRPr="00000000">
              <w:rPr>
                <w:i w:val="1"/>
                <w:iCs w:val="1"/>
                <w:rtl w:val="0"/>
              </w:rPr>
              <w:t xml:space="preserve">Health Affairs</w:t>
            </w:r>
            <w:r w:rsidDel="00000000" w:rsidR="00000000" w:rsidRPr="00000000">
              <w:rPr>
                <w:rtl w:val="0"/>
              </w:rPr>
              <w:t xml:space="preserve">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Price vs. utilization decomposition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Prices +2.7%, utilization/intensity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Hartman et al.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U.S. vs. OECD per capita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$14,885 vs. $5,967 OECD average (~2.5x)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OECD </w:t>
            </w:r>
            <w:r w:rsidDel="00000000" w:rsidR="00000000" w:rsidRPr="00000000">
              <w:rPr>
                <w:i w:val="1"/>
                <w:iCs w:val="1"/>
                <w:rtl w:val="0"/>
              </w:rPr>
              <w:t xml:space="preserve">Health at a Glance 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Administrative share of NHE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CMS NHE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2026 medical cost trend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8.5% (PwC group); 6.5-9.5% (multiple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PwC, Mercer, Aon, WTW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RUC 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32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CMS acceptance of RUC recommendations 1994-2010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87.4% of 2,768 work-value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Laugesen, Wada &amp; Chen, </w:t>
            </w:r>
            <w:r w:rsidDel="00000000" w:rsidR="00000000" w:rsidRPr="00000000">
              <w:rPr>
                <w:i w:val="1"/>
                <w:iCs w:val="1"/>
                <w:rtl w:val="0"/>
              </w:rPr>
              <w:t xml:space="preserve">Health Affairs</w:t>
            </w:r>
            <w:r w:rsidDel="00000000" w:rsidR="00000000" w:rsidRPr="00000000">
              <w:rPr>
                <w:rtl w:val="0"/>
              </w:rPr>
              <w:t xml:space="preserve"> 2012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CY2026 PFS efficiency adjustment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-2.5% on non-time-based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CMS CY2026 PFS Final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340B program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$81.4B discounted / $147.8B list (+23%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HRSA Dec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Site-neutral savings (full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~$157B over 10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CBO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PBM concentration (Big 3 share of 30-day-equiv Rx)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Drug Channels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PBM-GPO rebate-aggregator concentration (Ascent, Zinc, Emisar)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~95% of U.S. rebate aggregation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FTC First Interim Report; House Oversight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Manufacturer fees to PBM-GPOs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Fonts w:ascii="Arial Unicode MS" w:cs="Arial Unicode MS" w:eastAsia="Arial Unicode MS" w:hAnsi="Arial Unicode MS"/>
                <w:rtl w:val="0"/>
              </w:rPr>
              <w:t xml:space="preserve">$3.8B (2018) → $7.6B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FTC First Interim Staff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Ascent purchasing activity brought back by FTC reshoring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~$750B over order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FTC Express Scripts Settlement, Feb 4,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Gross-to-net bubble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$356B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Drug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FTC specialty-generic markup total 2017-2022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$7.3B above NADAC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FTC Second Interim Report Jan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Humira biosimilar uptake year 1 / post-Apr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2% / inflection with CVS formulary 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Samsung Bioepis; Spherix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IRA MFPs 2026 first 10 drugs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38-79% off list; avg ~56.5%; $6B/yr Medicare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MLR cumulative rebates 2012-2024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~$12.7B (trivial vs. $5.3T NHE)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KFF; HealthInsurance.org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Optum provider premium over non-Optum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17% (61% in high-UHC-share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i w:val="1"/>
                <w:iCs w:val="1"/>
                <w:rtl w:val="0"/>
              </w:rPr>
              <w:t xml:space="preserve">Health Affairs</w:t>
            </w:r>
            <w:r w:rsidDel="00000000" w:rsidR="00000000" w:rsidRPr="00000000">
              <w:rPr>
                <w:rtl w:val="0"/>
              </w:rPr>
              <w:t xml:space="preserve"> Nov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KFF 2025 avg family ESI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$26,993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KFF Oct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ACA 2026 marketplace rate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median 18%, mean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Peterson-KFF Aug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Subsidized enrollee premium change 2025-2026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$888 to $1,904 (+114%)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KFF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ESI tax exclusion FY2024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$252.4B (Treasury); ~$5.9T/10yr income+payroll (Tax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Treasury OTA; Tax Foundation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CBO 50th-percentile exclusion cap 2026-2032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$893B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CBO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ESI-covered nonelderly population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165.6M (60.0%)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CPS ASEC Mar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Prescription abandonment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27% (34% Medicaid; 24% Medicare; 28% 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IQVIA 2025</w:t>
            </w:r>
          </w:p>
        </w:tc>
      </w:tr>
    </w:tbl>
    <w:p w:rsidR="00000000" w:rsidDel="00000000" w:rsidP="00000000" w:rsidRDefault="00000000" w:rsidRPr="00000000" w14:paraId="000000ED">
      <w:pPr>
        <w:pStyle w:val="Heading2"/>
        <w:rPr/>
      </w:pPr>
      <w:bookmarkStart w:colFirst="0" w:colLast="0" w:name="_160wvh18fmn" w:id="11"/>
      <w:bookmarkEnd w:id="11"/>
      <w:r w:rsidDel="00000000" w:rsidR="00000000" w:rsidRPr="00000000">
        <w:rPr>
          <w:rtl w:val="0"/>
        </w:rPr>
        <w:t xml:space="preserve">Appendix B: Notation and Framework References</w:t>
      </w:r>
    </w:p>
    <w:p w:rsidR="00000000" w:rsidDel="00000000" w:rsidP="00000000" w:rsidRDefault="00000000" w:rsidRPr="00000000" w14:paraId="000000EE">
      <w:pPr>
        <w:rPr/>
      </w:pPr>
      <w:r w:rsidDel="00000000" w:rsidR="00000000" w:rsidRPr="00000000">
        <w:rPr>
          <w:rtl w:val="0"/>
        </w:rPr>
        <w:t xml:space="preserve">AIG: attribution-integrity gap. See </w:t>
      </w:r>
      <w:r w:rsidDel="00000000" w:rsidR="00000000" w:rsidRPr="00000000">
        <w:rPr>
          <w:i w:val="1"/>
          <w:iCs w:val="1"/>
          <w:rtl w:val="0"/>
        </w:rPr>
        <w:t xml:space="preserve">Attribution Integrity</w:t>
      </w:r>
      <w:r w:rsidDel="00000000" w:rsidR="00000000" w:rsidRPr="00000000">
        <w:rPr>
          <w:rtl w:val="0"/>
        </w:rPr>
        <w:t xml:space="preserve"> paper, this suite. $H_3$: objective-mismatch operator. See detection paper §6. Constraint-equivalence: detection paper Theorem 3. Bottleneck typing: dynamics paper §5. Response-operator machinery ($G$, $R$, $P$): response paper §3-6.</w:t>
      </w:r>
    </w:p>
    <w:p w:rsidR="00000000" w:rsidDel="00000000" w:rsidP="00000000" w:rsidRDefault="00000000" w:rsidRPr="00000000" w14:paraId="000000EF">
      <w:pPr>
        <w:pStyle w:val="Heading2"/>
        <w:rPr/>
      </w:pPr>
      <w:bookmarkStart w:colFirst="0" w:colLast="0" w:name="_5ylklifmd1fp" w:id="12"/>
      <w:bookmarkEnd w:id="12"/>
      <w:r w:rsidDel="00000000" w:rsidR="00000000" w:rsidRPr="00000000">
        <w:rPr>
          <w:rtl w:val="0"/>
        </w:rPr>
        <w:t xml:space="preserve">References</w:t>
      </w:r>
    </w:p>
    <w:p w:rsidR="00000000" w:rsidDel="00000000" w:rsidP="00000000" w:rsidRDefault="00000000" w:rsidRPr="00000000" w14:paraId="000000F0">
      <w:pPr>
        <w:rPr/>
      </w:pPr>
      <w:r w:rsidDel="00000000" w:rsidR="00000000" w:rsidRPr="00000000">
        <w:rPr>
          <w:rtl w:val="0"/>
        </w:rPr>
        <w:t xml:space="preserve">(Full citations available in the verification report accompanying this paper; selected key sources below.)</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Hartman M, Martin AB, Washington B, et al. National health care spending increased 7.2 percent in 2024 as utilization remained elevated. </w:t>
      </w:r>
      <w:r w:rsidDel="00000000" w:rsidR="00000000" w:rsidRPr="00000000">
        <w:rPr>
          <w:i w:val="1"/>
          <w:iCs w:val="1"/>
          <w:rtl w:val="0"/>
        </w:rPr>
        <w:t xml:space="preserve">Health Affairs</w:t>
      </w:r>
      <w:r w:rsidDel="00000000" w:rsidR="00000000" w:rsidRPr="00000000">
        <w:rPr>
          <w:rtl w:val="0"/>
        </w:rPr>
        <w:t xml:space="preserve">. Jan 14, 2026. doi:10.1377/hlthaff.2025.01683.</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Laugesen MJ, Wada R, Chen EM. In setting doctors' Medicare fees, CMS almost always accepts the relative value update panel's advice on work values. </w:t>
      </w:r>
      <w:r w:rsidDel="00000000" w:rsidR="00000000" w:rsidRPr="00000000">
        <w:rPr>
          <w:i w:val="1"/>
          <w:iCs w:val="1"/>
          <w:rtl w:val="0"/>
        </w:rPr>
        <w:t xml:space="preserve">Health Affairs</w:t>
      </w:r>
      <w:r w:rsidDel="00000000" w:rsidR="00000000" w:rsidRPr="00000000">
        <w:rPr>
          <w:rtl w:val="0"/>
        </w:rPr>
        <w:t xml:space="preserve">. 2012;31(5):965-972.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Berenson RA, Hayes KJ. The road to value can't be paved with a broken Medicare physician fee schedule. </w:t>
      </w:r>
      <w:r w:rsidDel="00000000" w:rsidR="00000000" w:rsidRPr="00000000">
        <w:rPr>
          <w:i w:val="1"/>
          <w:iCs w:val="1"/>
          <w:rtl w:val="0"/>
        </w:rPr>
        <w:t xml:space="preserve">Health Affairs</w:t>
      </w:r>
      <w:r w:rsidDel="00000000" w:rsidR="00000000" w:rsidRPr="00000000">
        <w:rPr>
          <w:rtl w:val="0"/>
        </w:rPr>
        <w:t xml:space="preserve">. 2024;43(7). doi:10.1377/hlthaff.2024.00299.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U.S. Government Accountability Office. </w:t>
      </w:r>
      <w:r w:rsidDel="00000000" w:rsidR="00000000" w:rsidRPr="00000000">
        <w:rPr>
          <w:i w:val="1"/>
          <w:iCs w:val="1"/>
          <w:rtl w:val="0"/>
        </w:rPr>
        <w:t xml:space="preserve">Medicare Physician Payment Rates: Better Data and Greater Transparency Could Improve Accuracy</w:t>
      </w:r>
      <w:r w:rsidDel="00000000" w:rsidR="00000000" w:rsidRPr="00000000">
        <w:rPr>
          <w:rtl w:val="0"/>
        </w:rPr>
        <w:t xml:space="preserve">. GAO-15-434. May 2015.</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Federal Trade Commission. </w:t>
      </w:r>
      <w:r w:rsidDel="00000000" w:rsidR="00000000" w:rsidRPr="00000000">
        <w:rPr>
          <w:i w:val="1"/>
          <w:iCs w:val="1"/>
          <w:rtl w:val="0"/>
        </w:rPr>
        <w:t xml:space="preserve">Specialty Generic Drugs: A Growing Profit Center for Vertically Integrated Pharmacy Benefit Managers</w:t>
      </w:r>
      <w:r w:rsidDel="00000000" w:rsidR="00000000" w:rsidRPr="00000000">
        <w:rPr>
          <w:rtl w:val="0"/>
        </w:rPr>
        <w:t xml:space="preserve"> (Second Interim Staff Report). January 14, 2025.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Federal Trade Commission. </w:t>
      </w:r>
      <w:r w:rsidDel="00000000" w:rsidR="00000000" w:rsidRPr="00000000">
        <w:rPr>
          <w:i w:val="1"/>
          <w:iCs w:val="1"/>
          <w:rtl w:val="0"/>
        </w:rPr>
        <w:t xml:space="preserve">Pharmacy Benefit Managers: The Powerful Middlemen Inflating Drug Costs and Squeezing Main Street Pharmacies</w:t>
      </w:r>
      <w:r w:rsidDel="00000000" w:rsidR="00000000" w:rsidRPr="00000000">
        <w:rPr>
          <w:rtl w:val="0"/>
        </w:rPr>
        <w:t xml:space="preserve"> (First Interim Staff Report). July 9, 2024.</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Federal Trade Commission. Express Scripts Settlement; Ascent Health Services reshoring order. February 4, 2026.</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U.S. House Committee on Oversight and Accountability. Letters to Cigna and OptumRx regarding Ascent and Emisar (Comer, Chairman). 2025.</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Desai SM, McWilliams JM. Consequences of the 340B drug pricing program. </w:t>
      </w:r>
      <w:r w:rsidDel="00000000" w:rsidR="00000000" w:rsidRPr="00000000">
        <w:rPr>
          <w:i w:val="1"/>
          <w:iCs w:val="1"/>
          <w:rtl w:val="0"/>
        </w:rPr>
        <w:t xml:space="preserve">New England Journal of Medicine</w:t>
      </w:r>
      <w:r w:rsidDel="00000000" w:rsidR="00000000" w:rsidRPr="00000000">
        <w:rPr>
          <w:rtl w:val="0"/>
        </w:rPr>
        <w:t xml:space="preserve">. 2018;378(6):539-548.</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Chang E, Richards MR, Whaley CM. Association between new 340B program participation and commercial insurance spending on outpatient biologic oncology drugs. </w:t>
      </w:r>
      <w:r w:rsidDel="00000000" w:rsidR="00000000" w:rsidRPr="00000000">
        <w:rPr>
          <w:i w:val="1"/>
          <w:iCs w:val="1"/>
          <w:rtl w:val="0"/>
        </w:rPr>
        <w:t xml:space="preserve">JAMA Health Forum</w:t>
      </w:r>
      <w:r w:rsidDel="00000000" w:rsidR="00000000" w:rsidRPr="00000000">
        <w:rPr>
          <w:rtl w:val="0"/>
        </w:rPr>
        <w:t xml:space="preserve">. 2023.</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Health Resources and Services Administration. 2024 340B Covered Entity Purchases. December 11, 2025.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Consolidated Appropriations Act, 2026, Pub. L. 119-75 (Feb 3, 2026), secs. 6223, 6224, 6702.</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Optum/Affiliated provider pricing analyses. </w:t>
      </w:r>
      <w:r w:rsidDel="00000000" w:rsidR="00000000" w:rsidRPr="00000000">
        <w:rPr>
          <w:i w:val="1"/>
          <w:iCs w:val="1"/>
          <w:rtl w:val="0"/>
        </w:rPr>
        <w:t xml:space="preserve">Health Affairs</w:t>
      </w:r>
      <w:r w:rsidDel="00000000" w:rsidR="00000000" w:rsidRPr="00000000">
        <w:rPr>
          <w:rtl w:val="0"/>
        </w:rPr>
        <w:t xml:space="preserve">. November 2025; February 2026. doi:10.1377/hlthaff.2025.01062.</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Kaiser Family Foundation. </w:t>
      </w:r>
      <w:r w:rsidDel="00000000" w:rsidR="00000000" w:rsidRPr="00000000">
        <w:rPr>
          <w:i w:val="1"/>
          <w:iCs w:val="1"/>
          <w:rtl w:val="0"/>
        </w:rPr>
        <w:t xml:space="preserve">Employer Health Benefits 2025 Annual Survey</w:t>
      </w:r>
      <w:r w:rsidDel="00000000" w:rsidR="00000000" w:rsidRPr="00000000">
        <w:rPr>
          <w:rtl w:val="0"/>
        </w:rPr>
        <w:t xml:space="preserve">. October 2025.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Congressional Budget Office. </w:t>
      </w:r>
      <w:r w:rsidDel="00000000" w:rsidR="00000000" w:rsidRPr="00000000">
        <w:rPr>
          <w:i w:val="1"/>
          <w:iCs w:val="1"/>
          <w:rtl w:val="0"/>
        </w:rPr>
        <w:t xml:space="preserve">The Budget and Economic Outlook: 2025 to 2035</w:t>
      </w:r>
      <w:r w:rsidDel="00000000" w:rsidR="00000000" w:rsidRPr="00000000">
        <w:rPr>
          <w:rtl w:val="0"/>
        </w:rPr>
        <w:t xml:space="preserve">. Budget options related to ESI exclusion cap. 2024-2025.</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Organisation for Economic Co-operation and Development. </w:t>
      </w:r>
      <w:r w:rsidDel="00000000" w:rsidR="00000000" w:rsidRPr="00000000">
        <w:rPr>
          <w:i w:val="1"/>
          <w:iCs w:val="1"/>
          <w:rtl w:val="0"/>
        </w:rPr>
        <w:t xml:space="preserve">Health at a Glance 2025</w:t>
      </w:r>
      <w:r w:rsidDel="00000000" w:rsidR="00000000" w:rsidRPr="00000000">
        <w:rPr>
          <w:rtl w:val="0"/>
        </w:rPr>
        <w:t xml:space="preserve">. November 2025.</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Madrian BC. Employment-based health insurance and job mobility: is there evidence of job-lock? </w:t>
      </w:r>
      <w:r w:rsidDel="00000000" w:rsidR="00000000" w:rsidRPr="00000000">
        <w:rPr>
          <w:i w:val="1"/>
          <w:iCs w:val="1"/>
          <w:rtl w:val="0"/>
        </w:rPr>
        <w:t xml:space="preserve">Quarterly Journal of Economics</w:t>
      </w:r>
      <w:r w:rsidDel="00000000" w:rsidR="00000000" w:rsidRPr="00000000">
        <w:rPr>
          <w:rtl w:val="0"/>
        </w:rPr>
        <w:t xml:space="preserve">. 1994;109(1):27-54.</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Internal Revenue Code of 1954, §106, §105(b); War Labor Board rulings 1943; Stabilization Act of 1942, Pub. L. 77-729.</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Executive Order 14273 (April 15, 2025); DOL Proposed Rule on PBM Fee Disclosure (January 2026).</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CMS, Calendar Year (CY) 2026 Medicare Physician Fee Schedule Final Rule (CMS-1832-F), October 31, 2025.</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MedPAC. </w:t>
      </w:r>
      <w:r w:rsidDel="00000000" w:rsidR="00000000" w:rsidRPr="00000000">
        <w:rPr>
          <w:i w:val="1"/>
          <w:iCs w:val="1"/>
          <w:rtl w:val="0"/>
        </w:rPr>
        <w:t xml:space="preserve">June 2025 Report to the Congress: Medicare and the Health Care Delivery System</w:t>
      </w:r>
      <w:r w:rsidDel="00000000" w:rsidR="00000000" w:rsidRPr="00000000">
        <w:rPr>
          <w:rtl w:val="0"/>
        </w:rPr>
        <w:t xml:space="preserve">. Chapter 1.</w:t>
      </w:r>
    </w:p>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