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Agency Calculus Paradigm: An Integrated Structural Lens for Systemic Diagnostics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the Diagnostic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modern governance, technological deployment, and societal organization necessitates an analytical paradigm capable of mapping the invisible flows of autonomy, control, and systemic risk. The "Agency Calculus" framework serves as this precise diagnostic and predictive apparatus, offering an integrated approach for twenty-first-century governance.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At its core, the framework postulates that agency—defined as the capacity of an individual, group, or institution to act autonomously, make legible choices, and influence outcomes—is not a static or infinite resource. </w:t>
      </w:r>
      <w:r w:rsidDel="00000000" w:rsidR="00000000" w:rsidRPr="00000000">
        <w:rPr>
          <w:color w:val="1f1f1f"/>
          <w:rtl w:val="0"/>
        </w:rPr>
        <w:t xml:space="preserve">For diagnostic purposes, agency is treated as a fluid, quantifiable stock that flows through policy, law, and socio-technical infrastructure -- transferred, extracted, frictionally dissipated, or strategically concentrated. This operationalization should be distinguished from the deeper foundational claim of the AC framework, in which agency is not one resource among others but the precondition for any valuation whatsoever. The currency metaphor is analytically powerful at the systems level precisely because it is derived from that foundational status: a system that systematically depletes agency is not merely inefficient, it is eroding the substrate upon which all other values depend.</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operationalizes the Agency Calculus into a comprehensive, multi-dimensional diagnostic lens. This lens is designed to be applied to any distinct policy, temporal epoch, or socio-technical system to interrogate its structural integrity and its impact on the human condition. The analytical sequence examines five critical dimensions: the mechanical movement and extraction of core agency; the sociological and psychological creation of targeted outgroups; the ethical and moral topography underlying the system; the system's trajectory along the historical cycle of societal collapse; and the resulting impact on the epistemic health of the affected populations. By synthesizing doctrines of administrative law, system dynamics, social epistemology, and historical macro-sociology, this framework provides an exhaustive methodology for auditing societal systems. The objective is to identify systemic risks akin to the 1929-style failures masked within modern policies, utilizing reliable, quantifiable data architectures that were previously unavailable.</w:t>
      </w:r>
    </w:p>
    <w:p w:rsidR="00000000" w:rsidDel="00000000" w:rsidP="00000000" w:rsidRDefault="00000000" w:rsidRPr="00000000" w14:paraId="00000005">
      <w:pPr>
        <w:pStyle w:val="Heading3"/>
        <w:spacing w:after="240" w:before="240" w:line="275.9999942779541" w:lineRule="auto"/>
        <w:rPr/>
      </w:pPr>
      <w:bookmarkStart w:colFirst="0" w:colLast="0" w:name="_5c449ib0ifk2" w:id="0"/>
      <w:bookmarkEnd w:id="0"/>
      <w:r w:rsidDel="00000000" w:rsidR="00000000" w:rsidRPr="00000000">
        <w:rPr>
          <w:rtl w:val="0"/>
        </w:rPr>
        <w:t xml:space="preserve">The Formal Foundation of the Agency Calculus</w:t>
      </w:r>
    </w:p>
    <w:p w:rsidR="00000000" w:rsidDel="00000000" w:rsidP="00000000" w:rsidRDefault="00000000" w:rsidRPr="00000000" w14:paraId="00000006">
      <w:pPr>
        <w:spacing w:after="240" w:before="240" w:line="275.9999942779541" w:lineRule="auto"/>
        <w:rPr>
          <w:rFonts w:ascii="Arial" w:cs="Arial" w:eastAsia="Arial" w:hAnsi="Arial"/>
          <w:color w:val="444746"/>
          <w:sz w:val="24"/>
          <w:szCs w:val="24"/>
          <w:vertAlign w:val="superscript"/>
        </w:rPr>
      </w:pPr>
      <w:r w:rsidDel="00000000" w:rsidR="00000000" w:rsidRPr="00000000">
        <w:rPr>
          <w:color w:val="1f1f1f"/>
          <w:rtl w:val="0"/>
        </w:rPr>
        <w:t xml:space="preserve">This diagnostic lens derives from and operationalizes the Agency Calculus (AC) theoretical framework, which grounds all analysis in a single foundational primitive: agency as the precondition for valuing anything. Within that formal system, the optimization target for interdependent systems is expressed as log(min(a₁, a₂, ... aₙ)), where each aᵢ represents an agency dimension that cannot be compensated by gains elsewhere. At the policy level, this produces the JAM (Joint Agency Maximization) objective: R(s,a) = log(min(human_agency, institutional_agency, environmental_integrity, epistemic_health)), which penalizes any outcome in which a single dimension collapses regardless of performance on others. The five diagnostic dimensions examined in this report correspond directly to those terms: Dimensions I through III map to institutional and human agency flows, Dimension IV maps to environmental and systemic carrying capacity, and Dimension V maps to epistemic health. The Horizon Index, developed from this same formalism, operationalizes the composite measure as a harmonic mean rather than a weighted sum precisely to preserve bottleneck sensitivity. The diagnostic lens applied here is therefore not an independent framework but an applied extension of that formal architecture, translating mathematical structure into analytical procedure.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color w:val="444746"/>
          <w:sz w:val="24"/>
          <w:szCs w:val="24"/>
          <w:vertAlign w:val="superscript"/>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Dimension I: The Mechanics of Agency Movement and Extraction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operation of the Agency Calculus lens is to trace the precise movement of agency. In any policy implementation or systemic shift, autonomy is redistributed. This redistribution frequently takes the form of "agency extraction," where the capacity for self-determination and legible decision-making is siphoned from individuals, decentralized communities, or democratic bodies and concentrated within administrative, corporate, or algorithmic centers of power.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Mechanics of Agency Shift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context of administrative law and governance, agency movement is often facilitated through mechanisms of regulatory discretion, statutory ambiguity, and what jurisprudence terms "congressional silence".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doctrine of congressional silence suggests that when a legislative body delegates authority to an agency without explicitly prohibiting the consideration of certain factors, the administrative agency retains the freedom to incorporate political, economic, or logistical influences into its decision-making calculus.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creates a direct, legally sanctioned pipeline for agency extraction. The democratic agency of the electorate, theoretically codified in strict legislative mandates, is extracted and transferred into the discretionary power of unelected bureaucratic or executive actors, who function essentially as mini-legislatures in the rulemaking context.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dynamic is acutely visible in environmental and public health regulation. For example, the incorporation of cost-benefit analyses into an agency's calculus often serves as a mechanism to shift agency away from public health advocates and toward industrial stakeholders.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Historical analyses of the Clean Air Act of 1970 demonstrate that considering implementation costs alongside public health protections risks countermanding the explicit legislative intent to protect human health.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When an agency like the Food and Drug Administration (FDA) adjusts its calculus due to budgetary constraints or negative political feedback—as observed in its historical oscillation on the regulation of subtherapeutic antibiotics in animal feed—the agency is not acting in a neutral vacuum.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is responding to a high-powered incentive structure where political costs dictate regulatory action, effectively extracting agency from the public and transferring it to concentrated corporate interests.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procedural maneuvers utilized by the judiciary facilitate this extraction. When a court utilizes the remedy of "remand without vacation"—setting aside an agency action without immediately vacating the rule—it grants the regulatory agency the unencumbered freedom to decide its next move.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temporal buffer allows interested political actors and members of Congress to resort to their usual methods of informal persuasion and pressure.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Consequently, formal, transparent policy-making is transformed into an opaque, back-channel process, further depriving the public of participatory agency. The agency's calculus is no longer driven by the "best science" standard, as mandated by statutes like the Endangered Species Act, but by rationalized political survival.</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 Environmental Protection Agency (EPA) provides another robust case study of agency extraction dictated by administrative burden and jurisdictional boundaries. In its efforts to regulate greenhouse gas emissions from biogenic feedstocks, the EPA's Science Advisory Board (SAB) highlighted that comprehensive accounting would require measuring the net change in global emissions over time across the entire life cycle of the feedstock.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However, the boundaries imposed by the EPA's regulatory authority under the Clean Air Act restrict its choices strictly to end-of-stack emissions.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 manage this, the agency considers relying on default Biogenic Assessment Factors (BAFs) rather than facility-specific BAFs, purely for administrative advantage and ease of implementation.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SAB explicitly noted that these practical considerations would "weigh heavily in the Agency's calculus," demonstrating how complex policy issues are simplified not for scientific accuracy, but to preserve the operational agency of the bureaucracy at the expense of comprehensive environmental oversight.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Macro-Level Proxy Warfare as Agency Delegation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movement of agency is equally profound on the geopolitical scale, where the framework of "indirect control" and proxy warfare perfectly illustrates the flow of autonomy.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 world politics, state sponsors (principals) routinely extract military and political utility by relying on local agents (proxies) that operate outside the purview of conventional armed forces.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Applying the Agency Calculus lens to these relationships reveals a highly dynamic flow of agency governed by principal-agent theory.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interests between a powerful state and a local proxy align, agency is delegated, and the proxy is granted the autonomy to act using the principal's resources. However, as the strategic environment evolves, the principal-agent relationship inevitably strains. Theories of proxy relationships identify five distinct models through which agency is negotiated: exploitative, transactional, coercive, cultural, and contractual.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an exploitative relationship, the principal extracts the maximum utility from the proxy while absorbing minimal risk, essentially treating the proxy's agency as a disposable resource. If the strategic goals diverge, the principal must either escalate to higher-powered incentives, resort to coercive agency restriction, or abandon the indirect control entirely.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macro-level dynamic mirrors the domestic regulatory calculus: powerful entities delegate agency when it is efficient, but ruthlessly extract it when the costs of alignment exceed the benefits.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Dimension II: The Creation of Outgroups and Agency </w:t>
      </w:r>
      <w:r w:rsidDel="00000000" w:rsidR="00000000" w:rsidRPr="00000000">
        <w:rPr>
          <w:color w:val="1f1f1f"/>
          <w:rtl w:val="0"/>
        </w:rPr>
        <w:t xml:space="preserve">Extraction</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second dimension of the Agency Calculus lens evaluates whether a policy, time, or system necessitates or results in the creation of targeted outgroups. The extraction of agency is rarely distributed uniformly across a population; it is highly concentrated, targeting specific demographics through a process of psychological, sociological, and bureaucratic othering. However, the diagnostic question at this dimension is not primarily about who is being targeted or in which direction agency flows as a result of the targeting. The diagnostic question is whether the system requires outgroup formation at all.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A structurally healthy system does not need to construct a threatening other to justify its policy logic. It possesses functional institutional mechanisms, including tax law, antitrust enforcement, procurement rules, and democratic deliberation, capable of addressing resource allocation, structural inequality, and political disagreement without first requiring a population to be categorized as a legitimate target. The moment othering becomes the precondition for policy justification, that is the diagnostic signal, regardless of who is being othered, whether the characterization is empirically accurate, or whether the targeting is morally defensible. The label is evidence that the legitimate institutional path has already failed or been captured.</w:t>
      </w:r>
    </w:p>
    <w:p w:rsidR="00000000" w:rsidDel="00000000" w:rsidP="00000000" w:rsidRDefault="00000000" w:rsidRPr="00000000" w14:paraId="00000015">
      <w:pPr>
        <w:pStyle w:val="Heading3"/>
        <w:spacing w:after="150" w:line="275.9999942779541" w:lineRule="auto"/>
        <w:rPr/>
      </w:pPr>
      <w:bookmarkStart w:colFirst="0" w:colLast="0" w:name="_fyq99rdjct9q" w:id="1"/>
      <w:bookmarkEnd w:id="1"/>
      <w:r w:rsidDel="00000000" w:rsidR="00000000" w:rsidRPr="00000000">
        <w:rPr>
          <w:rtl w:val="0"/>
        </w:rPr>
        <w:t xml:space="preserve">The Naming Mechanism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foundational operation of outgroup construction is the naming event. Before a group is named, it is merely a distribution of individuals with varying attributes. After naming, it becomes an entity with assigned characteristics, a defined relationship to the in-group, and a stake in political outcomes. The name is what makes collective emotional investment possible, which is what makes coordinated policy possible. This sequence is invariant: naming generates relationship, relationship generates attribute assignment, attribute assignment generates defined stakes, and defined stakes generate policy.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This mechanism is entirely neutral with respect to intent or direction. A labor union names itself to build solidarity. A state names an ethnic minority to build a persecution infrastructure. A political movement names billionaires to build redistributive policy. A population names an aristocracy to build a revolutionary coalition. The cognitive and social machinery operating in each case is structurally identical. The outputs differ entirely based on what attributes are assigned after the naming event and whether those attributes are constructed around inclusion or exclusion, around shared values or adversarial threat.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implication for diagnosis is that the naming event must be examined at the moment of its construction, not after the policy built on top of it has become load-bearing. By the time an outgroup construction has generated legislation, judicial precedent, or institutional enforcement infrastructure, the emotional and political architecture surrounding the label is already too embedded to dismantle without triggering the very instability the framework is designed to detect.</w:t>
      </w:r>
    </w:p>
    <w:p w:rsidR="00000000" w:rsidDel="00000000" w:rsidP="00000000" w:rsidRDefault="00000000" w:rsidRPr="00000000" w14:paraId="00000019">
      <w:pPr>
        <w:pStyle w:val="Heading3"/>
        <w:spacing w:after="150" w:line="275.9999942779541" w:lineRule="auto"/>
        <w:rPr/>
      </w:pPr>
      <w:bookmarkStart w:colFirst="0" w:colLast="0" w:name="_hmtd87706l9r" w:id="2"/>
      <w:bookmarkEnd w:id="2"/>
      <w:r w:rsidDel="00000000" w:rsidR="00000000" w:rsidRPr="00000000">
        <w:rPr>
          <w:rtl w:val="0"/>
        </w:rPr>
        <w:t xml:space="preserve">The Direction of Extraction Does Not Change the Diagnosis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A critical refinement of the standard othering literature is that the direction of agency flow following outgroup construction does not alter the diagnostic signal. Whether the extraction runs downward from dominant group to vulnerable minority, as in classical ethnic persecution, or upward from a concentrated wealth class to a broader population, as in revolutionary redistribution or progressive taxation, the presence of outgroup construction as the enabling precondition indicates the same structural failure: the system cannot solve this problem through its existing institutional mechanisms.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French aristocracy did represent concentrated, extractive power. The kulaks did hold disproportionate resources relative to surrounding peasants. The billionaire class does exercise disproportionate political influence. None of these empirical observations are the diagnostic question. The diagnostic question is why the institutional mechanisms designed to address these structural imbalances, tax law, property regulation, democratic accountability, failed to function. The label appears precisely when those mechanisms have been captured or have collapsed. The extraction that follows the label is almost always less targeted, more subject to abuse, and more generative of downstream instability than institutional mechanisms would have been, as the French Revolution's trajectory from reform coalition to the Terror to Napoleon demonstrates with clarity.</w:t>
      </w:r>
    </w:p>
    <w:p w:rsidR="00000000" w:rsidDel="00000000" w:rsidP="00000000" w:rsidRDefault="00000000" w:rsidRPr="00000000" w14:paraId="0000001C">
      <w:pPr>
        <w:pStyle w:val="Heading3"/>
        <w:spacing w:after="150" w:line="275.9999942779541" w:lineRule="auto"/>
        <w:rPr/>
      </w:pPr>
      <w:bookmarkStart w:colFirst="0" w:colLast="0" w:name="_rz67zna1l2fc" w:id="3"/>
      <w:bookmarkEnd w:id="3"/>
      <w:r w:rsidDel="00000000" w:rsidR="00000000" w:rsidRPr="00000000">
        <w:rPr>
          <w:rtl w:val="0"/>
        </w:rPr>
        <w:t xml:space="preserve">Self-Identification and the Flip to Othering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A distinct and diagnostically important pathway to outgroup construction runs through self-identification rather than externally imposed categorization. The sequence is: identification, solidarity, boundary hardening, othering.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A group names itself to coordinate, to build collective identity, and to advocate for shared interests. This initial function is not pathological. It is how political coalitions, civic associations, and democratic movements form and sustain themselves. The diagnostic inflection point occurs when the self-label stops being primarily defined by internal shared values and starts being primarily defined by opposition to the other side. At this transition, the identity has flipped function. It is no longer organized around what the group believes or wants. It is organized around what the group is not and who it is against.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Once an identity becomes primarily oppositional, the outgroup is no longer a byproduct of the coalition. It becomes load-bearing infrastructure for the coalition itself. Remove the enemy and the organizing principle dissolves. This creates a structural incentive to continuously reinforce and escalate the threat posed by the other side, regardless of whether the underlying policy disagreements actually warrant that escalation. The rhetoric must intensify to sustain the cohesion even when the substantive differences do not grow correspondingly.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This dynamic is diagnostically observable when a political party's platform becomes progressively hollowed out while its rhetoric about the opposing side intensifies. The substantive policy content, the empowerment flows the coalition claims to be pursuing, becomes secondary to the oppositional framing. At that point the party is exhibiting the same structural pathology as a state that manufactures ethnic enemies, operating at a different scale and with different instruments but through identical psychological and political machinery.</w:t>
      </w:r>
    </w:p>
    <w:p w:rsidR="00000000" w:rsidDel="00000000" w:rsidP="00000000" w:rsidRDefault="00000000" w:rsidRPr="00000000" w14:paraId="00000021">
      <w:pPr>
        <w:pStyle w:val="Heading3"/>
        <w:spacing w:after="150" w:line="275.9999942779541" w:lineRule="auto"/>
        <w:rPr/>
      </w:pPr>
      <w:bookmarkStart w:colFirst="0" w:colLast="0" w:name="_xmoovmf8k3st" w:id="4"/>
      <w:bookmarkEnd w:id="4"/>
      <w:r w:rsidDel="00000000" w:rsidR="00000000" w:rsidRPr="00000000">
        <w:rPr>
          <w:rtl w:val="0"/>
        </w:rPr>
        <w:t xml:space="preserve">The Distinction Between Healthy and Pathological Naming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framework must distinguish between naming that is self-sustaining and naming that is adversarially dependent. Healthy naming: the identity coheres around shared values, shared interests, or shared experiences and does not require the continuous reinforcement of an external threat to maintain solidarity. Pathological naming: the identity requires an enemy to remain coherent, and the threat posed by that enemy must be continuously escalated to sustain the coalition as other sources of cohesion atrophy.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This distinction is diagnostically difficult because from inside an oppositionally defined identity, the threat always feels real and the othering always feels like an accurate response to genuine danger. The framework does not adjudicate whether the threat is real. A real threat can still generate a pathological response architecture if the institutional mechanisms for addressing it have failed. The diagnostic question is always structural: does the system require the threat to function? If yes, the system is in the pathological configuration regardless of whether the threat is accurately characterized.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rtl w:val="0"/>
        </w:rPr>
      </w:r>
    </w:p>
    <w:p w:rsidR="00000000" w:rsidDel="00000000" w:rsidP="00000000" w:rsidRDefault="00000000" w:rsidRPr="00000000" w14:paraId="00000025">
      <w:pPr>
        <w:pStyle w:val="Heading3"/>
        <w:spacing w:after="150" w:line="275.9999942779541" w:lineRule="auto"/>
        <w:rPr/>
      </w:pPr>
      <w:bookmarkStart w:colFirst="0" w:colLast="0" w:name="_dmy87q2zk8eo" w:id="5"/>
      <w:bookmarkEnd w:id="5"/>
      <w:r w:rsidDel="00000000" w:rsidR="00000000" w:rsidRPr="00000000">
        <w:rPr>
          <w:rtl w:val="0"/>
        </w:rPr>
        <w:t xml:space="preserve">The Psychological Engine of Polarization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Othering functions as the psychological engine of polarization and serves as the primary operational mechanism for systemic agency extraction once the naming infrastructure is established. It involves consolidating a simplistic, emotionally resonant binary: a virtuous, deserving in-group versus a dangerous, inferior, or threatening out-group. This transformation successfully converts political disagreement, resource scarcity, or systemic failure into an existential conflict that resists institutional resolution precisely because existential conflicts cannot be negotiated through the mechanisms designed for ordinary political disagreement.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process operates sequentially: categorization of a group based on perceived or assigned differences, identification of that group as a direct threat to in-group survival or wellbeing, and the construction of policy justifications that treat differential treatment as protective necessity rather than extraction. Once this infrastructure is established, the socio-political system can justify the disproportionate restriction of the outgroup's agency, and the restriction generates political capital for the in-group leadership that deployed the construction.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Modern media and political discourse accelerate each stage of this sequence. Refugees are framed through disaster metaphors: invasion, flood, influx. Disabled individuals are framed as systemic burdens. Political protestors are branded as terrorists or extremists. Billionaires are framed as parasitic extractors of public wealth. The linguistic framing is not merely rhetorical. It is structural infrastructure preceding policy implementation, making it politically impossible for those categorized to participate in the institutions ostensibly designed to represent them.</w:t>
      </w:r>
    </w:p>
    <w:p w:rsidR="00000000" w:rsidDel="00000000" w:rsidP="00000000" w:rsidRDefault="00000000" w:rsidRPr="00000000" w14:paraId="00000029">
      <w:pPr>
        <w:pStyle w:val="Heading3"/>
        <w:spacing w:after="150" w:line="275.9999942779541" w:lineRule="auto"/>
        <w:rPr/>
      </w:pPr>
      <w:bookmarkStart w:colFirst="0" w:colLast="0" w:name="_rtvrhmm8chi6" w:id="6"/>
      <w:bookmarkEnd w:id="6"/>
      <w:r w:rsidDel="00000000" w:rsidR="00000000" w:rsidRPr="00000000">
        <w:rPr>
          <w:rtl w:val="0"/>
        </w:rPr>
        <w:t xml:space="preserve">The Agency Restriction Model in Policy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practical application of established othering constructions is observable through the agency restriction model. Systemic and bureaucratic forces, rather than individual deficits, forcefully restrict a categorized subject's capacity to act. Bureaucratic fractioning combines with hostile discourse to create frozen categories, in which individuals are defined entirely by their group membership and denied the capacity for self-presentation or individual negotiation with institutional power.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The conditionality systems applied to welfare recipients, refugees, and unemployed populations represent the purest operational form of this mechanism. These systems force regulators and the public to assume deviance or the need for paternalistic control, effectively treating systemic economic outcomes as moral failures of the categorized group. This conditionality is simultaneously an extraction mechanism and a reinforcement mechanism: it extracts agency from the marginalized while continuously regenerating the evidence base for their othered status, creating a self-sustaining cycle that is structurally difficult to interrupt through ordinary institutional reform.</w:t>
      </w:r>
    </w:p>
    <w:p w:rsidR="00000000" w:rsidDel="00000000" w:rsidP="00000000" w:rsidRDefault="00000000" w:rsidRPr="00000000" w14:paraId="0000002C">
      <w:pPr>
        <w:pStyle w:val="Heading3"/>
        <w:spacing w:after="150" w:line="275.9999942779541" w:lineRule="auto"/>
        <w:rPr/>
      </w:pPr>
      <w:bookmarkStart w:colFirst="0" w:colLast="0" w:name="_uzkbbup8ex7e" w:id="7"/>
      <w:bookmarkEnd w:id="7"/>
      <w:r w:rsidDel="00000000" w:rsidR="00000000" w:rsidRPr="00000000">
        <w:rPr>
          <w:rtl w:val="0"/>
        </w:rPr>
        <w:t xml:space="preserve">Diagnostic Questions for Analysts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When applying this dimension, the analyst must ask the following sequence of questions, in order: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Does the system require outgroup construction to justify its current policy logic? If yes, the system is exhibiting Dimension II pathology regardless of the direction of the targeting or the empirical accuracy of the characterization.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Is the outgroup construction externally imposed on a vulnerable population, or does it follow from a self-identification that has crossed into oppositional dependency? Both are pathological but they generate different collapse trajectories and require different resilience mechanisms.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What attributes are being assigned to the named group, and do those attributes construct an adversarial relationship as their primary content? Attributes that define the group primarily by threat posed to the in-group rather than by characteristics intrinsic to the group itself indicate that the construction is adversarially dependent.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What institutional mechanisms existed to address the underlying structural problem that the outgroup construction is now being used to justify, and why did those mechanisms fail? The outgroup label is always downstream of an institutional failure. Identifying that failure is the path to the actual diagnostic finding.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color w:val="1f1f1f"/>
        </w:rPr>
      </w:pPr>
      <w:r w:rsidDel="00000000" w:rsidR="00000000" w:rsidRPr="00000000">
        <w:rPr>
          <w:color w:val="1f1f1f"/>
          <w:rtl w:val="0"/>
        </w:rPr>
        <w:t xml:space="preserve">If the policy relies on the continuous construction and reinforcement of a targeted outgroup, it is extracting agency from the categorized population to subsidize the political or economic capital of the dominant coalition. The direction of that extraction, the moral justification offered for it, and the empirical validity of the characterization are all secondary to the structural finding: a system that requires an outgroup is a system that has lost the capacity to solve its problems through the mechanisms it built for exactly that purpose.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Dimension III: The Ethical and Moral Topography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dimension requires a rigorous examination of whether the situation, policy, or systemic shift is ethical or moral. Within the Agency Calculus framework, morality is not evaluated through subjective cultural mores, but through the structural integrity of fiduciary care, the presence of epistemic justice, and the transparent alignment of regulatory heuristics.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Fiduciary Care versus Epistemic Clientelism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institutional level, ethical governance requires a relationship of fiduciary trust between the system and its constituents. A system becomes deeply unethical when it abandons this mandate and engages in "epistemic clientelism" or an "optocratic drift".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In domains spanning higher education, public administration, and corporate governance, this drift occurs when institutions replace relational trust with hypervigilance, continuous surveillance, and a managerial aesthetic that values compliance over truth.</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pedagogy of fear converts fiduciary care into a mechanism of control.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this context, silence or compliance in the face of systemic distortion is not neutrality; it is a symptom of cognitive dissonance and a quiet breach of reciprocity.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An ethical policy preserves the power of voice and requires that this power be exercised with honesty. When an agency or system implicitly requires its members, employees, or citizens to withhold truth in polite complicity, it violates the moral baseline of the Agency Calculus.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Heuristics and the Deference Doctrines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Ethical assessments must also account for the use of moral heuristics in regulatory decision-making.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In the realm of environmental justice, moral framing can significantly alter the ethical landscape of a policy. Ethical application of these policies avoids forcing regulators to assume harm solely on the basis of race, thereby navigating the complex terrain of the Equal Protection Clause (as seen in cases like </w:t>
      </w:r>
      <w:r w:rsidDel="00000000" w:rsidR="00000000" w:rsidRPr="00000000">
        <w:rPr>
          <w:rFonts w:ascii="Arial" w:cs="Arial" w:eastAsia="Arial" w:hAnsi="Arial"/>
          <w:i w:val="1"/>
          <w:iCs w:val="1"/>
          <w:color w:val="1f1f1f"/>
          <w:rtl w:val="0"/>
        </w:rPr>
        <w:t xml:space="preserve">Adarand</w:t>
      </w:r>
      <w:r w:rsidDel="00000000" w:rsidR="00000000" w:rsidRPr="00000000">
        <w:rPr>
          <w:rFonts w:ascii="Arial" w:cs="Arial" w:eastAsia="Arial" w:hAnsi="Arial"/>
          <w:color w:val="1f1f1f"/>
          <w:rtl w:val="0"/>
        </w:rPr>
        <w:t xml:space="preserve">), while still actively addressing the disproportionate impacts of environmental hazards on marginalized communities.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However, the deliberate effort by regulatory bodies to adopt a generalized concern for "all people"—moving away from targeted affirmative policies—can serve as an unethical heuristic that dilutes the unique meaning of justice and obfuscates the continued, localized extraction of agency from vulnerable populations.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revival of virtue ethics in administrative law challenges the neoclassical structures of judicial deference. Historically, the </w:t>
      </w:r>
      <w:r w:rsidDel="00000000" w:rsidR="00000000" w:rsidRPr="00000000">
        <w:rPr>
          <w:rFonts w:ascii="Arial" w:cs="Arial" w:eastAsia="Arial" w:hAnsi="Arial"/>
          <w:i w:val="1"/>
          <w:iCs w:val="1"/>
          <w:color w:val="1f1f1f"/>
          <w:rtl w:val="0"/>
        </w:rPr>
        <w:t xml:space="preserve">Seminole Rock/Auer</w:t>
      </w:r>
      <w:r w:rsidDel="00000000" w:rsidR="00000000" w:rsidRPr="00000000">
        <w:rPr>
          <w:rFonts w:ascii="Arial" w:cs="Arial" w:eastAsia="Arial" w:hAnsi="Arial"/>
          <w:color w:val="1f1f1f"/>
          <w:rtl w:val="0"/>
        </w:rPr>
        <w:t xml:space="preserve"> doctrine granted immense deference to an agency's interpretation of its own ambiguous regulations.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An unqualified version of this deference allows agencies to arbitrage differing standards of review, promulgating vague regulations through public notice-and-comment procedures, only to do the real, substantive policy work through less formal, opaque interpretations later.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regulatory arbitrage is an ethical failure, as it circumvents public scrutiny. A 21st-century application of the Agency Calculus argues for a </w:t>
      </w:r>
      <w:r w:rsidDel="00000000" w:rsidR="00000000" w:rsidRPr="00000000">
        <w:rPr>
          <w:rFonts w:ascii="Arial" w:cs="Arial" w:eastAsia="Arial" w:hAnsi="Arial"/>
          <w:i w:val="1"/>
          <w:iCs w:val="1"/>
          <w:color w:val="1f1f1f"/>
          <w:rtl w:val="0"/>
        </w:rPr>
        <w:t xml:space="preserve">Skidmore</w:t>
      </w:r>
      <w:r w:rsidDel="00000000" w:rsidR="00000000" w:rsidRPr="00000000">
        <w:rPr>
          <w:rFonts w:ascii="Arial" w:cs="Arial" w:eastAsia="Arial" w:hAnsi="Arial"/>
          <w:color w:val="1f1f1f"/>
          <w:rtl w:val="0"/>
        </w:rPr>
        <w:t xml:space="preserve">-grounded approach, viewing the regulatory author's claims with a less deferential gaze and demanding transparent intentionality.</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Epistemic Injustice and Algorithmic Knowledge Harm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rapid integration of complex socio-technical systems, particularly generative artificial intelligence, introduces unprecedented vectors for ethical failure, primarily through the mechanism of "epistemic injustice." Drawing on the canonical frameworks of Miranda Fricker and Kristie Dotson, epistemic injustice occurs when a system structurally diminishes a subject's capacity as a knower.</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probabilistic compression of knowledge within Large Language Models marginalizes minority epistemic frameworks through a dynamic process that actively widens existing hermeneutical gaps.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Because these systems operate as "stochastic parrots," generating plausible narrative fluency without computational grounding or factual tethering, they create what the framework defines as "Algorithmic Gettier Cases".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are instances in which an AI system's output is accidentally true yet epistemically defective because the reasoning process is opaque, hallucinatory, or biased.</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ethical socio-technical system requires testimonial transparency, hermeneutical pluralism, competence preservation, and strict structural accountability.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If a policy mandates the deployment of probabilistic generation without deterministic, verifiable grounding, it systematically erodes collective epistemic competence. It commits epistemic violence by prioritizing operational scale over the user's right to comprehend the systems governing their lives, rendering the deployment deeply unethical under the Agency Calculus.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Dimension IV: The Trajectory of the Collapse Cycle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fourth dimension of the lens situates the policy, institution, or system within the historical macro-cycle of societal collapse. Human history does not follow a relentless, inevitable trend toward ever-greater complexity and unbroken prosperity. The process of rapid rise and catastrophic collapse is a recurrent cycle heavily documented in the histories of the Roman Empire, the Minoan and Mycenaean civilizations, and the ancient societies of Mesopotamia.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Agency Calculus lens utilizes the parameters of structural demographic theory (pioneered by Peter Turchin) and the Human and Nature Dynamics (HANDY) mathematical model to identify whether a modern system is conforming to the predictors of civilizational breakdown.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Economic Stratification and Ecological Strain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HANDY model demonstrates that two distinct, measurable features can independently lead to the irreversible collapse of a complex society: Ecological Strain (the depletion of resources beyond the environment's carrying capacity) and Economic Stratification (the rigid division of society into Elites and Commoners).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applying the Agency Calculus lens, the analyst maps the movement of agency directly onto the flow of wealth, energy, and resources. In a pre-collapse system, elites accumulate wealth and systemic agency at an accelerating rate, utilizing their resources to shield themselves from the immediate consequences of ecological or systemic strain.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Conversely, the commoners experience severe agency extraction, as their labor and resources are heavily siphoned to maintain the elite's expanding societal complexity.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dynamic aligns perfectly with Joseph Tainter's theory of diminishing returns on complexity. Tainter posits that as a society encounters problems—such as resource scarcity or social unrest—it responds by creating more complex bureaucratic, military, and technological systems.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For a time, this complexity yields positive returns. Eventually, however, the marginal cost of maintaining this massive administrative and infrastructural complexity exceeds the energetic and economic returns.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society begins consuming its own capital to survive, leading to a precipitous collapse often lasting centuries.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Late-Stage Collapse Indicators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Agency Calculus identifies specific policy markers that indicate a system has entered the late, "winter" stage of the civilizational cycle, to borrow Oswald Spengler's terminology.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Spengler noted that individuals of one civilizational season cannot embody the spirit of another; the rigid, bureaucratic, and highly stratified mindset of a pre-collapse society cannot organically generate the innovative "spring" of a rising civilization.</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creation and persecution of a targeted out-group (as extensively explored in Dimension II) is not merely a political anomaly or a failure of modern enlightenment; it is a predictable, mathematical prelude to the restriction of rights and freedoms characteristic of late-stage collapse.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the system loses its ability to generate actual wealth or genuine solutions to ecological strain, it manufactures existential conflicts to maintain elite cohesion and distract the commoners from the collapsing carrying capacity.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Peter Turchin's concept of "elite overproduction" is a critical indicator.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As population grows and complexity increases, more individuals vie for a limited number of elite positions. This intense competition tears the political fabric apart, leading to extreme polarization, factionalism, and systemic state breakdown.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If a policy heavily subsidizes elite accumulation while implementing agency-restricting austerity or conditionality on the broader population, the policy is actively driving the system along the collapse cycle. The model shows that collapse can only be avoided, and population can reach a steady state, if the rate of resource depletion is reduced to a sustainable level and resources—including the vital resource of agency—are distributed equitably.</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Collapse Cycle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Systemic Manifestation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Agency Calculus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Ecological Overshoot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Consumption of biological, financial, or cognitive resources beyond the replacement rate.</w:t>
            </w:r>
            <w:r w:rsidDel="00000000" w:rsidR="00000000" w:rsidRPr="00000000">
              <w:rPr>
                <w:rFonts w:ascii="Arial" w:cs="Arial" w:eastAsia="Arial" w:hAnsi="Arial"/>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system extracts future agency to subsidize present, unsustainable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Elite Overproduction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Intense competition for elite status, institutional gridlock, political factionalism.</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Agency is trapped in systemic friction; elite infighting results in zero-sum wealth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Outgroup Persecution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Dehumanizing rhetoric, punitive legislation against targeted minorities.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late-stage mechanism to forcibly extract agency to maintain dominant group cohesion.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Diminishing Returns on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Exponentially increased administrative burden without corresponding societal benefit.</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Bureaucratic fractioning and "cognitive sludge" completely neutralize commoner agency.</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Dimension V: The Erosion of Epistemic Health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final, and arguably most critical, dimension of the modern Agency Calculus lens is the exhaustive evaluation of Epistemic Health. Epistemic health is defined as a measure of how well an entity—be it an individual, family, community, network, or nation—is functioning with regard to various epistemic goods and ideals, such as possessing true beliefs, demonstrating robust falsifiability, and being disposed to make reliable inferences.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Epistemic Immunity and Epistemic Debt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an extractive policy, polarizing narrative, or opaque technology is deployed, it directly impacts the epistemic health of the population. One mechanism is the creation of "epistemic immunity," wherein social, political, or cultural processes cause an entity to become highly resistant to engaging in certain epistemic activities, such as questioning dominant narratives, believing alternative sources, or making certain logical inferences.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While a degree of epistemic immunity can protect a population against malicious propaganda (often termed "epistemic inoculation"), it can easily calcify into dogmatic polarization.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creates filter bubbles and echo chambers that replace expert consensus with disinformation, severely degrading the epistemic network.</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More insidiously, modern technical and governance systems accumulate massive "Epistemic Debt." Much like national financial debt or software technical debt, epistemic debt imposes a crushing burden on the future.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is the cognitive sludge that clogs the gears of democracy, paralyzing collective problem-solving and making populations highly vulnerable to manipulation.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the context of generative AI and complex software development, epistemic debt is accumulated when organizations deploy autonomous systems whose internal logic cannot be audited, verified, or comprehended by human operators.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 system remains functional on the surface, but human comprehension is quietly bankrupted. The liabilities are no longer encoded in messy code; they live in places humans cannot see or audit.</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debt is empirically quantified through proxies such as "Corrective Competence." In controlled studies of generative AI-scaffolded programming, developers who rely heavily on AI to build a system demonstrate a profound inability to recognize and repair structural regressions (referred to as "Logic Bombs") in their own code.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Because they skipped the cognitive discipline of writing the logic, their repair success plummets and time-to-fix skyrockets. The failure to resolve these regressions serves as a direct proxy for the epistemic debt accumulated during the system's initial construction.</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Interaction Debt and the Liar's Dividend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Epistemic debt converts informational uncertainty directly into uncompensated user labor, resulting in "Interaction Debt".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When an AI system or a highly complex bureaucratic interface does not match how users naturally structure tasks, the user must expend massive cognitive effort to adapt their workflow to the system.</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This cognitive load is amplified by cultural misalignment and unpredictable model behavior, causing severe frustration and a degradation of the user's localized agency.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Trust calibration—aligning user trust with an AI system's actual reliability—imposes immense cognitive costs because users must evaluate outputs in the complete absence of clear reliability indicators.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 a macro-societal level, the unchecked accumulation of epistemic debt triggers the "Liar's Dividend." As generative AI rapidly diminishes the skill barrier for fraud—producing deepfake executive communications, targeted confidence erosion, and artificial consensus—authentic evidence can easily be dismissed by bad actors as potentially fake.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paradigm collapses trust in media, scientific institutions, and regulatory bodies, eroding the epistemic commons required for democratic deliberation.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timelines and information channels flood with synthetic generation, both ranking algorithms and human users retreat to primitive trust proxies: follower counts, legacy clout, and political elites.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public sphere contracts from a pluralistic, many-to-many dialogue back to a few-to-many broadcast, further eroding democratic agency and encouraging cynicism.</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Addressing this requires a transition to the "Verification Economy," where formal verification provides 100% guarantees of bug absence and cryptographic verification replaces social trust, making reality fundamentally harder to fake by imposing physics-like constraints on information.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Measuring Epistemic Vulnerability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operationalize the assessment of epistemic health at the national or systemic level, the lens utilizes the Epistemic Vulnerability (EV) Index.</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Disinformation and distrust in media are related but distinct components of a system's epistemic health. The EV index incorporates a third crucial component: the internal mental state of citizens, specifically their feelings of disorientation as they perceive true and false claims in circulation.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65">
      <w:pPr>
        <w:spacing w:after="240" w:before="240" w:line="275.9999942779541" w:lineRule="auto"/>
        <w:ind w:left="0" w:firstLine="0"/>
        <w:rPr>
          <w:color w:val="1f1f1f"/>
        </w:rPr>
      </w:pPr>
      <w:r w:rsidDel="00000000" w:rsidR="00000000" w:rsidRPr="00000000">
        <w:rPr>
          <w:color w:val="1f1f1f"/>
          <w:rtl w:val="0"/>
        </w:rPr>
        <w:t xml:space="preserve">The Epistemic Vulnerability of a system is most commonly operationalized in the literature as an additive function of three individual-level measures averaged to the country level: perceived misinformation frequency (F), inverted institutional trust (T⁻¹), and felt disorientation (D). However, the additive formulation carries an implicit assumption of substitutability -- that a population can offset extreme misinformation exposure through sufficiently high trust, or compensate for total institutional collapse through a sense of epistemic orientation. This assumption is inconsistent with the foundational mathematical architecture of the Agency Calculus, in which systemic vulnerability is bottleneck-determined rather than compensable.</w:t>
      </w:r>
    </w:p>
    <w:p w:rsidR="00000000" w:rsidDel="00000000" w:rsidP="00000000" w:rsidRDefault="00000000" w:rsidRPr="00000000" w14:paraId="00000066">
      <w:pPr>
        <w:spacing w:after="240" w:before="240" w:line="275.9999942779541" w:lineRule="auto"/>
        <w:ind w:left="0" w:firstLine="0"/>
        <w:rPr>
          <w:color w:val="1f1f1f"/>
        </w:rPr>
      </w:pPr>
      <w:r w:rsidDel="00000000" w:rsidR="00000000" w:rsidRPr="00000000">
        <w:rPr>
          <w:color w:val="1f1f1f"/>
          <w:rtl w:val="0"/>
        </w:rPr>
        <w:t xml:space="preserve">Accordingly, this framework proposes replacing the additive EV formulation with a harmonic mean aggregation:</w:t>
      </w:r>
    </w:p>
    <w:p w:rsidR="00000000" w:rsidDel="00000000" w:rsidP="00000000" w:rsidRDefault="00000000" w:rsidRPr="00000000" w14:paraId="00000067">
      <w:pPr>
        <w:spacing w:after="240" w:before="240" w:line="275.9999942779541" w:lineRule="auto"/>
        <w:ind w:left="570" w:firstLine="0"/>
        <w:rPr>
          <w:b w:val="1"/>
          <w:bCs w:val="1"/>
          <w:color w:val="1f1f1f"/>
        </w:rPr>
      </w:pPr>
      <w:r w:rsidDel="00000000" w:rsidR="00000000" w:rsidRPr="00000000">
        <w:rPr>
          <w:b w:val="1"/>
          <w:bCs w:val="1"/>
          <w:color w:val="1f1f1f"/>
          <w:rtl w:val="0"/>
        </w:rPr>
        <w:t xml:space="preserve">EV = 3 / (1/F + 1/T⁻¹ + 1/D)</w:t>
      </w:r>
    </w:p>
    <w:p w:rsidR="00000000" w:rsidDel="00000000" w:rsidP="00000000" w:rsidRDefault="00000000" w:rsidRPr="00000000" w14:paraId="00000068">
      <w:pPr>
        <w:spacing w:after="240" w:before="240" w:line="275.9999942779541" w:lineRule="auto"/>
        <w:ind w:left="570" w:firstLine="0"/>
        <w:rPr>
          <w:color w:val="1f1f1f"/>
        </w:rPr>
      </w:pPr>
      <w:r w:rsidDel="00000000" w:rsidR="00000000" w:rsidRPr="00000000">
        <w:rPr>
          <w:rtl w:val="0"/>
        </w:rPr>
      </w:r>
    </w:p>
    <w:p w:rsidR="00000000" w:rsidDel="00000000" w:rsidP="00000000" w:rsidRDefault="00000000" w:rsidRPr="00000000" w14:paraId="00000069">
      <w:pPr>
        <w:spacing w:after="240" w:before="240" w:line="275.9999942779541" w:lineRule="auto"/>
        <w:ind w:left="0" w:firstLine="0"/>
        <w:rPr>
          <w:rFonts w:ascii="Arial" w:cs="Arial" w:eastAsia="Arial" w:hAnsi="Arial"/>
          <w:color w:val="444746"/>
          <w:sz w:val="24"/>
          <w:szCs w:val="24"/>
          <w:vertAlign w:val="superscript"/>
        </w:rPr>
      </w:pPr>
      <w:r w:rsidDel="00000000" w:rsidR="00000000" w:rsidRPr="00000000">
        <w:rPr>
          <w:color w:val="1f1f1f"/>
          <w:rtl w:val="0"/>
        </w:rPr>
        <w:t xml:space="preserve">The harmonic mean is parameter-free, bottleneck-sensitive, and differentiable. When any single component approaches its minimum -- meaning a population retains strong institutional trust, accurate epistemic orientation, or low misinformation exposure -- the composite EV score remains low even if the other components are elevated. Conversely, simultaneous moderate degradation across all three dimensions produces a disproportionate increase in the composite score, correctly reflecting the empirical dynamics of epistemic collapse in which no single dimension fails in isolation. This correction aligns the EV Index with the Horizon Index formalism developed elsewhere in the AC framework, in which pair-level aggregation uses harmonic mean rather than weighted sum precisely to preserve this bottleneck property. A policy that increases EV under this formulation is unambiguously extracting epistemic agency from the population: there is no compensating mechanism available.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policy that increases the </w:t>
      </w:r>
      <w:r w:rsidDel="00000000" w:rsidR="00000000" w:rsidRPr="00000000">
        <w:rPr>
          <w:b w:val="1"/>
          <w:bCs w:val="1"/>
          <w:color w:val="1f1f1f"/>
          <w:sz w:val="28"/>
          <w:szCs w:val="28"/>
          <w:rtl w:val="0"/>
        </w:rPr>
        <w:t xml:space="preserve">EV</w:t>
      </w:r>
      <w:r w:rsidDel="00000000" w:rsidR="00000000" w:rsidRPr="00000000">
        <w:rPr>
          <w:rFonts w:ascii="Arial" w:cs="Arial" w:eastAsia="Arial" w:hAnsi="Arial"/>
          <w:color w:val="1f1f1f"/>
          <w:rtl w:val="0"/>
        </w:rPr>
        <w:t xml:space="preserve"> index is actively extracting epistemic agency from the population, rendering them highly susceptible to authoritarian control or the aforementioned collapse dynamics. Conversely, a healthy system requires structural defenses: interoperable "pro-user media" architectures that prioritize user well-being over viral engagement, proactive education, and sustained investment to monitor and adapt to systemic vulnerabilities.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Operationalizing the Framework: Analytical Proxies and Systemic Modeling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move from theoretical diagnosis to empirical application, the Agency Calculus lens must be operationalized using advanced proxy metrics and complex computational modeling. Evaluating the movement of agency, the erosion of epistemic health, and the trajectory toward collapse cannot be achieved through qualitative observation alone; it requires the rigorous application of defined indices, Agent-Based Modeling, and System Dynamics.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Establishing Proxy Metrics for Agency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agency is invisible, it must be measured through proxy indicators. In developmental economics, the Human Development Index (HDI) serves as a baseline, attempting to shift the focus from mere economic growth to human capabilities, utilizing life expectancy, expected years of schooling, and the logarithm of Gross National Income (GNI) per capita.</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However, the HDI notoriously fails to directly measure empowerment or agency, necessitating the use of supplementary indices to capture the full picture of systemic human security.</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political science and psychology, several highly reliable proxies exist to measure the flow of agency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Analytical Proxy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Indicators and Scales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Measurement Utility within the Agency Calculus Lens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Individual Political Efficacy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Self-assessed political sophistication, self-declared interest in politics, and accurate party placement capability.</w:t>
            </w:r>
            <w:r w:rsidDel="00000000" w:rsidR="00000000" w:rsidRPr="00000000">
              <w:rPr>
                <w:rFonts w:ascii="Arial" w:cs="Arial" w:eastAsia="Arial" w:hAnsi="Arial"/>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Measures the degree to which individuals feel their agency has been preserved or extracted by the political system. Low internal efficacy indicates severe, systemic agency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Proxy Agency Dynamics (Corporate)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Shareholder proposals (e.g., CPA-Zicklin score targeting), frequency of 14a-8 proposal withdrawals following private corporate negotiations.</w:t>
            </w:r>
            <w:r w:rsidDel="00000000" w:rsidR="00000000" w:rsidRPr="00000000">
              <w:rPr>
                <w:rFonts w:ascii="Arial" w:cs="Arial" w:eastAsia="Arial" w:hAnsi="Arial"/>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Analyzes how collective bodies utilize "proxy agents" to enforce transparency, tracking the flow of agency between corporate boards and active investors. Highlights systemic targeting based on disclosure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Sense of Agency Scale (SoAS)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Sense of Positive Agency (SoPA) and Sense of Negative Agency (SoNA) metrics.</w:t>
            </w:r>
            <w:r w:rsidDel="00000000" w:rsidR="00000000" w:rsidRPr="00000000">
              <w:rPr>
                <w:rFonts w:ascii="Arial" w:cs="Arial" w:eastAsia="Arial" w:hAnsi="Arial"/>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a generalized, context-free psychological measurement of a population's core belief in their own agency. Isolates baseline autonomy from specific, contextualized perceptual events.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Corrective Competence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Repair Success (resolved vs. unresolved rates) and Time-to-Fix metrics when facing Logic Bombs.</w:t>
            </w:r>
            <w:r w:rsidDel="00000000" w:rsidR="00000000" w:rsidRPr="00000000">
              <w:rPr>
                <w:rFonts w:ascii="Arial" w:cs="Arial" w:eastAsia="Arial" w:hAnsi="Arial"/>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Directly quantifies Epistemic Debt. Measures the degree to which a user or operator has lost comprehension of the system they are commanding.</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applying the lens to a specific policy, an analyst maps the flow using these proxies. For example, if a new digital infrastructure policy is enacted, does the Sense of Positive Agency (SoPA) among the user base increase, or does the policy necessitate reliance on proxy agents (legal representatives, algorithmic intermediaries) that centralize control?</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net flow of this measured autonomy dictates the baseline health of the system.</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Agent-Based Modeling and Simulation (ABMS)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Agent-Based Modeling and Simulation (ABMS) is a computational approach that represents complex social, economic, and political systems as collections of autonomous, decision-making entities called "agents".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By imbuing these agents with specific characteristics—such as metabolism, political efficacy, susceptibility to misinformation, and predefined behavioral rules utilizing Belief-Desire-Intention (BDI) frameworks—analysts can simulate how macro-level phenomena emerge from micro-level interactions.</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applying the Agency Calculus lens, ABMS is utilized to track the extraction of agency across a highly complex population. If a new regulatory policy restricts resource access or imposes high administrative burdens (interaction debt), the simulation will reveal how agents adapt, fail, or transfer their agency to proxy actors.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The models can be run thousands of times </w:t>
      </w:r>
      <w:r w:rsidDel="00000000" w:rsidR="00000000" w:rsidRPr="00000000">
        <w:rPr>
          <w:rFonts w:ascii="Arial" w:cs="Arial" w:eastAsia="Arial" w:hAnsi="Arial"/>
          <w:i w:val="1"/>
          <w:iCs w:val="1"/>
          <w:color w:val="1f1f1f"/>
          <w:rtl w:val="0"/>
        </w:rPr>
        <w:t xml:space="preserve">in silico</w:t>
      </w:r>
      <w:r w:rsidDel="00000000" w:rsidR="00000000" w:rsidRPr="00000000">
        <w:rPr>
          <w:rFonts w:ascii="Arial" w:cs="Arial" w:eastAsia="Arial" w:hAnsi="Arial"/>
          <w:color w:val="1f1f1f"/>
          <w:rtl w:val="0"/>
        </w:rPr>
        <w:t xml:space="preserve"> to predict whether a specific policy intervention will lead to a steady-state society or trigger the rapid economic stratification indicative of the HANDY collapse model.</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Dynamics (SD) and Hybrid Architectures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ABMS focuses on individual actors from the bottom up, System Dynamics (SD) provides a top-down, macro-level perspective utilizing feedback systems theory, circular causality, and stock-and-flow diagrams.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Invented by Jay W. Forrester, SD is uniquely suited for analyzing the dynamic problems arising in interdependent social, managerial, and ecological systems.</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context of the Agency Calculus, "Agency" and "Epistemic Health" are treated as accumulative stocks. The flows into these stocks represent empowerment, education, and institutional transparency. The flows out represent agency extraction, outgroup stigmatization, and the accumulation of epistemic debt.</w:t>
      </w:r>
    </w:p>
    <w:p w:rsidR="00000000" w:rsidDel="00000000" w:rsidP="00000000" w:rsidRDefault="00000000" w:rsidRPr="00000000" w14:paraId="00000087">
      <w:pPr>
        <w:spacing w:after="240" w:before="240" w:line="275.9999942779541" w:lineRule="auto"/>
        <w:rPr>
          <w:color w:val="1f1f1f"/>
        </w:rPr>
      </w:pPr>
      <w:r w:rsidDel="00000000" w:rsidR="00000000" w:rsidRPr="00000000">
        <w:rPr>
          <w:color w:val="1f1f1f"/>
          <w:rtl w:val="0"/>
        </w:rPr>
        <w:t xml:space="preserve">The net change in systemic agency (dA/dt) over a given period can be conceptualized as the integral of empowerment flows minus extractive flows, subject to a nonlinear threshold term that reflects the collapse dynamics identified in the HANDY model and confirmed in AC simulation experiments:</w:t>
      </w:r>
    </w:p>
    <w:p w:rsidR="00000000" w:rsidDel="00000000" w:rsidP="00000000" w:rsidRDefault="00000000" w:rsidRPr="00000000" w14:paraId="00000088">
      <w:pPr>
        <w:spacing w:after="24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dA/dt = ∫[E(t) − X(t) − ε(t)] · f(A, A_c)</w:t>
      </w:r>
    </w:p>
    <w:p w:rsidR="00000000" w:rsidDel="00000000" w:rsidP="00000000" w:rsidRDefault="00000000" w:rsidRPr="00000000" w14:paraId="00000089">
      <w:pPr>
        <w:spacing w:after="240" w:before="240" w:line="275.9999942779541" w:lineRule="auto"/>
        <w:rPr>
          <w:color w:val="1f1f1f"/>
        </w:rPr>
      </w:pPr>
      <w:r w:rsidDel="00000000" w:rsidR="00000000" w:rsidRPr="00000000">
        <w:rPr>
          <w:color w:val="1f1f1f"/>
          <w:rtl w:val="0"/>
        </w:rPr>
        <w:t xml:space="preserve">Where:</w:t>
      </w:r>
    </w:p>
    <w:p w:rsidR="00000000" w:rsidDel="00000000" w:rsidP="00000000" w:rsidRDefault="00000000" w:rsidRPr="00000000" w14:paraId="0000008A">
      <w:pPr>
        <w:numPr>
          <w:ilvl w:val="0"/>
          <w:numId w:val="1"/>
        </w:numPr>
        <w:spacing w:after="0" w:afterAutospacing="0" w:before="240" w:line="275.9999942779541" w:lineRule="auto"/>
        <w:ind w:left="720" w:hanging="360"/>
        <w:rPr>
          <w:color w:val="1f1f1f"/>
        </w:rPr>
      </w:pPr>
      <w:r w:rsidDel="00000000" w:rsidR="00000000" w:rsidRPr="00000000">
        <w:rPr>
          <w:b w:val="1"/>
          <w:bCs w:val="1"/>
          <w:color w:val="1f1f1f"/>
          <w:rtl w:val="0"/>
        </w:rPr>
        <w:t xml:space="preserve">E(t)</w:t>
      </w:r>
      <w:r w:rsidDel="00000000" w:rsidR="00000000" w:rsidRPr="00000000">
        <w:rPr>
          <w:color w:val="1f1f1f"/>
          <w:rtl w:val="0"/>
        </w:rPr>
        <w:t xml:space="preserve"> represents empowerment flows: policies or technologies that grant legible autonomy and capability to the user base.</w:t>
      </w:r>
    </w:p>
    <w:p w:rsidR="00000000" w:rsidDel="00000000" w:rsidP="00000000" w:rsidRDefault="00000000" w:rsidRPr="00000000" w14:paraId="0000008B">
      <w:pPr>
        <w:numPr>
          <w:ilvl w:val="0"/>
          <w:numId w:val="1"/>
        </w:numPr>
        <w:spacing w:after="0" w:afterAutospacing="0" w:before="0" w:beforeAutospacing="0" w:line="275.9999942779541" w:lineRule="auto"/>
        <w:ind w:left="720" w:hanging="360"/>
        <w:rPr>
          <w:color w:val="1f1f1f"/>
        </w:rPr>
      </w:pPr>
      <w:r w:rsidDel="00000000" w:rsidR="00000000" w:rsidRPr="00000000">
        <w:rPr>
          <w:b w:val="1"/>
          <w:bCs w:val="1"/>
          <w:color w:val="1f1f1f"/>
          <w:rtl w:val="0"/>
        </w:rPr>
        <w:t xml:space="preserve">X(t)</w:t>
      </w:r>
      <w:r w:rsidDel="00000000" w:rsidR="00000000" w:rsidRPr="00000000">
        <w:rPr>
          <w:color w:val="1f1f1f"/>
          <w:rtl w:val="0"/>
        </w:rPr>
        <w:t xml:space="preserve"> represents extractive flows: regulatory capture, wealth concentration by elites, or conditionality sanctions.</w:t>
      </w:r>
    </w:p>
    <w:p w:rsidR="00000000" w:rsidDel="00000000" w:rsidP="00000000" w:rsidRDefault="00000000" w:rsidRPr="00000000" w14:paraId="0000008C">
      <w:pPr>
        <w:numPr>
          <w:ilvl w:val="0"/>
          <w:numId w:val="1"/>
        </w:numPr>
        <w:spacing w:after="0" w:afterAutospacing="0" w:before="0" w:beforeAutospacing="0" w:line="275.9999942779541" w:lineRule="auto"/>
        <w:ind w:left="720" w:hanging="360"/>
        <w:rPr>
          <w:color w:val="1f1f1f"/>
        </w:rPr>
      </w:pPr>
      <w:r w:rsidDel="00000000" w:rsidR="00000000" w:rsidRPr="00000000">
        <w:rPr>
          <w:b w:val="1"/>
          <w:bCs w:val="1"/>
          <w:color w:val="1f1f1f"/>
          <w:rtl w:val="0"/>
        </w:rPr>
        <w:t xml:space="preserve">ε(t)</w:t>
      </w:r>
      <w:r w:rsidDel="00000000" w:rsidR="00000000" w:rsidRPr="00000000">
        <w:rPr>
          <w:color w:val="1f1f1f"/>
          <w:rtl w:val="0"/>
        </w:rPr>
        <w:t xml:space="preserve"> represents epistemic friction: the cognitive load, interaction debt, and disorientation imposed by opaque or unverified AI-driven systems.</w:t>
      </w:r>
    </w:p>
    <w:p w:rsidR="00000000" w:rsidDel="00000000" w:rsidP="00000000" w:rsidRDefault="00000000" w:rsidRPr="00000000" w14:paraId="0000008D">
      <w:pPr>
        <w:numPr>
          <w:ilvl w:val="0"/>
          <w:numId w:val="1"/>
        </w:numPr>
        <w:spacing w:after="240" w:before="0" w:beforeAutospacing="0" w:line="275.9999942779541" w:lineRule="auto"/>
        <w:ind w:left="720" w:hanging="360"/>
        <w:rPr>
          <w:color w:val="1f1f1f"/>
        </w:rPr>
      </w:pPr>
      <w:r w:rsidDel="00000000" w:rsidR="00000000" w:rsidRPr="00000000">
        <w:rPr>
          <w:b w:val="1"/>
          <w:bCs w:val="1"/>
          <w:color w:val="1f1f1f"/>
          <w:rtl w:val="0"/>
        </w:rPr>
        <w:t xml:space="preserve">f(A, A_c)</w:t>
      </w:r>
      <w:r w:rsidDel="00000000" w:rsidR="00000000" w:rsidRPr="00000000">
        <w:rPr>
          <w:color w:val="1f1f1f"/>
          <w:rtl w:val="0"/>
        </w:rPr>
        <w:t xml:space="preserve"> is a nonlinear modifier that captures threshold dynamics. When aggregate agency A remains well above the critical floor A_c, f approaches 1 and the system behaves approximately linearly. As A approaches A_c, f decreases sharply, reflecting the empirical finding that agency depletion accelerates near tipping points rather than degrading proportionally. Below A_c, positive feedback loops -- elite overproduction, epistemic collapse, outgroup persecution -- dominate and the linear flow terms no longer govern system behavior.</w:t>
      </w:r>
    </w:p>
    <w:p w:rsidR="00000000" w:rsidDel="00000000" w:rsidP="00000000" w:rsidRDefault="00000000" w:rsidRPr="00000000" w14:paraId="0000008E">
      <w:pPr>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This nonlinear formulation is not merely theoretical. Agent-based simulation experiments applying the SEVC firm-level architecture produce exactly this dynamic: floor depletion triggers compensatory objective dysfunction, in which the planning system optimizes measurable proxies while actual agency metrics collapse. The additive approximation dA/dt = ∫[E(t) − X(t) − ε(t)] is therefore valid as a first-order diagnostic tool in stable regimes but must be treated as a linearization that breaks down near systemic tipping points.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realize the diagnostic power of the Agency Calculus, analysts frequently employ hybrid models, combining the macroscopic feedback loops of SD with the microscopic behavioral algorithms of ABMS.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This hybrid approach allows analysts to observe both downward-causation (how macro-level policy shifts extract agency from individuals) and emergent properties (how localized loss of epistemic health bubbles up into systemic societal polarization and institutional distrust).</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Integrating these disparate simulation environments often requires overcoming profound data and middleware heterogeneity barriers, utilizing advanced interaction protocols like the High-Level Architecture (HLA) standard to ensure that the simulations interoperate functionally while maintaining strict nonfunctional requirements.</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inputting the proxy data into these integrated SD-ABMS architectures, the Agency Calculus transforms from a theoretical philosophy into a high-fidelity, predictive diagnostic tool capable of identifying structural rot before it manifests as systemic collapse.</w:t>
      </w:r>
    </w:p>
    <w:p w:rsidR="00000000" w:rsidDel="00000000" w:rsidP="00000000" w:rsidRDefault="00000000" w:rsidRPr="00000000" w14:paraId="00000091">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spacing w:after="120" w:before="480" w:line="275.9999942779541" w:lineRule="auto"/>
        <w:rPr>
          <w:color w:val="1f1f1f"/>
          <w:sz w:val="46"/>
          <w:szCs w:val="46"/>
        </w:rPr>
      </w:pPr>
      <w:bookmarkStart w:colFirst="0" w:colLast="0" w:name="_gps4m9zaql0j" w:id="8"/>
      <w:bookmarkEnd w:id="8"/>
      <w:r w:rsidDel="00000000" w:rsidR="00000000" w:rsidRPr="00000000">
        <w:rPr>
          <w:color w:val="1f1f1f"/>
          <w:sz w:val="46"/>
          <w:szCs w:val="46"/>
          <w:rtl w:val="0"/>
        </w:rPr>
        <w:t xml:space="preserve">Empirical Application of the Agency Calculus Diagnostic Lens</w:t>
      </w:r>
    </w:p>
    <w:p w:rsidR="00000000" w:rsidDel="00000000" w:rsidP="00000000" w:rsidRDefault="00000000" w:rsidRPr="00000000" w14:paraId="00000093">
      <w:pPr>
        <w:spacing w:after="240" w:before="240" w:line="275.9999942779541" w:lineRule="auto"/>
        <w:rPr>
          <w:color w:val="1f1f1f"/>
        </w:rPr>
      </w:pPr>
      <w:r w:rsidDel="00000000" w:rsidR="00000000" w:rsidRPr="00000000">
        <w:rPr>
          <w:color w:val="1f1f1f"/>
          <w:rtl w:val="0"/>
        </w:rPr>
        <w:t xml:space="preserve">To evaluate the empirical validity of the Agency Calculus framework, this section applies the five-dimension diagnostic lens to four major systemic disruptions across distinct historical and institutional contexts: the Late Roman Empire, the collapse of the Soviet Union, the 2008 global financial crisis, and the modern social media information ecosystem. These cases were selected because they represent structurally different systems—imperial governance, centralized planned economy, global financial infrastructure, and algorithmically mediated communication networks—allowing the framework to be stress-tested across domains.</w:t>
      </w:r>
    </w:p>
    <w:p w:rsidR="00000000" w:rsidDel="00000000" w:rsidP="00000000" w:rsidRDefault="00000000" w:rsidRPr="00000000" w14:paraId="00000094">
      <w:pPr>
        <w:spacing w:after="240" w:before="240" w:line="275.9999942779541" w:lineRule="auto"/>
        <w:rPr>
          <w:color w:val="1f1f1f"/>
        </w:rPr>
      </w:pPr>
      <w:r w:rsidDel="00000000" w:rsidR="00000000" w:rsidRPr="00000000">
        <w:rPr>
          <w:color w:val="1f1f1f"/>
          <w:rtl w:val="0"/>
        </w:rPr>
        <w:t xml:space="preserve">Each case is evaluated using the five diagnostic dimensions: (I) agency movement and extraction, (II) outgroup formation, (III) ethical governance structure, (IV) collapse-cycle indicators, and (V) epistemic health.</w:t>
      </w:r>
    </w:p>
    <w:p w:rsidR="00000000" w:rsidDel="00000000" w:rsidP="00000000" w:rsidRDefault="00000000" w:rsidRPr="00000000" w14:paraId="00000095">
      <w:pPr>
        <w:pStyle w:val="Heading2"/>
        <w:spacing w:after="150" w:line="275.9999942779541" w:lineRule="auto"/>
        <w:rPr/>
      </w:pPr>
      <w:bookmarkStart w:colFirst="0" w:colLast="0" w:name="_iju6mn9trdpi" w:id="9"/>
      <w:bookmarkEnd w:id="9"/>
      <w:r w:rsidDel="00000000" w:rsidR="00000000" w:rsidRPr="00000000">
        <w:rPr>
          <w:rtl w:val="0"/>
        </w:rPr>
        <w:t xml:space="preserve">Case Study 1: The Late Roman Empire</w:t>
      </w:r>
    </w:p>
    <w:p w:rsidR="00000000" w:rsidDel="00000000" w:rsidP="00000000" w:rsidRDefault="00000000" w:rsidRPr="00000000" w14:paraId="00000096">
      <w:pPr>
        <w:pStyle w:val="Heading2"/>
        <w:spacing w:after="80" w:before="360" w:line="275.9999942779541" w:lineRule="auto"/>
        <w:rPr>
          <w:color w:val="1f1f1f"/>
          <w:sz w:val="34"/>
          <w:szCs w:val="34"/>
        </w:rPr>
      </w:pPr>
      <w:bookmarkStart w:colFirst="0" w:colLast="0" w:name="_g7oh1blrdss1" w:id="10"/>
      <w:bookmarkEnd w:id="10"/>
      <w:r w:rsidDel="00000000" w:rsidR="00000000" w:rsidRPr="00000000">
        <w:rPr>
          <w:color w:val="1f1f1f"/>
          <w:sz w:val="34"/>
          <w:szCs w:val="34"/>
          <w:rtl w:val="0"/>
        </w:rPr>
        <w:t xml:space="preserve">Dimension I: Agency Movement and Extraction</w:t>
      </w:r>
    </w:p>
    <w:p w:rsidR="00000000" w:rsidDel="00000000" w:rsidP="00000000" w:rsidRDefault="00000000" w:rsidRPr="00000000" w14:paraId="00000097">
      <w:pPr>
        <w:spacing w:after="240" w:before="240" w:line="275.9999942779541" w:lineRule="auto"/>
        <w:rPr>
          <w:color w:val="1f1f1f"/>
        </w:rPr>
      </w:pPr>
      <w:r w:rsidDel="00000000" w:rsidR="00000000" w:rsidRPr="00000000">
        <w:rPr>
          <w:color w:val="1f1f1f"/>
          <w:rtl w:val="0"/>
        </w:rPr>
        <w:t xml:space="preserve">Historical scholarship consistently describes the late imperial period as one in which agency was increasingly concentrated within centralized state institutions while local civic autonomy deteriorated. Fiscal pressures led to the intensification of taxation and compulsory public service obligations, particularly among municipal elites responsible for tax collection and administration. These obligations became hereditary, trapping local officials within administrative roles and reducing civic autonomy.</w:t>
      </w:r>
    </w:p>
    <w:p w:rsidR="00000000" w:rsidDel="00000000" w:rsidP="00000000" w:rsidRDefault="00000000" w:rsidRPr="00000000" w14:paraId="00000098">
      <w:pPr>
        <w:spacing w:after="240" w:before="240" w:line="275.9999942779541" w:lineRule="auto"/>
        <w:rPr>
          <w:color w:val="1f1f1f"/>
        </w:rPr>
      </w:pPr>
      <w:r w:rsidDel="00000000" w:rsidR="00000000" w:rsidRPr="00000000">
        <w:rPr>
          <w:color w:val="1f1f1f"/>
          <w:rtl w:val="0"/>
        </w:rPr>
        <w:t xml:space="preserve">The imperial state simultaneously expanded bureaucratic oversight and military expenditures, shifting decision-making authority away from local governance structures toward imperial administrative apparatuses. This dynamic represents a clear instance of upward agency extraction within the Agency Calculus framework.</w:t>
      </w:r>
    </w:p>
    <w:p w:rsidR="00000000" w:rsidDel="00000000" w:rsidP="00000000" w:rsidRDefault="00000000" w:rsidRPr="00000000" w14:paraId="00000099">
      <w:pPr>
        <w:pStyle w:val="Heading2"/>
        <w:spacing w:after="80" w:before="360" w:line="275.9999942779541" w:lineRule="auto"/>
        <w:rPr>
          <w:color w:val="1f1f1f"/>
          <w:sz w:val="34"/>
          <w:szCs w:val="34"/>
        </w:rPr>
      </w:pPr>
      <w:bookmarkStart w:colFirst="0" w:colLast="0" w:name="_xkds6x5f9kue" w:id="11"/>
      <w:bookmarkEnd w:id="11"/>
      <w:r w:rsidDel="00000000" w:rsidR="00000000" w:rsidRPr="00000000">
        <w:rPr>
          <w:color w:val="1f1f1f"/>
          <w:sz w:val="34"/>
          <w:szCs w:val="34"/>
          <w:rtl w:val="0"/>
        </w:rPr>
        <w:t xml:space="preserve">Dimension II: Outgroup Formation</w:t>
      </w:r>
    </w:p>
    <w:p w:rsidR="00000000" w:rsidDel="00000000" w:rsidP="00000000" w:rsidRDefault="00000000" w:rsidRPr="00000000" w14:paraId="0000009A">
      <w:pPr>
        <w:spacing w:after="240" w:before="240" w:line="275.9999942779541" w:lineRule="auto"/>
        <w:rPr>
          <w:color w:val="1f1f1f"/>
        </w:rPr>
      </w:pPr>
      <w:r w:rsidDel="00000000" w:rsidR="00000000" w:rsidRPr="00000000">
        <w:rPr>
          <w:color w:val="1f1f1f"/>
          <w:rtl w:val="0"/>
        </w:rPr>
        <w:t xml:space="preserve">Late Roman society increasingly relied on rigid identity distinctions. Religious divisions between orthodox Christians, pagans, Jews, and various Christian sects were formalized through legal and political enforcement mechanisms. Imperial and ecclesiastical authorities often framed non-orthodox groups as threats to societal stability.</w:t>
      </w:r>
    </w:p>
    <w:p w:rsidR="00000000" w:rsidDel="00000000" w:rsidP="00000000" w:rsidRDefault="00000000" w:rsidRPr="00000000" w14:paraId="0000009B">
      <w:pPr>
        <w:spacing w:after="240" w:before="240" w:line="275.9999942779541" w:lineRule="auto"/>
        <w:rPr>
          <w:color w:val="1f1f1f"/>
        </w:rPr>
      </w:pPr>
      <w:r w:rsidDel="00000000" w:rsidR="00000000" w:rsidRPr="00000000">
        <w:rPr>
          <w:color w:val="1f1f1f"/>
          <w:rtl w:val="0"/>
        </w:rPr>
        <w:t xml:space="preserve">This process aligns with the Agency Calculus mechanism whereby systemic pressures encourage the creation of moral and political outgroups whose exclusion legitimizes further agency restriction.</w:t>
      </w:r>
    </w:p>
    <w:p w:rsidR="00000000" w:rsidDel="00000000" w:rsidP="00000000" w:rsidRDefault="00000000" w:rsidRPr="00000000" w14:paraId="0000009C">
      <w:pPr>
        <w:pStyle w:val="Heading2"/>
        <w:spacing w:after="80" w:before="360" w:line="275.9999942779541" w:lineRule="auto"/>
        <w:rPr>
          <w:color w:val="1f1f1f"/>
          <w:sz w:val="34"/>
          <w:szCs w:val="34"/>
        </w:rPr>
      </w:pPr>
      <w:bookmarkStart w:colFirst="0" w:colLast="0" w:name="_e2twt8jz96da" w:id="12"/>
      <w:bookmarkEnd w:id="12"/>
      <w:r w:rsidDel="00000000" w:rsidR="00000000" w:rsidRPr="00000000">
        <w:rPr>
          <w:color w:val="1f1f1f"/>
          <w:sz w:val="34"/>
          <w:szCs w:val="34"/>
          <w:rtl w:val="0"/>
        </w:rPr>
        <w:t xml:space="preserve">Dimension III: Ethical Governance Structure</w:t>
      </w:r>
    </w:p>
    <w:p w:rsidR="00000000" w:rsidDel="00000000" w:rsidP="00000000" w:rsidRDefault="00000000" w:rsidRPr="00000000" w14:paraId="0000009D">
      <w:pPr>
        <w:spacing w:after="240" w:before="240" w:line="275.9999942779541" w:lineRule="auto"/>
        <w:rPr>
          <w:color w:val="1f1f1f"/>
        </w:rPr>
      </w:pPr>
      <w:r w:rsidDel="00000000" w:rsidR="00000000" w:rsidRPr="00000000">
        <w:rPr>
          <w:color w:val="1f1f1f"/>
          <w:rtl w:val="0"/>
        </w:rPr>
        <w:t xml:space="preserve">Administrative structures increasingly prioritized fiscal extraction and military maintenance over reciprocal governance relationships with citizens. The late imperial state relied heavily on coercive enforcement mechanisms, reflecting a shift from fiduciary governance toward administrative preservation of state capacity.</w:t>
      </w:r>
    </w:p>
    <w:p w:rsidR="00000000" w:rsidDel="00000000" w:rsidP="00000000" w:rsidRDefault="00000000" w:rsidRPr="00000000" w14:paraId="0000009E">
      <w:pPr>
        <w:spacing w:after="240" w:before="240" w:line="275.9999942779541" w:lineRule="auto"/>
        <w:rPr>
          <w:color w:val="1f1f1f"/>
        </w:rPr>
      </w:pPr>
      <w:r w:rsidDel="00000000" w:rsidR="00000000" w:rsidRPr="00000000">
        <w:rPr>
          <w:color w:val="1f1f1f"/>
          <w:rtl w:val="0"/>
        </w:rPr>
        <w:t xml:space="preserve">Within the Agency Calculus framework, this represents a breakdown of fiduciary care and a transition toward extractive institutional structures.</w:t>
      </w:r>
    </w:p>
    <w:p w:rsidR="00000000" w:rsidDel="00000000" w:rsidP="00000000" w:rsidRDefault="00000000" w:rsidRPr="00000000" w14:paraId="0000009F">
      <w:pPr>
        <w:pStyle w:val="Heading2"/>
        <w:spacing w:after="80" w:before="360" w:line="275.9999942779541" w:lineRule="auto"/>
        <w:rPr>
          <w:color w:val="1f1f1f"/>
          <w:sz w:val="34"/>
          <w:szCs w:val="34"/>
        </w:rPr>
      </w:pPr>
      <w:bookmarkStart w:colFirst="0" w:colLast="0" w:name="_angncy5xu3gu" w:id="13"/>
      <w:bookmarkEnd w:id="13"/>
      <w:r w:rsidDel="00000000" w:rsidR="00000000" w:rsidRPr="00000000">
        <w:rPr>
          <w:color w:val="1f1f1f"/>
          <w:sz w:val="34"/>
          <w:szCs w:val="34"/>
          <w:rtl w:val="0"/>
        </w:rPr>
        <w:t xml:space="preserve">Dimension IV: Collapse-Cycle Indicators</w:t>
      </w:r>
    </w:p>
    <w:p w:rsidR="00000000" w:rsidDel="00000000" w:rsidP="00000000" w:rsidRDefault="00000000" w:rsidRPr="00000000" w14:paraId="000000A0">
      <w:pPr>
        <w:spacing w:after="240" w:before="240" w:line="275.9999942779541" w:lineRule="auto"/>
        <w:rPr>
          <w:color w:val="1f1f1f"/>
        </w:rPr>
      </w:pPr>
      <w:r w:rsidDel="00000000" w:rsidR="00000000" w:rsidRPr="00000000">
        <w:rPr>
          <w:color w:val="1f1f1f"/>
          <w:rtl w:val="0"/>
        </w:rPr>
        <w:t xml:space="preserve">The late empire exhibits several classical collapse indicators identified by structural demographic theory and the HANDY model, including:</w:t>
      </w:r>
    </w:p>
    <w:p w:rsidR="00000000" w:rsidDel="00000000" w:rsidP="00000000" w:rsidRDefault="00000000" w:rsidRPr="00000000" w14:paraId="000000A1">
      <w:pPr>
        <w:numPr>
          <w:ilvl w:val="0"/>
          <w:numId w:val="6"/>
        </w:numPr>
        <w:spacing w:after="0" w:afterAutospacing="0" w:before="240" w:line="275.9999942779541" w:lineRule="auto"/>
        <w:ind w:left="720" w:hanging="360"/>
        <w:rPr>
          <w:color w:val="1f1f1f"/>
        </w:rPr>
      </w:pPr>
      <w:r w:rsidDel="00000000" w:rsidR="00000000" w:rsidRPr="00000000">
        <w:rPr>
          <w:color w:val="1f1f1f"/>
          <w:rtl w:val="0"/>
        </w:rPr>
        <w:t xml:space="preserve">severe economic stratification between elites and commoners</w:t>
      </w:r>
    </w:p>
    <w:p w:rsidR="00000000" w:rsidDel="00000000" w:rsidP="00000000" w:rsidRDefault="00000000" w:rsidRPr="00000000" w14:paraId="000000A2">
      <w:pPr>
        <w:numPr>
          <w:ilvl w:val="0"/>
          <w:numId w:val="6"/>
        </w:numPr>
        <w:spacing w:after="0" w:afterAutospacing="0" w:before="0" w:beforeAutospacing="0" w:line="275.9999942779541" w:lineRule="auto"/>
        <w:ind w:left="720" w:hanging="360"/>
        <w:rPr>
          <w:color w:val="1f1f1f"/>
        </w:rPr>
      </w:pPr>
      <w:r w:rsidDel="00000000" w:rsidR="00000000" w:rsidRPr="00000000">
        <w:rPr>
          <w:color w:val="1f1f1f"/>
          <w:rtl w:val="0"/>
        </w:rPr>
        <w:t xml:space="preserve">military overstretch</w:t>
      </w:r>
    </w:p>
    <w:p w:rsidR="00000000" w:rsidDel="00000000" w:rsidP="00000000" w:rsidRDefault="00000000" w:rsidRPr="00000000" w14:paraId="000000A3">
      <w:pPr>
        <w:numPr>
          <w:ilvl w:val="0"/>
          <w:numId w:val="6"/>
        </w:numPr>
        <w:spacing w:after="0" w:afterAutospacing="0" w:before="0" w:beforeAutospacing="0" w:line="275.9999942779541" w:lineRule="auto"/>
        <w:ind w:left="720" w:hanging="360"/>
        <w:rPr>
          <w:color w:val="1f1f1f"/>
        </w:rPr>
      </w:pPr>
      <w:r w:rsidDel="00000000" w:rsidR="00000000" w:rsidRPr="00000000">
        <w:rPr>
          <w:color w:val="1f1f1f"/>
          <w:rtl w:val="0"/>
        </w:rPr>
        <w:t xml:space="preserve">diminishing returns from administrative complexity</w:t>
      </w:r>
    </w:p>
    <w:p w:rsidR="00000000" w:rsidDel="00000000" w:rsidP="00000000" w:rsidRDefault="00000000" w:rsidRPr="00000000" w14:paraId="000000A4">
      <w:pPr>
        <w:numPr>
          <w:ilvl w:val="0"/>
          <w:numId w:val="6"/>
        </w:numPr>
        <w:spacing w:after="240" w:before="0" w:beforeAutospacing="0" w:line="275.9999942779541" w:lineRule="auto"/>
        <w:ind w:left="720" w:hanging="360"/>
        <w:rPr>
          <w:color w:val="1f1f1f"/>
        </w:rPr>
      </w:pPr>
      <w:r w:rsidDel="00000000" w:rsidR="00000000" w:rsidRPr="00000000">
        <w:rPr>
          <w:color w:val="1f1f1f"/>
          <w:rtl w:val="0"/>
        </w:rPr>
        <w:t xml:space="preserve">declining urban civic capacity</w:t>
      </w:r>
    </w:p>
    <w:p w:rsidR="00000000" w:rsidDel="00000000" w:rsidP="00000000" w:rsidRDefault="00000000" w:rsidRPr="00000000" w14:paraId="000000A5">
      <w:pPr>
        <w:spacing w:after="240" w:before="240" w:line="275.9999942779541" w:lineRule="auto"/>
        <w:rPr>
          <w:color w:val="1f1f1f"/>
        </w:rPr>
      </w:pPr>
      <w:r w:rsidDel="00000000" w:rsidR="00000000" w:rsidRPr="00000000">
        <w:rPr>
          <w:color w:val="1f1f1f"/>
          <w:rtl w:val="0"/>
        </w:rPr>
        <w:t xml:space="preserve">These features correspond directly to the collapse trajectory indicators outlined in the Agency Calculus framework.</w:t>
      </w:r>
    </w:p>
    <w:p w:rsidR="00000000" w:rsidDel="00000000" w:rsidP="00000000" w:rsidRDefault="00000000" w:rsidRPr="00000000" w14:paraId="000000A6">
      <w:pPr>
        <w:pStyle w:val="Heading2"/>
        <w:spacing w:after="80" w:before="360" w:line="275.9999942779541" w:lineRule="auto"/>
        <w:rPr>
          <w:color w:val="1f1f1f"/>
          <w:sz w:val="34"/>
          <w:szCs w:val="34"/>
        </w:rPr>
      </w:pPr>
      <w:bookmarkStart w:colFirst="0" w:colLast="0" w:name="_j1hz12600g36" w:id="14"/>
      <w:bookmarkEnd w:id="14"/>
      <w:r w:rsidDel="00000000" w:rsidR="00000000" w:rsidRPr="00000000">
        <w:rPr>
          <w:color w:val="1f1f1f"/>
          <w:sz w:val="34"/>
          <w:szCs w:val="34"/>
          <w:rtl w:val="0"/>
        </w:rPr>
        <w:t xml:space="preserve">Dimension V: Epistemic Health</w:t>
      </w:r>
    </w:p>
    <w:p w:rsidR="00000000" w:rsidDel="00000000" w:rsidP="00000000" w:rsidRDefault="00000000" w:rsidRPr="00000000" w14:paraId="000000A7">
      <w:pPr>
        <w:spacing w:after="240" w:before="240" w:line="275.9999942779541" w:lineRule="auto"/>
        <w:rPr>
          <w:color w:val="1f1f1f"/>
        </w:rPr>
      </w:pPr>
      <w:r w:rsidDel="00000000" w:rsidR="00000000" w:rsidRPr="00000000">
        <w:rPr>
          <w:color w:val="1f1f1f"/>
          <w:rtl w:val="0"/>
        </w:rPr>
        <w:t xml:space="preserve">The period also witnessed increasing enforcement of doctrinal orthodoxy and the suppression of alternative intellectual traditions. Although difficult to quantify directly, this narrowing of epistemic plurality is consistent with a degradation of epistemic health as defined within the framework.</w:t>
      </w:r>
    </w:p>
    <w:p w:rsidR="00000000" w:rsidDel="00000000" w:rsidP="00000000" w:rsidRDefault="00000000" w:rsidRPr="00000000" w14:paraId="000000A8">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spacing w:after="120" w:before="480" w:line="275.9999942779541" w:lineRule="auto"/>
        <w:rPr>
          <w:color w:val="1f1f1f"/>
          <w:sz w:val="46"/>
          <w:szCs w:val="46"/>
        </w:rPr>
      </w:pPr>
      <w:bookmarkStart w:colFirst="0" w:colLast="0" w:name="_8yv0tqkp5kmq" w:id="15"/>
      <w:bookmarkEnd w:id="15"/>
      <w:r w:rsidDel="00000000" w:rsidR="00000000" w:rsidRPr="00000000">
        <w:rPr>
          <w:color w:val="1f1f1f"/>
          <w:sz w:val="46"/>
          <w:szCs w:val="46"/>
          <w:rtl w:val="0"/>
        </w:rPr>
        <w:t xml:space="preserve">Case Study 2: The Collapse of the Soviet Union</w:t>
      </w:r>
    </w:p>
    <w:p w:rsidR="00000000" w:rsidDel="00000000" w:rsidP="00000000" w:rsidRDefault="00000000" w:rsidRPr="00000000" w14:paraId="000000AA">
      <w:pPr>
        <w:pStyle w:val="Heading2"/>
        <w:spacing w:after="80" w:before="360" w:line="275.9999942779541" w:lineRule="auto"/>
        <w:rPr>
          <w:color w:val="1f1f1f"/>
          <w:sz w:val="34"/>
          <w:szCs w:val="34"/>
        </w:rPr>
      </w:pPr>
      <w:bookmarkStart w:colFirst="0" w:colLast="0" w:name="_xmjt6olardn5" w:id="16"/>
      <w:bookmarkEnd w:id="16"/>
      <w:r w:rsidDel="00000000" w:rsidR="00000000" w:rsidRPr="00000000">
        <w:rPr>
          <w:color w:val="1f1f1f"/>
          <w:sz w:val="34"/>
          <w:szCs w:val="34"/>
          <w:rtl w:val="0"/>
        </w:rPr>
        <w:t xml:space="preserve">Dimension I: Agency Movement and Extraction</w:t>
      </w:r>
    </w:p>
    <w:p w:rsidR="00000000" w:rsidDel="00000000" w:rsidP="00000000" w:rsidRDefault="00000000" w:rsidRPr="00000000" w14:paraId="000000AB">
      <w:pPr>
        <w:spacing w:after="240" w:before="240" w:line="275.9999942779541" w:lineRule="auto"/>
        <w:rPr>
          <w:color w:val="1f1f1f"/>
        </w:rPr>
      </w:pPr>
      <w:r w:rsidDel="00000000" w:rsidR="00000000" w:rsidRPr="00000000">
        <w:rPr>
          <w:color w:val="1f1f1f"/>
          <w:rtl w:val="0"/>
        </w:rPr>
        <w:t xml:space="preserve">The Soviet command economy centralized economic decision-making within bureaucratic planning institutions. Over time this structure produced severe incentive distortions that discouraged initiative and suppressed local agency.</w:t>
      </w:r>
    </w:p>
    <w:p w:rsidR="00000000" w:rsidDel="00000000" w:rsidP="00000000" w:rsidRDefault="00000000" w:rsidRPr="00000000" w14:paraId="000000AC">
      <w:pPr>
        <w:spacing w:after="240" w:before="240" w:line="275.9999942779541" w:lineRule="auto"/>
        <w:rPr>
          <w:color w:val="1f1f1f"/>
        </w:rPr>
      </w:pPr>
      <w:r w:rsidDel="00000000" w:rsidR="00000000" w:rsidRPr="00000000">
        <w:rPr>
          <w:color w:val="1f1f1f"/>
          <w:rtl w:val="0"/>
        </w:rPr>
        <w:t xml:space="preserve">Economic stagnation in the late Soviet period has been widely attributed to these institutional bottlenecks. Decision authority remained concentrated within planning bodies, while local actors lacked the autonomy necessary to adapt production or innovate.</w:t>
      </w:r>
    </w:p>
    <w:p w:rsidR="00000000" w:rsidDel="00000000" w:rsidP="00000000" w:rsidRDefault="00000000" w:rsidRPr="00000000" w14:paraId="000000AD">
      <w:pPr>
        <w:pStyle w:val="Heading2"/>
        <w:spacing w:after="80" w:before="360" w:line="275.9999942779541" w:lineRule="auto"/>
        <w:rPr>
          <w:color w:val="1f1f1f"/>
          <w:sz w:val="34"/>
          <w:szCs w:val="34"/>
        </w:rPr>
      </w:pPr>
      <w:bookmarkStart w:colFirst="0" w:colLast="0" w:name="_iy5fe12twmg2" w:id="17"/>
      <w:bookmarkEnd w:id="17"/>
      <w:r w:rsidDel="00000000" w:rsidR="00000000" w:rsidRPr="00000000">
        <w:rPr>
          <w:color w:val="1f1f1f"/>
          <w:sz w:val="34"/>
          <w:szCs w:val="34"/>
          <w:rtl w:val="0"/>
        </w:rPr>
        <w:t xml:space="preserve">Dimension II: Outgroup Formation</w:t>
      </w:r>
    </w:p>
    <w:p w:rsidR="00000000" w:rsidDel="00000000" w:rsidP="00000000" w:rsidRDefault="00000000" w:rsidRPr="00000000" w14:paraId="000000AE">
      <w:pPr>
        <w:spacing w:after="240" w:before="240" w:line="275.9999942779541" w:lineRule="auto"/>
        <w:rPr>
          <w:color w:val="1f1f1f"/>
        </w:rPr>
      </w:pPr>
      <w:r w:rsidDel="00000000" w:rsidR="00000000" w:rsidRPr="00000000">
        <w:rPr>
          <w:color w:val="1f1f1f"/>
          <w:rtl w:val="0"/>
        </w:rPr>
        <w:t xml:space="preserve">During the final decades of the Soviet Union, political legitimacy fractured along national and regional lines. Republic-level identities hardened as economic and political grievances intensified. Baltic states, Caucasus republics, and Eastern European satellite states increasingly framed the Soviet center as an exploitative external authority.</w:t>
      </w:r>
    </w:p>
    <w:p w:rsidR="00000000" w:rsidDel="00000000" w:rsidP="00000000" w:rsidRDefault="00000000" w:rsidRPr="00000000" w14:paraId="000000AF">
      <w:pPr>
        <w:spacing w:after="240" w:before="240" w:line="275.9999942779541" w:lineRule="auto"/>
        <w:rPr>
          <w:color w:val="1f1f1f"/>
        </w:rPr>
      </w:pPr>
      <w:r w:rsidDel="00000000" w:rsidR="00000000" w:rsidRPr="00000000">
        <w:rPr>
          <w:color w:val="1f1f1f"/>
          <w:rtl w:val="0"/>
        </w:rPr>
        <w:t xml:space="preserve">These dynamics illustrate how collapsing systems often experience the redefinition of political boundaries and the emergence of competing identity blocs.</w:t>
      </w:r>
    </w:p>
    <w:p w:rsidR="00000000" w:rsidDel="00000000" w:rsidP="00000000" w:rsidRDefault="00000000" w:rsidRPr="00000000" w14:paraId="000000B0">
      <w:pPr>
        <w:pStyle w:val="Heading2"/>
        <w:spacing w:after="80" w:before="360" w:line="275.9999942779541" w:lineRule="auto"/>
        <w:rPr>
          <w:color w:val="1f1f1f"/>
          <w:sz w:val="34"/>
          <w:szCs w:val="34"/>
        </w:rPr>
      </w:pPr>
      <w:bookmarkStart w:colFirst="0" w:colLast="0" w:name="_qhcdkhuv36j7" w:id="18"/>
      <w:bookmarkEnd w:id="18"/>
      <w:r w:rsidDel="00000000" w:rsidR="00000000" w:rsidRPr="00000000">
        <w:rPr>
          <w:color w:val="1f1f1f"/>
          <w:sz w:val="34"/>
          <w:szCs w:val="34"/>
          <w:rtl w:val="0"/>
        </w:rPr>
        <w:t xml:space="preserve">Dimension III: Ethical Governance Structure</w:t>
      </w:r>
    </w:p>
    <w:p w:rsidR="00000000" w:rsidDel="00000000" w:rsidP="00000000" w:rsidRDefault="00000000" w:rsidRPr="00000000" w14:paraId="000000B1">
      <w:pPr>
        <w:spacing w:after="240" w:before="240" w:line="275.9999942779541" w:lineRule="auto"/>
        <w:rPr>
          <w:color w:val="1f1f1f"/>
        </w:rPr>
      </w:pPr>
      <w:r w:rsidDel="00000000" w:rsidR="00000000" w:rsidRPr="00000000">
        <w:rPr>
          <w:color w:val="1f1f1f"/>
          <w:rtl w:val="0"/>
        </w:rPr>
        <w:t xml:space="preserve">Institutional legitimacy deteriorated as citizens increasingly perceived the system as serving bureaucratic preservation rather than public welfare. Reform efforts under perestroika attempted to restore institutional responsiveness but ultimately accelerated systemic instability.</w:t>
      </w:r>
    </w:p>
    <w:p w:rsidR="00000000" w:rsidDel="00000000" w:rsidP="00000000" w:rsidRDefault="00000000" w:rsidRPr="00000000" w14:paraId="000000B2">
      <w:pPr>
        <w:spacing w:after="240" w:before="240" w:line="275.9999942779541" w:lineRule="auto"/>
        <w:rPr>
          <w:color w:val="1f1f1f"/>
        </w:rPr>
      </w:pPr>
      <w:r w:rsidDel="00000000" w:rsidR="00000000" w:rsidRPr="00000000">
        <w:rPr>
          <w:color w:val="1f1f1f"/>
          <w:rtl w:val="0"/>
        </w:rPr>
        <w:t xml:space="preserve">Within the Agency Calculus framework, this represents a breakdown of fiduciary governance and the erosion of reciprocal trust between institutions and citizens.</w:t>
      </w:r>
    </w:p>
    <w:p w:rsidR="00000000" w:rsidDel="00000000" w:rsidP="00000000" w:rsidRDefault="00000000" w:rsidRPr="00000000" w14:paraId="000000B3">
      <w:pPr>
        <w:pStyle w:val="Heading2"/>
        <w:spacing w:after="80" w:before="360" w:line="275.9999942779541" w:lineRule="auto"/>
        <w:rPr>
          <w:color w:val="1f1f1f"/>
          <w:sz w:val="34"/>
          <w:szCs w:val="34"/>
        </w:rPr>
      </w:pPr>
      <w:bookmarkStart w:colFirst="0" w:colLast="0" w:name="_vkf91bea86a8" w:id="19"/>
      <w:bookmarkEnd w:id="19"/>
      <w:r w:rsidDel="00000000" w:rsidR="00000000" w:rsidRPr="00000000">
        <w:rPr>
          <w:color w:val="1f1f1f"/>
          <w:sz w:val="34"/>
          <w:szCs w:val="34"/>
          <w:rtl w:val="0"/>
        </w:rPr>
        <w:t xml:space="preserve">Dimension IV: Collapse-Cycle Indicators</w:t>
      </w:r>
    </w:p>
    <w:p w:rsidR="00000000" w:rsidDel="00000000" w:rsidP="00000000" w:rsidRDefault="00000000" w:rsidRPr="00000000" w14:paraId="000000B4">
      <w:pPr>
        <w:spacing w:after="240" w:before="240" w:line="275.9999942779541" w:lineRule="auto"/>
        <w:rPr>
          <w:color w:val="1f1f1f"/>
        </w:rPr>
      </w:pPr>
      <w:r w:rsidDel="00000000" w:rsidR="00000000" w:rsidRPr="00000000">
        <w:rPr>
          <w:color w:val="1f1f1f"/>
          <w:rtl w:val="0"/>
        </w:rPr>
        <w:t xml:space="preserve">The Soviet collapse displays several classical collapse dynamics:</w:t>
      </w:r>
    </w:p>
    <w:p w:rsidR="00000000" w:rsidDel="00000000" w:rsidP="00000000" w:rsidRDefault="00000000" w:rsidRPr="00000000" w14:paraId="000000B5">
      <w:pPr>
        <w:numPr>
          <w:ilvl w:val="0"/>
          <w:numId w:val="2"/>
        </w:numPr>
        <w:spacing w:after="0" w:afterAutospacing="0" w:before="240" w:line="275.9999942779541" w:lineRule="auto"/>
        <w:ind w:left="720" w:hanging="360"/>
        <w:rPr>
          <w:color w:val="1f1f1f"/>
        </w:rPr>
      </w:pPr>
      <w:r w:rsidDel="00000000" w:rsidR="00000000" w:rsidRPr="00000000">
        <w:rPr>
          <w:color w:val="1f1f1f"/>
          <w:rtl w:val="0"/>
        </w:rPr>
        <w:t xml:space="preserve">economic stagnation</w:t>
      </w:r>
    </w:p>
    <w:p w:rsidR="00000000" w:rsidDel="00000000" w:rsidP="00000000" w:rsidRDefault="00000000" w:rsidRPr="00000000" w14:paraId="000000B6">
      <w:pPr>
        <w:numPr>
          <w:ilvl w:val="0"/>
          <w:numId w:val="2"/>
        </w:numPr>
        <w:spacing w:after="0" w:afterAutospacing="0" w:before="0" w:beforeAutospacing="0" w:line="275.9999942779541" w:lineRule="auto"/>
        <w:ind w:left="720" w:hanging="360"/>
        <w:rPr>
          <w:color w:val="1f1f1f"/>
        </w:rPr>
      </w:pPr>
      <w:r w:rsidDel="00000000" w:rsidR="00000000" w:rsidRPr="00000000">
        <w:rPr>
          <w:color w:val="1f1f1f"/>
          <w:rtl w:val="0"/>
        </w:rPr>
        <w:t xml:space="preserve">elite factionalism</w:t>
      </w:r>
    </w:p>
    <w:p w:rsidR="00000000" w:rsidDel="00000000" w:rsidP="00000000" w:rsidRDefault="00000000" w:rsidRPr="00000000" w14:paraId="000000B7">
      <w:pPr>
        <w:numPr>
          <w:ilvl w:val="0"/>
          <w:numId w:val="2"/>
        </w:numPr>
        <w:spacing w:after="0" w:afterAutospacing="0" w:before="0" w:beforeAutospacing="0" w:line="275.9999942779541" w:lineRule="auto"/>
        <w:ind w:left="720" w:hanging="360"/>
        <w:rPr>
          <w:color w:val="1f1f1f"/>
        </w:rPr>
      </w:pPr>
      <w:r w:rsidDel="00000000" w:rsidR="00000000" w:rsidRPr="00000000">
        <w:rPr>
          <w:color w:val="1f1f1f"/>
          <w:rtl w:val="0"/>
        </w:rPr>
        <w:t xml:space="preserve">regional secession movements</w:t>
      </w:r>
    </w:p>
    <w:p w:rsidR="00000000" w:rsidDel="00000000" w:rsidP="00000000" w:rsidRDefault="00000000" w:rsidRPr="00000000" w14:paraId="000000B8">
      <w:pPr>
        <w:numPr>
          <w:ilvl w:val="0"/>
          <w:numId w:val="2"/>
        </w:numPr>
        <w:spacing w:after="240" w:before="0" w:beforeAutospacing="0" w:line="275.9999942779541" w:lineRule="auto"/>
        <w:ind w:left="720" w:hanging="360"/>
        <w:rPr>
          <w:color w:val="1f1f1f"/>
        </w:rPr>
      </w:pPr>
      <w:r w:rsidDel="00000000" w:rsidR="00000000" w:rsidRPr="00000000">
        <w:rPr>
          <w:color w:val="1f1f1f"/>
          <w:rtl w:val="0"/>
        </w:rPr>
        <w:t xml:space="preserve">institutional gridlock</w:t>
      </w:r>
    </w:p>
    <w:p w:rsidR="00000000" w:rsidDel="00000000" w:rsidP="00000000" w:rsidRDefault="00000000" w:rsidRPr="00000000" w14:paraId="000000B9">
      <w:pPr>
        <w:spacing w:after="240" w:before="240" w:line="275.9999942779541" w:lineRule="auto"/>
        <w:rPr>
          <w:color w:val="1f1f1f"/>
        </w:rPr>
      </w:pPr>
      <w:r w:rsidDel="00000000" w:rsidR="00000000" w:rsidRPr="00000000">
        <w:rPr>
          <w:color w:val="1f1f1f"/>
          <w:rtl w:val="0"/>
        </w:rPr>
        <w:t xml:space="preserve">These indicators closely mirror those predicted by structural demographic theory and the HANDY collapse model.</w:t>
      </w:r>
    </w:p>
    <w:p w:rsidR="00000000" w:rsidDel="00000000" w:rsidP="00000000" w:rsidRDefault="00000000" w:rsidRPr="00000000" w14:paraId="000000BA">
      <w:pPr>
        <w:pStyle w:val="Heading2"/>
        <w:spacing w:after="80" w:before="360" w:line="275.9999942779541" w:lineRule="auto"/>
        <w:rPr>
          <w:color w:val="1f1f1f"/>
          <w:sz w:val="34"/>
          <w:szCs w:val="34"/>
        </w:rPr>
      </w:pPr>
      <w:bookmarkStart w:colFirst="0" w:colLast="0" w:name="_um3vf28n06mu" w:id="20"/>
      <w:bookmarkEnd w:id="20"/>
      <w:r w:rsidDel="00000000" w:rsidR="00000000" w:rsidRPr="00000000">
        <w:rPr>
          <w:color w:val="1f1f1f"/>
          <w:sz w:val="34"/>
          <w:szCs w:val="34"/>
          <w:rtl w:val="0"/>
        </w:rPr>
        <w:t xml:space="preserve">Dimension V: Epistemic Health</w:t>
      </w:r>
    </w:p>
    <w:p w:rsidR="00000000" w:rsidDel="00000000" w:rsidP="00000000" w:rsidRDefault="00000000" w:rsidRPr="00000000" w14:paraId="000000BB">
      <w:pPr>
        <w:spacing w:after="240" w:before="240" w:line="275.9999942779541" w:lineRule="auto"/>
        <w:rPr>
          <w:color w:val="1f1f1f"/>
        </w:rPr>
      </w:pPr>
      <w:r w:rsidDel="00000000" w:rsidR="00000000" w:rsidRPr="00000000">
        <w:rPr>
          <w:color w:val="1f1f1f"/>
          <w:rtl w:val="0"/>
        </w:rPr>
        <w:t xml:space="preserve">Information asymmetries between official narratives and lived experience produced severe epistemic strain within Soviet society. Events such as the Chernobyl disaster further undermined institutional credibility, accelerating the collapse of public trust in official information channels.</w:t>
      </w:r>
    </w:p>
    <w:p w:rsidR="00000000" w:rsidDel="00000000" w:rsidP="00000000" w:rsidRDefault="00000000" w:rsidRPr="00000000" w14:paraId="000000BC">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spacing w:after="120" w:before="480" w:line="275.9999942779541" w:lineRule="auto"/>
        <w:rPr>
          <w:color w:val="1f1f1f"/>
          <w:sz w:val="46"/>
          <w:szCs w:val="46"/>
        </w:rPr>
      </w:pPr>
      <w:bookmarkStart w:colFirst="0" w:colLast="0" w:name="_323i334vrwus" w:id="21"/>
      <w:bookmarkEnd w:id="21"/>
      <w:r w:rsidDel="00000000" w:rsidR="00000000" w:rsidRPr="00000000">
        <w:rPr>
          <w:color w:val="1f1f1f"/>
          <w:sz w:val="46"/>
          <w:szCs w:val="46"/>
          <w:rtl w:val="0"/>
        </w:rPr>
        <w:t xml:space="preserve">Case Study 3: The 2008 Global Financial Crisis</w:t>
      </w:r>
    </w:p>
    <w:p w:rsidR="00000000" w:rsidDel="00000000" w:rsidP="00000000" w:rsidRDefault="00000000" w:rsidRPr="00000000" w14:paraId="000000BE">
      <w:pPr>
        <w:pStyle w:val="Heading2"/>
        <w:spacing w:after="80" w:before="360" w:line="275.9999942779541" w:lineRule="auto"/>
        <w:rPr>
          <w:color w:val="1f1f1f"/>
          <w:sz w:val="34"/>
          <w:szCs w:val="34"/>
        </w:rPr>
      </w:pPr>
      <w:bookmarkStart w:colFirst="0" w:colLast="0" w:name="_a4tochva4kkk" w:id="22"/>
      <w:bookmarkEnd w:id="22"/>
      <w:r w:rsidDel="00000000" w:rsidR="00000000" w:rsidRPr="00000000">
        <w:rPr>
          <w:color w:val="1f1f1f"/>
          <w:sz w:val="34"/>
          <w:szCs w:val="34"/>
          <w:rtl w:val="0"/>
        </w:rPr>
        <w:t xml:space="preserve">Dimension I: Agency Movement and Extraction</w:t>
      </w:r>
    </w:p>
    <w:p w:rsidR="00000000" w:rsidDel="00000000" w:rsidP="00000000" w:rsidRDefault="00000000" w:rsidRPr="00000000" w14:paraId="000000BF">
      <w:pPr>
        <w:spacing w:after="240" w:before="240" w:line="275.9999942779541" w:lineRule="auto"/>
        <w:rPr>
          <w:color w:val="1f1f1f"/>
        </w:rPr>
      </w:pPr>
      <w:r w:rsidDel="00000000" w:rsidR="00000000" w:rsidRPr="00000000">
        <w:rPr>
          <w:color w:val="1f1f1f"/>
          <w:rtl w:val="0"/>
        </w:rPr>
        <w:t xml:space="preserve">Prior to the financial crisis, financial innovation and regulatory gaps allowed the concentration of decision-making power within highly complex financial institutions. Households simultaneously experienced rising debt burdens and reduced financial transparency.</w:t>
      </w:r>
    </w:p>
    <w:p w:rsidR="00000000" w:rsidDel="00000000" w:rsidP="00000000" w:rsidRDefault="00000000" w:rsidRPr="00000000" w14:paraId="000000C0">
      <w:pPr>
        <w:spacing w:after="240" w:before="240" w:line="275.9999942779541" w:lineRule="auto"/>
        <w:rPr>
          <w:color w:val="1f1f1f"/>
        </w:rPr>
      </w:pPr>
      <w:r w:rsidDel="00000000" w:rsidR="00000000" w:rsidRPr="00000000">
        <w:rPr>
          <w:color w:val="1f1f1f"/>
          <w:rtl w:val="0"/>
        </w:rPr>
        <w:t xml:space="preserve">Mortgage securitization structures shifted risk away from originating lenders and toward dispersed investors and households, effectively extracting economic agency from borrowers while concentrating financial power within financial intermediaries.</w:t>
      </w:r>
    </w:p>
    <w:p w:rsidR="00000000" w:rsidDel="00000000" w:rsidP="00000000" w:rsidRDefault="00000000" w:rsidRPr="00000000" w14:paraId="000000C1">
      <w:pPr>
        <w:pStyle w:val="Heading2"/>
        <w:spacing w:after="80" w:before="360" w:line="275.9999942779541" w:lineRule="auto"/>
        <w:rPr>
          <w:color w:val="1f1f1f"/>
          <w:sz w:val="34"/>
          <w:szCs w:val="34"/>
        </w:rPr>
      </w:pPr>
      <w:bookmarkStart w:colFirst="0" w:colLast="0" w:name="_fj0jorl4xuae" w:id="23"/>
      <w:bookmarkEnd w:id="23"/>
      <w:r w:rsidDel="00000000" w:rsidR="00000000" w:rsidRPr="00000000">
        <w:rPr>
          <w:color w:val="1f1f1f"/>
          <w:sz w:val="34"/>
          <w:szCs w:val="34"/>
          <w:rtl w:val="0"/>
        </w:rPr>
        <w:t xml:space="preserve">Dimension II: Outgroup Formation</w:t>
      </w:r>
    </w:p>
    <w:p w:rsidR="00000000" w:rsidDel="00000000" w:rsidP="00000000" w:rsidRDefault="00000000" w:rsidRPr="00000000" w14:paraId="000000C2">
      <w:pPr>
        <w:spacing w:after="240" w:before="240" w:line="275.9999942779541" w:lineRule="auto"/>
        <w:rPr>
          <w:color w:val="1f1f1f"/>
        </w:rPr>
      </w:pPr>
      <w:r w:rsidDel="00000000" w:rsidR="00000000" w:rsidRPr="00000000">
        <w:rPr>
          <w:color w:val="1f1f1f"/>
          <w:rtl w:val="0"/>
        </w:rPr>
        <w:t xml:space="preserve">While the crisis did not involve classical identity-based outgroups, economic stratification created structurally vulnerable borrower populations—particularly within subprime mortgage markets. These groups absorbed disproportionate systemic risk within the financial architecture.</w:t>
      </w:r>
    </w:p>
    <w:p w:rsidR="00000000" w:rsidDel="00000000" w:rsidP="00000000" w:rsidRDefault="00000000" w:rsidRPr="00000000" w14:paraId="000000C3">
      <w:pPr>
        <w:spacing w:after="240" w:before="240" w:line="275.9999942779541" w:lineRule="auto"/>
        <w:rPr>
          <w:color w:val="1f1f1f"/>
        </w:rPr>
      </w:pPr>
      <w:r w:rsidDel="00000000" w:rsidR="00000000" w:rsidRPr="00000000">
        <w:rPr>
          <w:color w:val="1f1f1f"/>
          <w:rtl w:val="0"/>
        </w:rPr>
        <w:t xml:space="preserve">The Agency Calculus framework interprets this dynamic as the creation of economic outgroups that function as buffers within extractive systems.</w:t>
      </w:r>
    </w:p>
    <w:p w:rsidR="00000000" w:rsidDel="00000000" w:rsidP="00000000" w:rsidRDefault="00000000" w:rsidRPr="00000000" w14:paraId="000000C4">
      <w:pPr>
        <w:pStyle w:val="Heading2"/>
        <w:spacing w:after="80" w:before="360" w:line="275.9999942779541" w:lineRule="auto"/>
        <w:rPr>
          <w:color w:val="1f1f1f"/>
          <w:sz w:val="34"/>
          <w:szCs w:val="34"/>
        </w:rPr>
      </w:pPr>
      <w:bookmarkStart w:colFirst="0" w:colLast="0" w:name="_d6oadm2gxin1" w:id="24"/>
      <w:bookmarkEnd w:id="24"/>
      <w:r w:rsidDel="00000000" w:rsidR="00000000" w:rsidRPr="00000000">
        <w:rPr>
          <w:color w:val="1f1f1f"/>
          <w:sz w:val="34"/>
          <w:szCs w:val="34"/>
          <w:rtl w:val="0"/>
        </w:rPr>
        <w:t xml:space="preserve">Dimension III: Ethical Governance Structure</w:t>
      </w:r>
    </w:p>
    <w:p w:rsidR="00000000" w:rsidDel="00000000" w:rsidP="00000000" w:rsidRDefault="00000000" w:rsidRPr="00000000" w14:paraId="000000C5">
      <w:pPr>
        <w:spacing w:after="240" w:before="240" w:line="275.9999942779541" w:lineRule="auto"/>
        <w:rPr>
          <w:color w:val="1f1f1f"/>
        </w:rPr>
      </w:pPr>
      <w:r w:rsidDel="00000000" w:rsidR="00000000" w:rsidRPr="00000000">
        <w:rPr>
          <w:color w:val="1f1f1f"/>
          <w:rtl w:val="0"/>
        </w:rPr>
        <w:t xml:space="preserve">Multiple post-crisis investigations documented widespread failures in fiduciary responsibility across financial institutions, credit rating agencies, and regulatory bodies. Risk assessment mechanisms failed to detect or communicate the systemic vulnerabilities embedded within complex financial products.</w:t>
      </w:r>
    </w:p>
    <w:p w:rsidR="00000000" w:rsidDel="00000000" w:rsidP="00000000" w:rsidRDefault="00000000" w:rsidRPr="00000000" w14:paraId="000000C6">
      <w:pPr>
        <w:spacing w:after="240" w:before="240" w:line="275.9999942779541" w:lineRule="auto"/>
        <w:rPr>
          <w:color w:val="1f1f1f"/>
        </w:rPr>
      </w:pPr>
      <w:r w:rsidDel="00000000" w:rsidR="00000000" w:rsidRPr="00000000">
        <w:rPr>
          <w:color w:val="1f1f1f"/>
          <w:rtl w:val="0"/>
        </w:rPr>
        <w:t xml:space="preserve">These failures constitute a clear breakdown of ethical governance within the Agency Calculus diagnostic framework.</w:t>
      </w:r>
    </w:p>
    <w:p w:rsidR="00000000" w:rsidDel="00000000" w:rsidP="00000000" w:rsidRDefault="00000000" w:rsidRPr="00000000" w14:paraId="000000C7">
      <w:pPr>
        <w:pStyle w:val="Heading2"/>
        <w:spacing w:after="80" w:before="360" w:line="275.9999942779541" w:lineRule="auto"/>
        <w:rPr>
          <w:color w:val="1f1f1f"/>
          <w:sz w:val="34"/>
          <w:szCs w:val="34"/>
        </w:rPr>
      </w:pPr>
      <w:bookmarkStart w:colFirst="0" w:colLast="0" w:name="_yel0uxdpo91o" w:id="25"/>
      <w:bookmarkEnd w:id="25"/>
      <w:r w:rsidDel="00000000" w:rsidR="00000000" w:rsidRPr="00000000">
        <w:rPr>
          <w:color w:val="1f1f1f"/>
          <w:sz w:val="34"/>
          <w:szCs w:val="34"/>
          <w:rtl w:val="0"/>
        </w:rPr>
        <w:t xml:space="preserve">Dimension IV: Collapse-Cycle Indicators</w:t>
      </w:r>
    </w:p>
    <w:p w:rsidR="00000000" w:rsidDel="00000000" w:rsidP="00000000" w:rsidRDefault="00000000" w:rsidRPr="00000000" w14:paraId="000000C8">
      <w:pPr>
        <w:spacing w:after="240" w:before="240" w:line="275.9999942779541" w:lineRule="auto"/>
        <w:rPr>
          <w:color w:val="1f1f1f"/>
        </w:rPr>
      </w:pPr>
      <w:r w:rsidDel="00000000" w:rsidR="00000000" w:rsidRPr="00000000">
        <w:rPr>
          <w:color w:val="1f1f1f"/>
          <w:rtl w:val="0"/>
        </w:rPr>
        <w:t xml:space="preserve">The financial crisis demonstrated classic collapse dynamics including:</w:t>
      </w:r>
    </w:p>
    <w:p w:rsidR="00000000" w:rsidDel="00000000" w:rsidP="00000000" w:rsidRDefault="00000000" w:rsidRPr="00000000" w14:paraId="000000C9">
      <w:pPr>
        <w:numPr>
          <w:ilvl w:val="0"/>
          <w:numId w:val="4"/>
        </w:numPr>
        <w:spacing w:after="0" w:afterAutospacing="0" w:before="240" w:line="275.9999942779541" w:lineRule="auto"/>
        <w:ind w:left="720" w:hanging="360"/>
        <w:rPr>
          <w:color w:val="1f1f1f"/>
        </w:rPr>
      </w:pPr>
      <w:r w:rsidDel="00000000" w:rsidR="00000000" w:rsidRPr="00000000">
        <w:rPr>
          <w:color w:val="1f1f1f"/>
          <w:rtl w:val="0"/>
        </w:rPr>
        <w:t xml:space="preserve">excessive leverage</w:t>
      </w:r>
    </w:p>
    <w:p w:rsidR="00000000" w:rsidDel="00000000" w:rsidP="00000000" w:rsidRDefault="00000000" w:rsidRPr="00000000" w14:paraId="000000CA">
      <w:pPr>
        <w:numPr>
          <w:ilvl w:val="0"/>
          <w:numId w:val="4"/>
        </w:numPr>
        <w:spacing w:after="0" w:afterAutospacing="0" w:before="0" w:beforeAutospacing="0" w:line="275.9999942779541" w:lineRule="auto"/>
        <w:ind w:left="720" w:hanging="360"/>
        <w:rPr>
          <w:color w:val="1f1f1f"/>
        </w:rPr>
      </w:pPr>
      <w:r w:rsidDel="00000000" w:rsidR="00000000" w:rsidRPr="00000000">
        <w:rPr>
          <w:color w:val="1f1f1f"/>
          <w:rtl w:val="0"/>
        </w:rPr>
        <w:t xml:space="preserve">systemic opacity</w:t>
      </w:r>
    </w:p>
    <w:p w:rsidR="00000000" w:rsidDel="00000000" w:rsidP="00000000" w:rsidRDefault="00000000" w:rsidRPr="00000000" w14:paraId="000000CB">
      <w:pPr>
        <w:numPr>
          <w:ilvl w:val="0"/>
          <w:numId w:val="4"/>
        </w:numPr>
        <w:spacing w:after="0" w:afterAutospacing="0" w:before="0" w:beforeAutospacing="0" w:line="275.9999942779541" w:lineRule="auto"/>
        <w:ind w:left="720" w:hanging="360"/>
        <w:rPr>
          <w:color w:val="1f1f1f"/>
        </w:rPr>
      </w:pPr>
      <w:r w:rsidDel="00000000" w:rsidR="00000000" w:rsidRPr="00000000">
        <w:rPr>
          <w:color w:val="1f1f1f"/>
          <w:rtl w:val="0"/>
        </w:rPr>
        <w:t xml:space="preserve">cascading institutional failures</w:t>
      </w:r>
    </w:p>
    <w:p w:rsidR="00000000" w:rsidDel="00000000" w:rsidP="00000000" w:rsidRDefault="00000000" w:rsidRPr="00000000" w14:paraId="000000CC">
      <w:pPr>
        <w:numPr>
          <w:ilvl w:val="0"/>
          <w:numId w:val="4"/>
        </w:numPr>
        <w:spacing w:after="240" w:before="0" w:beforeAutospacing="0" w:line="275.9999942779541" w:lineRule="auto"/>
        <w:ind w:left="720" w:hanging="360"/>
        <w:rPr>
          <w:color w:val="1f1f1f"/>
        </w:rPr>
      </w:pPr>
      <w:r w:rsidDel="00000000" w:rsidR="00000000" w:rsidRPr="00000000">
        <w:rPr>
          <w:color w:val="1f1f1f"/>
          <w:rtl w:val="0"/>
        </w:rPr>
        <w:t xml:space="preserve">global recession</w:t>
      </w:r>
    </w:p>
    <w:p w:rsidR="00000000" w:rsidDel="00000000" w:rsidP="00000000" w:rsidRDefault="00000000" w:rsidRPr="00000000" w14:paraId="000000CD">
      <w:pPr>
        <w:spacing w:after="240" w:before="240" w:line="275.9999942779541" w:lineRule="auto"/>
        <w:rPr>
          <w:color w:val="1f1f1f"/>
        </w:rPr>
      </w:pPr>
      <w:r w:rsidDel="00000000" w:rsidR="00000000" w:rsidRPr="00000000">
        <w:rPr>
          <w:color w:val="1f1f1f"/>
          <w:rtl w:val="0"/>
        </w:rPr>
        <w:t xml:space="preserve">These features align closely with the nonlinear collapse dynamics modeled within the Agency Calculus formal system.</w:t>
      </w:r>
    </w:p>
    <w:p w:rsidR="00000000" w:rsidDel="00000000" w:rsidP="00000000" w:rsidRDefault="00000000" w:rsidRPr="00000000" w14:paraId="000000CE">
      <w:pPr>
        <w:pStyle w:val="Heading2"/>
        <w:spacing w:after="80" w:before="360" w:line="275.9999942779541" w:lineRule="auto"/>
        <w:rPr>
          <w:color w:val="1f1f1f"/>
          <w:sz w:val="34"/>
          <w:szCs w:val="34"/>
        </w:rPr>
      </w:pPr>
      <w:bookmarkStart w:colFirst="0" w:colLast="0" w:name="_uxw5jqibpwo8" w:id="26"/>
      <w:bookmarkEnd w:id="26"/>
      <w:r w:rsidDel="00000000" w:rsidR="00000000" w:rsidRPr="00000000">
        <w:rPr>
          <w:color w:val="1f1f1f"/>
          <w:sz w:val="34"/>
          <w:szCs w:val="34"/>
          <w:rtl w:val="0"/>
        </w:rPr>
        <w:t xml:space="preserve">Dimension V: Epistemic Health</w:t>
      </w:r>
    </w:p>
    <w:p w:rsidR="00000000" w:rsidDel="00000000" w:rsidP="00000000" w:rsidRDefault="00000000" w:rsidRPr="00000000" w14:paraId="000000CF">
      <w:pPr>
        <w:spacing w:after="240" w:before="240" w:line="275.9999942779541" w:lineRule="auto"/>
        <w:rPr>
          <w:color w:val="1f1f1f"/>
        </w:rPr>
      </w:pPr>
      <w:r w:rsidDel="00000000" w:rsidR="00000000" w:rsidRPr="00000000">
        <w:rPr>
          <w:color w:val="1f1f1f"/>
          <w:rtl w:val="0"/>
        </w:rPr>
        <w:t xml:space="preserve">Perhaps the most striking feature of the crisis was the profound opacity of financial instruments. Even institutions holding mortgage-backed securities often lacked a clear understanding of the underlying risk exposure.</w:t>
      </w:r>
    </w:p>
    <w:p w:rsidR="00000000" w:rsidDel="00000000" w:rsidP="00000000" w:rsidRDefault="00000000" w:rsidRPr="00000000" w14:paraId="000000D0">
      <w:pPr>
        <w:spacing w:after="240" w:before="240" w:line="275.9999942779541" w:lineRule="auto"/>
        <w:rPr>
          <w:color w:val="1f1f1f"/>
        </w:rPr>
      </w:pPr>
      <w:r w:rsidDel="00000000" w:rsidR="00000000" w:rsidRPr="00000000">
        <w:rPr>
          <w:color w:val="1f1f1f"/>
          <w:rtl w:val="0"/>
        </w:rPr>
        <w:t xml:space="preserve">This represents a clear empirical case of epistemic debt accumulation within a complex socio-technical system.</w:t>
      </w:r>
    </w:p>
    <w:p w:rsidR="00000000" w:rsidDel="00000000" w:rsidP="00000000" w:rsidRDefault="00000000" w:rsidRPr="00000000" w14:paraId="000000D1">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spacing w:after="120" w:before="480" w:line="275.9999942779541" w:lineRule="auto"/>
        <w:rPr>
          <w:color w:val="1f1f1f"/>
          <w:sz w:val="46"/>
          <w:szCs w:val="46"/>
        </w:rPr>
      </w:pPr>
      <w:bookmarkStart w:colFirst="0" w:colLast="0" w:name="_6ksfw4wxpn92" w:id="27"/>
      <w:bookmarkEnd w:id="27"/>
      <w:r w:rsidDel="00000000" w:rsidR="00000000" w:rsidRPr="00000000">
        <w:rPr>
          <w:color w:val="1f1f1f"/>
          <w:sz w:val="46"/>
          <w:szCs w:val="46"/>
          <w:rtl w:val="0"/>
        </w:rPr>
        <w:t xml:space="preserve">Case Study 4: The Modern Social Media Information Ecosystem</w:t>
      </w:r>
    </w:p>
    <w:p w:rsidR="00000000" w:rsidDel="00000000" w:rsidP="00000000" w:rsidRDefault="00000000" w:rsidRPr="00000000" w14:paraId="000000D3">
      <w:pPr>
        <w:pStyle w:val="Heading2"/>
        <w:spacing w:after="80" w:before="360" w:line="275.9999942779541" w:lineRule="auto"/>
        <w:rPr>
          <w:color w:val="1f1f1f"/>
          <w:sz w:val="34"/>
          <w:szCs w:val="34"/>
        </w:rPr>
      </w:pPr>
      <w:bookmarkStart w:colFirst="0" w:colLast="0" w:name="_ubuhhjtzo2pa" w:id="28"/>
      <w:bookmarkEnd w:id="28"/>
      <w:r w:rsidDel="00000000" w:rsidR="00000000" w:rsidRPr="00000000">
        <w:rPr>
          <w:color w:val="1f1f1f"/>
          <w:sz w:val="34"/>
          <w:szCs w:val="34"/>
          <w:rtl w:val="0"/>
        </w:rPr>
        <w:t xml:space="preserve">Dimension I: Agency Movement and Extraction</w:t>
      </w:r>
    </w:p>
    <w:p w:rsidR="00000000" w:rsidDel="00000000" w:rsidP="00000000" w:rsidRDefault="00000000" w:rsidRPr="00000000" w14:paraId="000000D4">
      <w:pPr>
        <w:spacing w:after="240" w:before="240" w:line="275.9999942779541" w:lineRule="auto"/>
        <w:rPr>
          <w:color w:val="1f1f1f"/>
        </w:rPr>
      </w:pPr>
      <w:r w:rsidDel="00000000" w:rsidR="00000000" w:rsidRPr="00000000">
        <w:rPr>
          <w:color w:val="1f1f1f"/>
          <w:rtl w:val="0"/>
        </w:rPr>
        <w:t xml:space="preserve">Algorithmic recommendation systems increasingly mediate information exposure and public discourse. These systems concentrate informational agency within platform architectures rather than individual users.</w:t>
      </w:r>
    </w:p>
    <w:p w:rsidR="00000000" w:rsidDel="00000000" w:rsidP="00000000" w:rsidRDefault="00000000" w:rsidRPr="00000000" w14:paraId="000000D5">
      <w:pPr>
        <w:spacing w:after="240" w:before="240" w:line="275.9999942779541" w:lineRule="auto"/>
        <w:rPr>
          <w:color w:val="1f1f1f"/>
        </w:rPr>
      </w:pPr>
      <w:r w:rsidDel="00000000" w:rsidR="00000000" w:rsidRPr="00000000">
        <w:rPr>
          <w:color w:val="1f1f1f"/>
          <w:rtl w:val="0"/>
        </w:rPr>
        <w:t xml:space="preserve">Attention allocation and content visibility are determined by algorithmic optimization objectives rather than user agency, representing a systemic redistribution of epistemic agency.</w:t>
      </w:r>
    </w:p>
    <w:p w:rsidR="00000000" w:rsidDel="00000000" w:rsidP="00000000" w:rsidRDefault="00000000" w:rsidRPr="00000000" w14:paraId="000000D6">
      <w:pPr>
        <w:pStyle w:val="Heading2"/>
        <w:spacing w:after="80" w:before="360" w:line="275.9999942779541" w:lineRule="auto"/>
        <w:rPr>
          <w:color w:val="1f1f1f"/>
          <w:sz w:val="34"/>
          <w:szCs w:val="34"/>
        </w:rPr>
      </w:pPr>
      <w:bookmarkStart w:colFirst="0" w:colLast="0" w:name="_k8go1kf7zolq" w:id="29"/>
      <w:bookmarkEnd w:id="29"/>
      <w:r w:rsidDel="00000000" w:rsidR="00000000" w:rsidRPr="00000000">
        <w:rPr>
          <w:color w:val="1f1f1f"/>
          <w:sz w:val="34"/>
          <w:szCs w:val="34"/>
          <w:rtl w:val="0"/>
        </w:rPr>
        <w:t xml:space="preserve">Dimension II: Outgroup Formation</w:t>
      </w:r>
    </w:p>
    <w:p w:rsidR="00000000" w:rsidDel="00000000" w:rsidP="00000000" w:rsidRDefault="00000000" w:rsidRPr="00000000" w14:paraId="000000D7">
      <w:pPr>
        <w:spacing w:after="240" w:before="240" w:line="275.9999942779541" w:lineRule="auto"/>
        <w:rPr>
          <w:color w:val="1f1f1f"/>
        </w:rPr>
      </w:pPr>
      <w:r w:rsidDel="00000000" w:rsidR="00000000" w:rsidRPr="00000000">
        <w:rPr>
          <w:color w:val="1f1f1f"/>
          <w:rtl w:val="0"/>
        </w:rPr>
        <w:t xml:space="preserve">Empirical studies of online discourse consistently show that algorithmically mediated environments amplify polarization and reinforce in-group/out-group dynamics. Content that provokes strong emotional reactions—particularly moral outrage—tends to receive disproportionate amplification.</w:t>
      </w:r>
    </w:p>
    <w:p w:rsidR="00000000" w:rsidDel="00000000" w:rsidP="00000000" w:rsidRDefault="00000000" w:rsidRPr="00000000" w14:paraId="000000D8">
      <w:pPr>
        <w:spacing w:after="240" w:before="240" w:line="275.9999942779541" w:lineRule="auto"/>
        <w:rPr>
          <w:color w:val="1f1f1f"/>
        </w:rPr>
      </w:pPr>
      <w:r w:rsidDel="00000000" w:rsidR="00000000" w:rsidRPr="00000000">
        <w:rPr>
          <w:color w:val="1f1f1f"/>
          <w:rtl w:val="0"/>
        </w:rPr>
        <w:t xml:space="preserve">This dynamic reinforces identity-based polarization and accelerates social fragmentation.</w:t>
      </w:r>
    </w:p>
    <w:p w:rsidR="00000000" w:rsidDel="00000000" w:rsidP="00000000" w:rsidRDefault="00000000" w:rsidRPr="00000000" w14:paraId="000000D9">
      <w:pPr>
        <w:pStyle w:val="Heading2"/>
        <w:spacing w:after="80" w:before="360" w:line="275.9999942779541" w:lineRule="auto"/>
        <w:rPr>
          <w:color w:val="1f1f1f"/>
          <w:sz w:val="34"/>
          <w:szCs w:val="34"/>
        </w:rPr>
      </w:pPr>
      <w:bookmarkStart w:colFirst="0" w:colLast="0" w:name="_gbo1wtpgcaua" w:id="30"/>
      <w:bookmarkEnd w:id="30"/>
      <w:r w:rsidDel="00000000" w:rsidR="00000000" w:rsidRPr="00000000">
        <w:rPr>
          <w:color w:val="1f1f1f"/>
          <w:sz w:val="34"/>
          <w:szCs w:val="34"/>
          <w:rtl w:val="0"/>
        </w:rPr>
        <w:t xml:space="preserve">Dimension III: Ethical Governance Structure</w:t>
      </w:r>
    </w:p>
    <w:p w:rsidR="00000000" w:rsidDel="00000000" w:rsidP="00000000" w:rsidRDefault="00000000" w:rsidRPr="00000000" w14:paraId="000000DA">
      <w:pPr>
        <w:spacing w:after="240" w:before="240" w:line="275.9999942779541" w:lineRule="auto"/>
        <w:rPr>
          <w:color w:val="1f1f1f"/>
        </w:rPr>
      </w:pPr>
      <w:r w:rsidDel="00000000" w:rsidR="00000000" w:rsidRPr="00000000">
        <w:rPr>
          <w:color w:val="1f1f1f"/>
          <w:rtl w:val="0"/>
        </w:rPr>
        <w:t xml:space="preserve">Platform governance structures frequently prioritize engagement metrics over epistemic reliability or informational integrity. This incentive structure can produce outcomes that undermine collective epistemic health while maximizing platform growth.</w:t>
      </w:r>
    </w:p>
    <w:p w:rsidR="00000000" w:rsidDel="00000000" w:rsidP="00000000" w:rsidRDefault="00000000" w:rsidRPr="00000000" w14:paraId="000000DB">
      <w:pPr>
        <w:spacing w:after="240" w:before="240" w:line="275.9999942779541" w:lineRule="auto"/>
        <w:rPr>
          <w:color w:val="1f1f1f"/>
        </w:rPr>
      </w:pPr>
      <w:r w:rsidDel="00000000" w:rsidR="00000000" w:rsidRPr="00000000">
        <w:rPr>
          <w:color w:val="1f1f1f"/>
          <w:rtl w:val="0"/>
        </w:rPr>
        <w:t xml:space="preserve">From the perspective of Agency Calculus, such optimization strategies represent ethical misalignment between institutional objectives and societal well-being.</w:t>
      </w:r>
    </w:p>
    <w:p w:rsidR="00000000" w:rsidDel="00000000" w:rsidP="00000000" w:rsidRDefault="00000000" w:rsidRPr="00000000" w14:paraId="000000DC">
      <w:pPr>
        <w:pStyle w:val="Heading2"/>
        <w:spacing w:after="80" w:before="360" w:line="275.9999942779541" w:lineRule="auto"/>
        <w:rPr>
          <w:color w:val="1f1f1f"/>
          <w:sz w:val="34"/>
          <w:szCs w:val="34"/>
        </w:rPr>
      </w:pPr>
      <w:bookmarkStart w:colFirst="0" w:colLast="0" w:name="_n660ukfpfdtl" w:id="31"/>
      <w:bookmarkEnd w:id="31"/>
      <w:r w:rsidDel="00000000" w:rsidR="00000000" w:rsidRPr="00000000">
        <w:rPr>
          <w:color w:val="1f1f1f"/>
          <w:sz w:val="34"/>
          <w:szCs w:val="34"/>
          <w:rtl w:val="0"/>
        </w:rPr>
        <w:t xml:space="preserve">Dimension IV: Collapse-Cycle Indicators</w:t>
      </w:r>
    </w:p>
    <w:p w:rsidR="00000000" w:rsidDel="00000000" w:rsidP="00000000" w:rsidRDefault="00000000" w:rsidRPr="00000000" w14:paraId="000000DD">
      <w:pPr>
        <w:spacing w:after="240" w:before="240" w:line="275.9999942779541" w:lineRule="auto"/>
        <w:rPr>
          <w:color w:val="1f1f1f"/>
        </w:rPr>
      </w:pPr>
      <w:r w:rsidDel="00000000" w:rsidR="00000000" w:rsidRPr="00000000">
        <w:rPr>
          <w:color w:val="1f1f1f"/>
          <w:rtl w:val="0"/>
        </w:rPr>
        <w:t xml:space="preserve">The fragmentation of the epistemic commons has significant implications for democratic governance. Increasing distrust in media institutions and the proliferation of misinformation create systemic vulnerabilities within democratic societies.</w:t>
      </w:r>
    </w:p>
    <w:p w:rsidR="00000000" w:rsidDel="00000000" w:rsidP="00000000" w:rsidRDefault="00000000" w:rsidRPr="00000000" w14:paraId="000000DE">
      <w:pPr>
        <w:spacing w:after="240" w:before="240" w:line="275.9999942779541" w:lineRule="auto"/>
        <w:rPr>
          <w:color w:val="1f1f1f"/>
        </w:rPr>
      </w:pPr>
      <w:r w:rsidDel="00000000" w:rsidR="00000000" w:rsidRPr="00000000">
        <w:rPr>
          <w:color w:val="1f1f1f"/>
          <w:rtl w:val="0"/>
        </w:rPr>
        <w:t xml:space="preserve">These dynamics align with the collapse-cycle indicators described within the Agency Calculus framework.</w:t>
      </w:r>
    </w:p>
    <w:p w:rsidR="00000000" w:rsidDel="00000000" w:rsidP="00000000" w:rsidRDefault="00000000" w:rsidRPr="00000000" w14:paraId="000000DF">
      <w:pPr>
        <w:pStyle w:val="Heading2"/>
        <w:spacing w:after="80" w:before="360" w:line="275.9999942779541" w:lineRule="auto"/>
        <w:rPr>
          <w:color w:val="1f1f1f"/>
          <w:sz w:val="34"/>
          <w:szCs w:val="34"/>
        </w:rPr>
      </w:pPr>
      <w:bookmarkStart w:colFirst="0" w:colLast="0" w:name="_mqrcqmf2x90p" w:id="32"/>
      <w:bookmarkEnd w:id="32"/>
      <w:r w:rsidDel="00000000" w:rsidR="00000000" w:rsidRPr="00000000">
        <w:rPr>
          <w:color w:val="1f1f1f"/>
          <w:sz w:val="34"/>
          <w:szCs w:val="34"/>
          <w:rtl w:val="0"/>
        </w:rPr>
        <w:t xml:space="preserve">Dimension V: Epistemic Health</w:t>
      </w:r>
    </w:p>
    <w:p w:rsidR="00000000" w:rsidDel="00000000" w:rsidP="00000000" w:rsidRDefault="00000000" w:rsidRPr="00000000" w14:paraId="000000E0">
      <w:pPr>
        <w:spacing w:after="240" w:before="240" w:line="275.9999942779541" w:lineRule="auto"/>
        <w:rPr>
          <w:color w:val="1f1f1f"/>
        </w:rPr>
      </w:pPr>
      <w:r w:rsidDel="00000000" w:rsidR="00000000" w:rsidRPr="00000000">
        <w:rPr>
          <w:color w:val="1f1f1f"/>
          <w:rtl w:val="0"/>
        </w:rPr>
        <w:t xml:space="preserve">The social media ecosystem represents perhaps the clearest contemporary example of epistemic health degradation. The rapid circulation of misinformation, deepfakes, and algorithmically amplified content undermines the ability of individuals to reliably distinguish between accurate and misleading information.</w:t>
      </w:r>
    </w:p>
    <w:p w:rsidR="00000000" w:rsidDel="00000000" w:rsidP="00000000" w:rsidRDefault="00000000" w:rsidRPr="00000000" w14:paraId="000000E1">
      <w:pPr>
        <w:spacing w:after="240" w:before="240" w:line="275.9999942779541" w:lineRule="auto"/>
        <w:rPr>
          <w:color w:val="1f1f1f"/>
        </w:rPr>
      </w:pPr>
      <w:r w:rsidDel="00000000" w:rsidR="00000000" w:rsidRPr="00000000">
        <w:rPr>
          <w:color w:val="1f1f1f"/>
          <w:rtl w:val="0"/>
        </w:rPr>
        <w:t xml:space="preserve">This environment contributes directly to the accumulation of epistemic debt across the informational ecosystem.</w:t>
      </w:r>
    </w:p>
    <w:p w:rsidR="00000000" w:rsidDel="00000000" w:rsidP="00000000" w:rsidRDefault="00000000" w:rsidRPr="00000000" w14:paraId="000000E2">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spacing w:after="120" w:before="480" w:line="275.9999942779541" w:lineRule="auto"/>
        <w:rPr/>
      </w:pPr>
      <w:bookmarkStart w:colFirst="0" w:colLast="0" w:name="_e2a2nsqxmo08" w:id="33"/>
      <w:bookmarkEnd w:id="33"/>
      <w:r w:rsidDel="00000000" w:rsidR="00000000" w:rsidRPr="00000000">
        <w:rPr>
          <w:rtl w:val="0"/>
        </w:rPr>
        <w:t xml:space="preserve">Comparative Results Across Cases</w:t>
      </w:r>
    </w:p>
    <w:p w:rsidR="00000000" w:rsidDel="00000000" w:rsidP="00000000" w:rsidRDefault="00000000" w:rsidRPr="00000000" w14:paraId="000000E4">
      <w:pPr>
        <w:spacing w:after="240" w:before="240" w:line="275.9999942779541" w:lineRule="auto"/>
        <w:rPr>
          <w:color w:val="1f1f1f"/>
        </w:rPr>
      </w:pPr>
      <w:r w:rsidDel="00000000" w:rsidR="00000000" w:rsidRPr="00000000">
        <w:rPr>
          <w:color w:val="1f1f1f"/>
          <w:rtl w:val="0"/>
        </w:rPr>
        <w:t xml:space="preserve">Across all four case studies, the Agency Calculus diagnostic lens identifies recurring structural patterns:</w:t>
      </w:r>
    </w:p>
    <w:p w:rsidR="00000000" w:rsidDel="00000000" w:rsidP="00000000" w:rsidRDefault="00000000" w:rsidRPr="00000000" w14:paraId="000000E5">
      <w:pPr>
        <w:numPr>
          <w:ilvl w:val="0"/>
          <w:numId w:val="3"/>
        </w:numPr>
        <w:spacing w:after="0" w:afterAutospacing="0" w:before="240" w:line="275.9999942779541" w:lineRule="auto"/>
        <w:ind w:left="720" w:hanging="360"/>
        <w:rPr>
          <w:color w:val="1f1f1f"/>
        </w:rPr>
      </w:pPr>
      <w:r w:rsidDel="00000000" w:rsidR="00000000" w:rsidRPr="00000000">
        <w:rPr>
          <w:color w:val="1f1f1f"/>
          <w:rtl w:val="0"/>
        </w:rPr>
        <w:t xml:space="preserve">Concentration of agency within centralized institutional structures</w:t>
      </w:r>
    </w:p>
    <w:p w:rsidR="00000000" w:rsidDel="00000000" w:rsidP="00000000" w:rsidRDefault="00000000" w:rsidRPr="00000000" w14:paraId="000000E6">
      <w:pPr>
        <w:numPr>
          <w:ilvl w:val="0"/>
          <w:numId w:val="3"/>
        </w:numPr>
        <w:spacing w:after="0" w:afterAutospacing="0" w:before="0" w:beforeAutospacing="0" w:line="275.9999942779541" w:lineRule="auto"/>
        <w:ind w:left="720" w:hanging="360"/>
        <w:rPr>
          <w:color w:val="1f1f1f"/>
        </w:rPr>
      </w:pPr>
      <w:r w:rsidDel="00000000" w:rsidR="00000000" w:rsidRPr="00000000">
        <w:rPr>
          <w:color w:val="1f1f1f"/>
          <w:rtl w:val="0"/>
        </w:rPr>
        <w:t xml:space="preserve">Emergence of outgroup dynamics during periods of systemic stress</w:t>
      </w:r>
    </w:p>
    <w:p w:rsidR="00000000" w:rsidDel="00000000" w:rsidP="00000000" w:rsidRDefault="00000000" w:rsidRPr="00000000" w14:paraId="000000E7">
      <w:pPr>
        <w:numPr>
          <w:ilvl w:val="0"/>
          <w:numId w:val="3"/>
        </w:numPr>
        <w:spacing w:after="0" w:afterAutospacing="0" w:before="0" w:beforeAutospacing="0" w:line="275.9999942779541" w:lineRule="auto"/>
        <w:ind w:left="720" w:hanging="360"/>
        <w:rPr>
          <w:color w:val="1f1f1f"/>
        </w:rPr>
      </w:pPr>
      <w:r w:rsidDel="00000000" w:rsidR="00000000" w:rsidRPr="00000000">
        <w:rPr>
          <w:color w:val="1f1f1f"/>
          <w:rtl w:val="0"/>
        </w:rPr>
        <w:t xml:space="preserve">Breakdown of fiduciary governance relationships</w:t>
      </w:r>
    </w:p>
    <w:p w:rsidR="00000000" w:rsidDel="00000000" w:rsidP="00000000" w:rsidRDefault="00000000" w:rsidRPr="00000000" w14:paraId="000000E8">
      <w:pPr>
        <w:numPr>
          <w:ilvl w:val="0"/>
          <w:numId w:val="3"/>
        </w:numPr>
        <w:spacing w:after="0" w:afterAutospacing="0" w:before="0" w:beforeAutospacing="0" w:line="275.9999942779541" w:lineRule="auto"/>
        <w:ind w:left="720" w:hanging="360"/>
        <w:rPr>
          <w:color w:val="1f1f1f"/>
        </w:rPr>
      </w:pPr>
      <w:r w:rsidDel="00000000" w:rsidR="00000000" w:rsidRPr="00000000">
        <w:rPr>
          <w:color w:val="1f1f1f"/>
          <w:rtl w:val="0"/>
        </w:rPr>
        <w:t xml:space="preserve">Indicators consistent with collapse-cycle dynamics</w:t>
      </w:r>
    </w:p>
    <w:p w:rsidR="00000000" w:rsidDel="00000000" w:rsidP="00000000" w:rsidRDefault="00000000" w:rsidRPr="00000000" w14:paraId="000000E9">
      <w:pPr>
        <w:numPr>
          <w:ilvl w:val="0"/>
          <w:numId w:val="3"/>
        </w:numPr>
        <w:spacing w:after="240" w:before="0" w:beforeAutospacing="0" w:line="275.9999942779541" w:lineRule="auto"/>
        <w:ind w:left="720" w:hanging="360"/>
        <w:rPr>
          <w:color w:val="1f1f1f"/>
        </w:rPr>
      </w:pPr>
      <w:r w:rsidDel="00000000" w:rsidR="00000000" w:rsidRPr="00000000">
        <w:rPr>
          <w:color w:val="1f1f1f"/>
          <w:rtl w:val="0"/>
        </w:rPr>
        <w:t xml:space="preserve">Degradation of epistemic health and informational reliability</w:t>
      </w:r>
    </w:p>
    <w:p w:rsidR="00000000" w:rsidDel="00000000" w:rsidP="00000000" w:rsidRDefault="00000000" w:rsidRPr="00000000" w14:paraId="000000EA">
      <w:pPr>
        <w:spacing w:after="240" w:before="240" w:line="275.9999942779541" w:lineRule="auto"/>
        <w:rPr>
          <w:color w:val="1f1f1f"/>
        </w:rPr>
      </w:pPr>
      <w:r w:rsidDel="00000000" w:rsidR="00000000" w:rsidRPr="00000000">
        <w:rPr>
          <w:color w:val="1f1f1f"/>
          <w:rtl w:val="0"/>
        </w:rPr>
        <w:t xml:space="preserve">Although the specific mechanisms differ across cases, the underlying structural dynamics remain remarkably consistent.</w:t>
      </w:r>
    </w:p>
    <w:p w:rsidR="00000000" w:rsidDel="00000000" w:rsidP="00000000" w:rsidRDefault="00000000" w:rsidRPr="00000000" w14:paraId="000000EB">
      <w:pPr>
        <w:spacing w:after="240" w:before="240" w:line="275.9999942779541" w:lineRule="auto"/>
        <w:rPr>
          <w:color w:val="1f1f1f"/>
        </w:rPr>
      </w:pPr>
      <w:r w:rsidDel="00000000" w:rsidR="00000000" w:rsidRPr="00000000">
        <w:rPr>
          <w:color w:val="1f1f1f"/>
          <w:rtl w:val="0"/>
        </w:rPr>
        <w:t xml:space="preserve">This convergence across historically and institutionally distinct systems provides preliminary empirical support for the Agency Calculus hypothesis that systemic resilience depends fundamentally on the equitable distribution of agency and the preservation of epistemic health.</w:t>
      </w:r>
    </w:p>
    <w:p w:rsidR="00000000" w:rsidDel="00000000" w:rsidP="00000000" w:rsidRDefault="00000000" w:rsidRPr="00000000" w14:paraId="000000EC">
      <w:pPr>
        <w:spacing w:after="240" w:before="240" w:line="275.9999942779541" w:lineRule="auto"/>
        <w:rPr>
          <w:color w:val="1f1f1f"/>
        </w:rPr>
      </w:pPr>
      <w:r w:rsidDel="00000000" w:rsidR="00000000" w:rsidRPr="00000000">
        <w:rPr>
          <w:rtl w:val="0"/>
        </w:rPr>
      </w:r>
    </w:p>
    <w:tbl>
      <w:tblPr>
        <w:tblStyle w:val="Table3"/>
        <w:tblW w:w="11445.0" w:type="dxa"/>
        <w:jc w:val="left"/>
        <w:tblInd w:w="-1140.0" w:type="dxa"/>
        <w:tblBorders>
          <w:top w:color="d0e0e3" w:space="0" w:sz="4" w:val="single"/>
          <w:left w:color="d0e0e3" w:space="0" w:sz="4" w:val="single"/>
          <w:bottom w:color="d0e0e3" w:space="0" w:sz="4" w:val="single"/>
          <w:right w:color="d0e0e3" w:space="0" w:sz="4" w:val="single"/>
          <w:insideH w:color="d0e0e3" w:space="0" w:sz="4" w:val="single"/>
          <w:insideV w:color="d0e0e3" w:space="0" w:sz="4" w:val="single"/>
        </w:tblBorders>
        <w:tblLayout w:type="fixed"/>
        <w:tblLook w:val="0600"/>
      </w:tblPr>
      <w:tblGrid>
        <w:gridCol w:w="1200"/>
        <w:gridCol w:w="1950"/>
        <w:gridCol w:w="1650"/>
        <w:gridCol w:w="2370"/>
        <w:gridCol w:w="1860"/>
        <w:gridCol w:w="2415"/>
        <w:tblGridChange w:id="0">
          <w:tblGrid>
            <w:gridCol w:w="1200"/>
            <w:gridCol w:w="1950"/>
            <w:gridCol w:w="1650"/>
            <w:gridCol w:w="2370"/>
            <w:gridCol w:w="1860"/>
            <w:gridCol w:w="2415"/>
          </w:tblGrid>
        </w:tblGridChange>
      </w:tblGrid>
      <w:tr>
        <w:trPr>
          <w:cantSplit w:val="0"/>
          <w:trHeight w:val="660" w:hRule="atLeast"/>
          <w:tblHeader w:val="0"/>
        </w:trPr>
        <w:tc>
          <w:tcPr>
            <w:tcBorders>
              <w:top w:color="d0e0e3" w:space="0" w:sz="4" w:val="single"/>
              <w:left w:color="d0e0e3" w:space="0" w:sz="4" w:val="single"/>
              <w:bottom w:color="d0e0e3" w:space="0" w:sz="4" w:val="single"/>
              <w:right w:color="d0e0e3" w:space="0" w:sz="4" w:val="single"/>
            </w:tcBorders>
            <w:shd w:fill="d0e0e3" w:val="clear"/>
            <w:tcMar>
              <w:top w:w="0.0" w:type="dxa"/>
              <w:left w:w="0.0" w:type="dxa"/>
              <w:bottom w:w="0.0" w:type="dxa"/>
              <w:right w:w="0.0" w:type="dxa"/>
            </w:tcMar>
            <w:vAlign w:val="top"/>
          </w:tcPr>
          <w:p w:rsidR="00000000" w:rsidDel="00000000" w:rsidP="00000000" w:rsidRDefault="00000000" w:rsidRPr="00000000" w14:paraId="000000ED">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Case Study</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44.0" w:type="dxa"/>
              <w:left w:w="-144.0" w:type="dxa"/>
              <w:bottom w:w="-144.0" w:type="dxa"/>
              <w:right w:w="-144.0" w:type="dxa"/>
            </w:tcMar>
            <w:vAlign w:val="top"/>
          </w:tcPr>
          <w:p w:rsidR="00000000" w:rsidDel="00000000" w:rsidP="00000000" w:rsidRDefault="00000000" w:rsidRPr="00000000" w14:paraId="000000EE">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Dimension I: Agency Movement</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44.0" w:type="dxa"/>
              <w:left w:w="-144.0" w:type="dxa"/>
              <w:bottom w:w="-144.0" w:type="dxa"/>
              <w:right w:w="-144.0" w:type="dxa"/>
            </w:tcMar>
            <w:vAlign w:val="top"/>
          </w:tcPr>
          <w:p w:rsidR="00000000" w:rsidDel="00000000" w:rsidP="00000000" w:rsidRDefault="00000000" w:rsidRPr="00000000" w14:paraId="000000EF">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Dimension II: Outgroup Formation</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44.0" w:type="dxa"/>
              <w:left w:w="-144.0" w:type="dxa"/>
              <w:bottom w:w="-144.0" w:type="dxa"/>
              <w:right w:w="-144.0" w:type="dxa"/>
            </w:tcMar>
            <w:vAlign w:val="top"/>
          </w:tcPr>
          <w:p w:rsidR="00000000" w:rsidDel="00000000" w:rsidP="00000000" w:rsidRDefault="00000000" w:rsidRPr="00000000" w14:paraId="000000F0">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Dimension III: Ethical Governance</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44.0" w:type="dxa"/>
              <w:left w:w="-144.0" w:type="dxa"/>
              <w:bottom w:w="-144.0" w:type="dxa"/>
              <w:right w:w="-144.0" w:type="dxa"/>
            </w:tcMar>
            <w:vAlign w:val="top"/>
          </w:tcPr>
          <w:p w:rsidR="00000000" w:rsidDel="00000000" w:rsidP="00000000" w:rsidRDefault="00000000" w:rsidRPr="00000000" w14:paraId="000000F1">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Dimension IV: Collapse Indicators</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44.0" w:type="dxa"/>
              <w:left w:w="-144.0" w:type="dxa"/>
              <w:bottom w:w="-144.0" w:type="dxa"/>
              <w:right w:w="-144.0" w:type="dxa"/>
            </w:tcMar>
            <w:vAlign w:val="top"/>
          </w:tcPr>
          <w:p w:rsidR="00000000" w:rsidDel="00000000" w:rsidP="00000000" w:rsidRDefault="00000000" w:rsidRPr="00000000" w14:paraId="000000F2">
            <w:pPr>
              <w:spacing w:after="240" w:before="240" w:line="275.9999942779541" w:lineRule="auto"/>
              <w:jc w:val="center"/>
              <w:rPr>
                <w:color w:val="1f1f1f"/>
                <w:sz w:val="14"/>
                <w:szCs w:val="14"/>
              </w:rPr>
            </w:pPr>
            <w:r w:rsidDel="00000000" w:rsidR="00000000" w:rsidRPr="00000000">
              <w:rPr>
                <w:b w:val="1"/>
                <w:bCs w:val="1"/>
                <w:color w:val="1f1f1f"/>
                <w:sz w:val="14"/>
                <w:szCs w:val="14"/>
                <w:rtl w:val="0"/>
              </w:rPr>
              <w:t xml:space="preserve">Dimension V: Epistemic Health</w:t>
            </w:r>
            <w:r w:rsidDel="00000000" w:rsidR="00000000" w:rsidRPr="00000000">
              <w:rPr>
                <w:rtl w:val="0"/>
              </w:rPr>
            </w:r>
          </w:p>
        </w:tc>
      </w:tr>
      <w:tr>
        <w:trPr>
          <w:cantSplit w:val="0"/>
          <w:trHeight w:val="1725" w:hRule="atLeast"/>
          <w:tblHeader w:val="0"/>
        </w:trPr>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3">
            <w:pPr>
              <w:spacing w:after="240" w:before="240" w:line="275.9999942779541" w:lineRule="auto"/>
              <w:rPr>
                <w:color w:val="1f1f1f"/>
                <w:sz w:val="14"/>
                <w:szCs w:val="14"/>
              </w:rPr>
            </w:pPr>
            <w:r w:rsidDel="00000000" w:rsidR="00000000" w:rsidRPr="00000000">
              <w:rPr>
                <w:b w:val="1"/>
                <w:bCs w:val="1"/>
                <w:color w:val="1f1f1f"/>
                <w:sz w:val="14"/>
                <w:szCs w:val="14"/>
                <w:rtl w:val="0"/>
              </w:rPr>
              <w:t xml:space="preserve">Late Roman Empire</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4">
            <w:pPr>
              <w:spacing w:after="240" w:before="240" w:line="275.9999942779541" w:lineRule="auto"/>
              <w:rPr>
                <w:color w:val="1f1f1f"/>
                <w:sz w:val="14"/>
                <w:szCs w:val="14"/>
              </w:rPr>
            </w:pPr>
            <w:r w:rsidDel="00000000" w:rsidR="00000000" w:rsidRPr="00000000">
              <w:rPr>
                <w:color w:val="1f1f1f"/>
                <w:sz w:val="14"/>
                <w:szCs w:val="14"/>
                <w:rtl w:val="0"/>
              </w:rPr>
              <w:t xml:space="preserve">Increasing fiscal extraction and bureaucratic centralization reduced local civic autonomy and trapped municipal elites in compulsory administrative roles.</w:t>
            </w:r>
          </w:p>
        </w:tc>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5">
            <w:pPr>
              <w:spacing w:after="240" w:before="240" w:line="275.9999942779541" w:lineRule="auto"/>
              <w:rPr>
                <w:color w:val="1f1f1f"/>
                <w:sz w:val="14"/>
                <w:szCs w:val="14"/>
              </w:rPr>
            </w:pPr>
            <w:r w:rsidDel="00000000" w:rsidR="00000000" w:rsidRPr="00000000">
              <w:rPr>
                <w:color w:val="1f1f1f"/>
                <w:sz w:val="14"/>
                <w:szCs w:val="14"/>
                <w:rtl w:val="0"/>
              </w:rPr>
              <w:t xml:space="preserve">Religious and political identities hardened; pagans, Jews, and heretical sects increasingly framed as threats to social order.</w:t>
            </w:r>
          </w:p>
        </w:tc>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6">
            <w:pPr>
              <w:spacing w:after="240" w:before="240" w:line="275.9999942779541" w:lineRule="auto"/>
              <w:rPr>
                <w:color w:val="1f1f1f"/>
                <w:sz w:val="14"/>
                <w:szCs w:val="14"/>
              </w:rPr>
            </w:pPr>
            <w:r w:rsidDel="00000000" w:rsidR="00000000" w:rsidRPr="00000000">
              <w:rPr>
                <w:color w:val="1f1f1f"/>
                <w:sz w:val="14"/>
                <w:szCs w:val="14"/>
                <w:rtl w:val="0"/>
              </w:rPr>
              <w:t xml:space="preserve">Governance shifted toward coercive enforcement and fiscal extraction rather than reciprocal civic administration.</w:t>
            </w:r>
          </w:p>
        </w:tc>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7">
            <w:pPr>
              <w:spacing w:after="240" w:before="240" w:line="275.9999942779541" w:lineRule="auto"/>
              <w:rPr>
                <w:color w:val="1f1f1f"/>
                <w:sz w:val="14"/>
                <w:szCs w:val="14"/>
              </w:rPr>
            </w:pPr>
            <w:r w:rsidDel="00000000" w:rsidR="00000000" w:rsidRPr="00000000">
              <w:rPr>
                <w:color w:val="1f1f1f"/>
                <w:sz w:val="14"/>
                <w:szCs w:val="14"/>
                <w:rtl w:val="0"/>
              </w:rPr>
              <w:t xml:space="preserve">Economic stratification, military overstretch, administrative complexity, and declining urban institutions aligned with classical collapse dynamics.</w:t>
            </w:r>
          </w:p>
        </w:tc>
        <w:tc>
          <w:tcPr>
            <w:tcBorders>
              <w:top w:color="d0e0e3" w:space="0" w:sz="4" w:val="single"/>
              <w:left w:color="d0e0e3" w:space="0" w:sz="4" w:val="single"/>
              <w:bottom w:color="d0e0e3" w:space="0" w:sz="4" w:val="single"/>
              <w:right w:color="d0e0e3" w:space="0" w:sz="4" w:val="single"/>
            </w:tcBorders>
            <w:tcMar>
              <w:top w:w="-144.0" w:type="dxa"/>
              <w:left w:w="-144.0" w:type="dxa"/>
              <w:bottom w:w="-144.0" w:type="dxa"/>
              <w:right w:w="-144.0" w:type="dxa"/>
            </w:tcMar>
            <w:vAlign w:val="top"/>
          </w:tcPr>
          <w:p w:rsidR="00000000" w:rsidDel="00000000" w:rsidP="00000000" w:rsidRDefault="00000000" w:rsidRPr="00000000" w14:paraId="000000F8">
            <w:pPr>
              <w:spacing w:after="240" w:before="240" w:line="275.9999942779541" w:lineRule="auto"/>
              <w:rPr>
                <w:color w:val="1f1f1f"/>
                <w:sz w:val="14"/>
                <w:szCs w:val="14"/>
              </w:rPr>
            </w:pPr>
            <w:r w:rsidDel="00000000" w:rsidR="00000000" w:rsidRPr="00000000">
              <w:rPr>
                <w:color w:val="1f1f1f"/>
                <w:sz w:val="14"/>
                <w:szCs w:val="14"/>
                <w:rtl w:val="0"/>
              </w:rPr>
              <w:t xml:space="preserve">Suppression of intellectual pluralism and enforcement of doctrinal orthodoxy narrowed the epistemic commons.</w:t>
            </w:r>
          </w:p>
        </w:tc>
      </w:tr>
      <w:tr>
        <w:trPr>
          <w:cantSplit w:val="0"/>
          <w:trHeight w:val="1980" w:hRule="atLeast"/>
          <w:tblHeader w:val="0"/>
        </w:trPr>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275.9999942779541" w:lineRule="auto"/>
              <w:rPr>
                <w:color w:val="1f1f1f"/>
                <w:sz w:val="14"/>
                <w:szCs w:val="14"/>
              </w:rPr>
            </w:pPr>
            <w:r w:rsidDel="00000000" w:rsidR="00000000" w:rsidRPr="00000000">
              <w:rPr>
                <w:b w:val="1"/>
                <w:bCs w:val="1"/>
                <w:color w:val="1f1f1f"/>
                <w:sz w:val="14"/>
                <w:szCs w:val="14"/>
                <w:rtl w:val="0"/>
              </w:rPr>
              <w:t xml:space="preserve">Soviet Union Collapse</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275.9999942779541" w:lineRule="auto"/>
              <w:rPr>
                <w:color w:val="1f1f1f"/>
                <w:sz w:val="14"/>
                <w:szCs w:val="14"/>
              </w:rPr>
            </w:pPr>
            <w:r w:rsidDel="00000000" w:rsidR="00000000" w:rsidRPr="00000000">
              <w:rPr>
                <w:color w:val="1f1f1f"/>
                <w:sz w:val="14"/>
                <w:szCs w:val="14"/>
                <w:rtl w:val="0"/>
              </w:rPr>
              <w:t xml:space="preserve">Centralized planning concentrated decision-making authority while suppressing local initiative and innovation.</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275.9999942779541" w:lineRule="auto"/>
              <w:rPr>
                <w:color w:val="1f1f1f"/>
                <w:sz w:val="14"/>
                <w:szCs w:val="14"/>
              </w:rPr>
            </w:pPr>
            <w:r w:rsidDel="00000000" w:rsidR="00000000" w:rsidRPr="00000000">
              <w:rPr>
                <w:color w:val="1f1f1f"/>
                <w:sz w:val="14"/>
                <w:szCs w:val="14"/>
                <w:rtl w:val="0"/>
              </w:rPr>
              <w:t xml:space="preserve">Republic-level identities hardened as economic grievances intensified; national groups increasingly framed Moscow as an exploitative center.</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275.9999942779541" w:lineRule="auto"/>
              <w:rPr>
                <w:color w:val="1f1f1f"/>
                <w:sz w:val="14"/>
                <w:szCs w:val="14"/>
              </w:rPr>
            </w:pPr>
            <w:r w:rsidDel="00000000" w:rsidR="00000000" w:rsidRPr="00000000">
              <w:rPr>
                <w:color w:val="1f1f1f"/>
                <w:sz w:val="14"/>
                <w:szCs w:val="14"/>
                <w:rtl w:val="0"/>
              </w:rPr>
              <w:t xml:space="preserve">Institutional legitimacy deteriorated as bureaucratic preservation took precedence over public welfare.</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275.9999942779541" w:lineRule="auto"/>
              <w:rPr>
                <w:color w:val="1f1f1f"/>
                <w:sz w:val="14"/>
                <w:szCs w:val="14"/>
              </w:rPr>
            </w:pPr>
            <w:r w:rsidDel="00000000" w:rsidR="00000000" w:rsidRPr="00000000">
              <w:rPr>
                <w:color w:val="1f1f1f"/>
                <w:sz w:val="14"/>
                <w:szCs w:val="14"/>
                <w:rtl w:val="0"/>
              </w:rPr>
              <w:t xml:space="preserve">Economic stagnation, elite factionalism, secession movements, and institutional gridlock preceded rapid systemic dissolution in 1991.</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275.9999942779541" w:lineRule="auto"/>
              <w:rPr>
                <w:color w:val="1f1f1f"/>
                <w:sz w:val="14"/>
                <w:szCs w:val="14"/>
              </w:rPr>
            </w:pPr>
            <w:r w:rsidDel="00000000" w:rsidR="00000000" w:rsidRPr="00000000">
              <w:rPr>
                <w:color w:val="1f1f1f"/>
                <w:sz w:val="14"/>
                <w:szCs w:val="14"/>
                <w:rtl w:val="0"/>
              </w:rPr>
              <w:t xml:space="preserve">Information asymmetries and credibility crises (e.g., Chernobyl) eroded trust in official narratives and state information channels.</w:t>
            </w:r>
          </w:p>
        </w:tc>
      </w:tr>
      <w:tr>
        <w:trPr>
          <w:cantSplit w:val="0"/>
          <w:trHeight w:val="1590" w:hRule="atLeast"/>
          <w:tblHeader w:val="0"/>
        </w:trPr>
        <w:tc>
          <w:tcPr>
            <w:tcBorders>
              <w:top w:color="d0e0e3" w:space="0" w:sz="4" w:val="single"/>
              <w:left w:color="d0e0e3" w:space="0" w:sz="4" w:val="single"/>
              <w:bottom w:color="d0e0e3" w:space="0" w:sz="4" w:val="single"/>
              <w:right w:color="d0e0e3"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5.9999942779541" w:lineRule="auto"/>
              <w:rPr>
                <w:color w:val="1f1f1f"/>
                <w:sz w:val="14"/>
                <w:szCs w:val="14"/>
              </w:rPr>
            </w:pPr>
            <w:r w:rsidDel="00000000" w:rsidR="00000000" w:rsidRPr="00000000">
              <w:rPr>
                <w:b w:val="1"/>
                <w:bCs w:val="1"/>
                <w:color w:val="1f1f1f"/>
                <w:sz w:val="14"/>
                <w:szCs w:val="14"/>
                <w:rtl w:val="0"/>
              </w:rPr>
              <w:t xml:space="preserve">2008 Financial Crisis</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5.9999942779541" w:lineRule="auto"/>
              <w:rPr>
                <w:color w:val="1f1f1f"/>
                <w:sz w:val="14"/>
                <w:szCs w:val="14"/>
              </w:rPr>
            </w:pPr>
            <w:r w:rsidDel="00000000" w:rsidR="00000000" w:rsidRPr="00000000">
              <w:rPr>
                <w:color w:val="1f1f1f"/>
                <w:sz w:val="14"/>
                <w:szCs w:val="14"/>
                <w:rtl w:val="0"/>
              </w:rPr>
              <w:t xml:space="preserve">Financial complexity concentrated decision authority within opaque institutions while households absorbed systemic risk through debt expansion.</w:t>
            </w:r>
          </w:p>
        </w:tc>
        <w:tc>
          <w:tcPr>
            <w:tcBorders>
              <w:top w:color="d0e0e3" w:space="0" w:sz="4" w:val="single"/>
              <w:left w:color="d0e0e3" w:space="0" w:sz="4" w:val="single"/>
              <w:bottom w:color="d0e0e3" w:space="0" w:sz="4" w:val="single"/>
              <w:right w:color="d0e0e3"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5.9999942779541" w:lineRule="auto"/>
              <w:rPr>
                <w:color w:val="1f1f1f"/>
                <w:sz w:val="14"/>
                <w:szCs w:val="14"/>
              </w:rPr>
            </w:pPr>
            <w:r w:rsidDel="00000000" w:rsidR="00000000" w:rsidRPr="00000000">
              <w:rPr>
                <w:color w:val="1f1f1f"/>
                <w:sz w:val="14"/>
                <w:szCs w:val="14"/>
                <w:rtl w:val="0"/>
              </w:rPr>
              <w:t xml:space="preserve">Structurally vulnerable borrower populations—especially subprime mortgage holders—absorbed disproportionate systemic risk.</w:t>
            </w:r>
          </w:p>
        </w:tc>
        <w:tc>
          <w:tcPr>
            <w:tcBorders>
              <w:top w:color="d0e0e3" w:space="0" w:sz="4" w:val="single"/>
              <w:left w:color="d0e0e3" w:space="0" w:sz="4" w:val="single"/>
              <w:bottom w:color="d0e0e3" w:space="0" w:sz="4" w:val="single"/>
              <w:right w:color="d0e0e3"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5.9999942779541" w:lineRule="auto"/>
              <w:rPr>
                <w:color w:val="1f1f1f"/>
                <w:sz w:val="14"/>
                <w:szCs w:val="14"/>
              </w:rPr>
            </w:pPr>
            <w:r w:rsidDel="00000000" w:rsidR="00000000" w:rsidRPr="00000000">
              <w:rPr>
                <w:color w:val="1f1f1f"/>
                <w:sz w:val="14"/>
                <w:szCs w:val="14"/>
                <w:rtl w:val="0"/>
              </w:rPr>
              <w:t xml:space="preserve">Failures of fiduciary responsibility across financial institutions, rating agencies, and regulators undermined system stability.</w:t>
            </w:r>
          </w:p>
        </w:tc>
        <w:tc>
          <w:tcPr>
            <w:tcBorders>
              <w:top w:color="d0e0e3" w:space="0" w:sz="4" w:val="single"/>
              <w:left w:color="d0e0e3" w:space="0" w:sz="4" w:val="single"/>
              <w:bottom w:color="d0e0e3" w:space="0" w:sz="4" w:val="single"/>
              <w:right w:color="d0e0e3"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5.9999942779541" w:lineRule="auto"/>
              <w:rPr>
                <w:color w:val="1f1f1f"/>
                <w:sz w:val="14"/>
                <w:szCs w:val="14"/>
              </w:rPr>
            </w:pPr>
            <w:r w:rsidDel="00000000" w:rsidR="00000000" w:rsidRPr="00000000">
              <w:rPr>
                <w:color w:val="1f1f1f"/>
                <w:sz w:val="14"/>
                <w:szCs w:val="14"/>
                <w:rtl w:val="0"/>
              </w:rPr>
              <w:t xml:space="preserve">Excessive leverage, opaque financial instruments, cascading institutional failures, and global recession demonstrated nonlinear collapse dynamics.</w:t>
            </w:r>
          </w:p>
        </w:tc>
        <w:tc>
          <w:tcPr>
            <w:tcBorders>
              <w:top w:color="d0e0e3" w:space="0" w:sz="4" w:val="single"/>
              <w:left w:color="d0e0e3" w:space="0" w:sz="4" w:val="single"/>
              <w:bottom w:color="d0e0e3" w:space="0" w:sz="4" w:val="single"/>
              <w:right w:color="d0e0e3"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04">
            <w:pPr>
              <w:spacing w:after="240" w:before="240" w:line="275.9999942779541" w:lineRule="auto"/>
              <w:rPr>
                <w:color w:val="1f1f1f"/>
                <w:sz w:val="14"/>
                <w:szCs w:val="14"/>
              </w:rPr>
            </w:pPr>
            <w:r w:rsidDel="00000000" w:rsidR="00000000" w:rsidRPr="00000000">
              <w:rPr>
                <w:color w:val="1f1f1f"/>
                <w:sz w:val="14"/>
                <w:szCs w:val="14"/>
                <w:rtl w:val="0"/>
              </w:rPr>
              <w:t xml:space="preserve">Financial opacity created large epistemic gaps; even institutions holding securities often lacked understanding of embedded risks.</w:t>
            </w:r>
          </w:p>
        </w:tc>
      </w:tr>
      <w:tr>
        <w:trPr>
          <w:cantSplit w:val="0"/>
          <w:trHeight w:val="2400" w:hRule="atLeast"/>
          <w:tblHeader w:val="0"/>
        </w:trPr>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275.9999942779541" w:lineRule="auto"/>
              <w:rPr>
                <w:color w:val="1f1f1f"/>
                <w:sz w:val="14"/>
                <w:szCs w:val="14"/>
              </w:rPr>
            </w:pPr>
            <w:r w:rsidDel="00000000" w:rsidR="00000000" w:rsidRPr="00000000">
              <w:rPr>
                <w:b w:val="1"/>
                <w:bCs w:val="1"/>
                <w:color w:val="1f1f1f"/>
                <w:sz w:val="14"/>
                <w:szCs w:val="14"/>
                <w:rtl w:val="0"/>
              </w:rPr>
              <w:t xml:space="preserve">Modern Social Media Ecosystem</w:t>
            </w:r>
            <w:r w:rsidDel="00000000" w:rsidR="00000000" w:rsidRPr="00000000">
              <w:rPr>
                <w:rtl w:val="0"/>
              </w:rPr>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275.9999942779541" w:lineRule="auto"/>
              <w:rPr>
                <w:color w:val="1f1f1f"/>
                <w:sz w:val="14"/>
                <w:szCs w:val="14"/>
              </w:rPr>
            </w:pPr>
            <w:r w:rsidDel="00000000" w:rsidR="00000000" w:rsidRPr="00000000">
              <w:rPr>
                <w:color w:val="1f1f1f"/>
                <w:sz w:val="14"/>
                <w:szCs w:val="14"/>
                <w:rtl w:val="0"/>
              </w:rPr>
              <w:t xml:space="preserve">Algorithmic recommendation systems concentrate informational agency within platform architectures rather than individual users.</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275.9999942779541" w:lineRule="auto"/>
              <w:rPr>
                <w:color w:val="1f1f1f"/>
                <w:sz w:val="14"/>
                <w:szCs w:val="14"/>
              </w:rPr>
            </w:pPr>
            <w:r w:rsidDel="00000000" w:rsidR="00000000" w:rsidRPr="00000000">
              <w:rPr>
                <w:color w:val="1f1f1f"/>
                <w:sz w:val="14"/>
                <w:szCs w:val="14"/>
                <w:rtl w:val="0"/>
              </w:rPr>
              <w:t xml:space="preserve">Online discourse increasingly organized around identity-driven in-group/out-group dynamics amplified by engagement-based algorithms.</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275.9999942779541" w:lineRule="auto"/>
              <w:rPr>
                <w:color w:val="1f1f1f"/>
                <w:sz w:val="14"/>
                <w:szCs w:val="14"/>
              </w:rPr>
            </w:pPr>
            <w:r w:rsidDel="00000000" w:rsidR="00000000" w:rsidRPr="00000000">
              <w:rPr>
                <w:color w:val="1f1f1f"/>
                <w:sz w:val="14"/>
                <w:szCs w:val="14"/>
                <w:rtl w:val="0"/>
              </w:rPr>
              <w:t xml:space="preserve">Platform incentive structures prioritize engagement over informational integrity, creating ethical misalignment between platform optimization and societal well-being.</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275.9999942779541" w:lineRule="auto"/>
              <w:rPr>
                <w:color w:val="1f1f1f"/>
                <w:sz w:val="14"/>
                <w:szCs w:val="14"/>
              </w:rPr>
            </w:pPr>
            <w:r w:rsidDel="00000000" w:rsidR="00000000" w:rsidRPr="00000000">
              <w:rPr>
                <w:color w:val="1f1f1f"/>
                <w:sz w:val="14"/>
                <w:szCs w:val="14"/>
                <w:rtl w:val="0"/>
              </w:rPr>
              <w:t xml:space="preserve">Polarization, institutional mistrust, and fragmentation of the informational commons increase systemic democratic vulnerability.</w:t>
            </w:r>
          </w:p>
        </w:tc>
        <w:tc>
          <w:tcPr>
            <w:tcBorders>
              <w:top w:color="d0e0e3" w:space="0" w:sz="4" w:val="single"/>
              <w:left w:color="d0e0e3" w:space="0" w:sz="4" w:val="single"/>
              <w:bottom w:color="d0e0e3" w:space="0" w:sz="4" w:val="single"/>
              <w:right w:color="d0e0e3"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275.9999942779541" w:lineRule="auto"/>
              <w:rPr>
                <w:color w:val="1f1f1f"/>
                <w:sz w:val="14"/>
                <w:szCs w:val="14"/>
              </w:rPr>
            </w:pPr>
            <w:r w:rsidDel="00000000" w:rsidR="00000000" w:rsidRPr="00000000">
              <w:rPr>
                <w:color w:val="1f1f1f"/>
                <w:sz w:val="14"/>
                <w:szCs w:val="14"/>
                <w:rtl w:val="0"/>
              </w:rPr>
              <w:t xml:space="preserve">Rapid circulation of misinformation, deepfakes, and algorithmic amplification contributes to rising epistemic vulnerability and informational disorder.</w:t>
            </w:r>
          </w:p>
        </w:tc>
      </w:tr>
    </w:tbl>
    <w:p w:rsidR="00000000" w:rsidDel="00000000" w:rsidP="00000000" w:rsidRDefault="00000000" w:rsidRPr="00000000" w14:paraId="0000010B">
      <w:pPr>
        <w:spacing w:after="240" w:before="240" w:line="275.9999942779541" w:lineRule="auto"/>
        <w:rPr>
          <w:color w:val="1f1f1f"/>
        </w:rPr>
      </w:pPr>
      <w:r w:rsidDel="00000000" w:rsidR="00000000" w:rsidRPr="00000000">
        <w:rPr>
          <w:rtl w:val="0"/>
        </w:rPr>
      </w:r>
    </w:p>
    <w:p w:rsidR="00000000" w:rsidDel="00000000" w:rsidP="00000000" w:rsidRDefault="00000000" w:rsidRPr="00000000" w14:paraId="0000010C">
      <w:pPr>
        <w:spacing w:after="240" w:before="240" w:line="275.9999942779541" w:lineRule="auto"/>
        <w:rPr>
          <w:color w:val="1f1f1f"/>
        </w:rPr>
      </w:pPr>
      <w:r w:rsidDel="00000000" w:rsidR="00000000" w:rsidRPr="00000000">
        <w:rPr>
          <w:rtl w:val="0"/>
        </w:rPr>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Toward Epistemic and Systemic Resilience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of the Agency Calculus framework provides an exhaustive, mathematically grounded, and sociologically nuanced lens through which to evaluate the structural integrity of policies, temporal shifts, and complex socio-technical systems. It forces the observer to move definitively beyond superficial metrics of economic growth or technological efficiency, demanding a rigorous accounting of the true, underlying currency of human flourishing: agency.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multi-dimensional analysis demonstrates that when policies rely on the discretionary obscurity of administrative law or congressional silence, they inherently extract democratic agency, transferring it to opaque bureaucracies and concentrated interests. When political platforms or resource allocation mechanisms rely on the psychological "Othering" of vulnerable groups, they activate an agency restriction model that serves as the primary catalyst for the societal collapse cycle, subsidizing elite overproduction at the cost of the commoners' autonomy. Furthermore, the rapid integration of generative artificial intelligence and hyper-complex administrative infrastructure is quietly bankrupting human understanding, replacing transparent fiduciary care with an insurmountable accumulation of epistemic debt, algorithmic injustice, and interactional friction.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55" w:line="275.9999942779541" w:lineRule="auto"/>
        <w:rPr>
          <w:color w:val="1f1f1f"/>
        </w:rPr>
      </w:pPr>
      <w:r w:rsidDel="00000000" w:rsidR="00000000" w:rsidRPr="00000000">
        <w:rPr>
          <w:rFonts w:ascii="Arial" w:cs="Arial" w:eastAsia="Arial" w:hAnsi="Arial"/>
          <w:color w:val="1f1f1f"/>
          <w:rtl w:val="0"/>
        </w:rPr>
        <w:t xml:space="preserve">To reverse these entropic trends and insulate society against the historical gravity of the collapse cycle, governance architectures and technological design must undergo a fundamental paradigm shift. Systems must be designed strictly for epistemic resilience, prioritizing testimonial transparency, formal verification to eliminate the Liar's Dividend, and the active, deliberate dismantling of cognitive interaction debt. By utilizing the proxy metrics, Agent-Based Models, and System Dynamics outlined in this framework, policymakers, academic researchers, and system architects can continuously audit the flow of autonomy. Only by ensuring that the net flow of agency is distributed equitably, and that the epistemic commons are fiercely protected, can a complex society avoid the catastrophic overshoot of late-stage collapse and achieve a sustainable, resilient steady state.</w:t>
      </w:r>
      <w:r w:rsidDel="00000000" w:rsidR="00000000" w:rsidRPr="00000000">
        <w:rPr>
          <w:rtl w:val="0"/>
        </w:rPr>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14">
      <w:pPr>
        <w:numPr>
          <w:ilvl w:val="0"/>
          <w:numId w:val="5"/>
        </w:numPr>
        <w:spacing w:after="0" w:afterAutospacing="0" w:before="240" w:lineRule="auto"/>
        <w:ind w:left="600" w:hanging="360"/>
      </w:pPr>
      <w:r w:rsidDel="00000000" w:rsidR="00000000" w:rsidRPr="00000000">
        <w:rPr>
          <w:sz w:val="24"/>
          <w:szCs w:val="24"/>
          <w:rtl w:val="0"/>
        </w:rPr>
        <w:t xml:space="preserve">Tajfel, H., &amp; Turner, J. C. (1979). An integrative theory of intergroup conflict. In W. G. Austin &amp; S. Worchel (Eds.), </w:t>
      </w:r>
      <w:r w:rsidDel="00000000" w:rsidR="00000000" w:rsidRPr="00000000">
        <w:rPr>
          <w:i w:val="1"/>
          <w:iCs w:val="1"/>
          <w:sz w:val="24"/>
          <w:szCs w:val="24"/>
          <w:rtl w:val="0"/>
        </w:rPr>
        <w:t xml:space="preserve">The Social Psychology of Intergroup Relations</w:t>
      </w:r>
      <w:r w:rsidDel="00000000" w:rsidR="00000000" w:rsidRPr="00000000">
        <w:rPr>
          <w:sz w:val="24"/>
          <w:szCs w:val="24"/>
          <w:rtl w:val="0"/>
        </w:rPr>
        <w:t xml:space="preserve"> (pp. 33–47). Brooks/Cole. [Primary source for social identity theory and othering dynamics.] See also: Robbins, C. (2024). Keeping the rubes duped: The funhouse mirror of misinformation. </w:t>
      </w:r>
      <w:r w:rsidDel="00000000" w:rsidR="00000000" w:rsidRPr="00000000">
        <w:rPr>
          <w:i w:val="1"/>
          <w:iCs w:val="1"/>
          <w:sz w:val="24"/>
          <w:szCs w:val="24"/>
          <w:rtl w:val="0"/>
        </w:rPr>
        <w:t xml:space="preserve">Medium</w:t>
      </w:r>
      <w:r w:rsidDel="00000000" w:rsidR="00000000" w:rsidRPr="00000000">
        <w:rPr>
          <w:sz w:val="24"/>
          <w:szCs w:val="24"/>
          <w:rtl w:val="0"/>
        </w:rPr>
        <w:t xml:space="preserv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https://medium.com/@caseymrobbins/keeping-the-rubes-duped-d9beb6bdca5f</w:t>
        </w:r>
      </w:hyperlink>
      <w:r w:rsidDel="00000000" w:rsidR="00000000" w:rsidRPr="00000000">
        <w:rPr>
          <w:sz w:val="24"/>
          <w:szCs w:val="24"/>
          <w:rtl w:val="0"/>
        </w:rPr>
        <w:t xml:space="preserve"> [Extended application to contemporary media dynamics.]</w:t>
      </w:r>
    </w:p>
    <w:p w:rsidR="00000000" w:rsidDel="00000000" w:rsidP="00000000" w:rsidRDefault="00000000" w:rsidRPr="00000000" w14:paraId="00000115">
      <w:pPr>
        <w:numPr>
          <w:ilvl w:val="0"/>
          <w:numId w:val="5"/>
        </w:numPr>
        <w:spacing w:after="0" w:afterAutospacing="0" w:before="0" w:beforeAutospacing="0" w:lineRule="auto"/>
        <w:ind w:left="600" w:hanging="360"/>
      </w:pPr>
      <w:r w:rsidDel="00000000" w:rsidR="00000000" w:rsidRPr="00000000">
        <w:rPr>
          <w:sz w:val="24"/>
          <w:szCs w:val="24"/>
          <w:rtl w:val="0"/>
        </w:rPr>
        <w:t xml:space="preserve">Gaventa, J. (1980). </w:t>
      </w:r>
      <w:r w:rsidDel="00000000" w:rsidR="00000000" w:rsidRPr="00000000">
        <w:rPr>
          <w:i w:val="1"/>
          <w:iCs w:val="1"/>
          <w:sz w:val="24"/>
          <w:szCs w:val="24"/>
          <w:rtl w:val="0"/>
        </w:rPr>
        <w:t xml:space="preserve">Power and Powerlessness: Quiescence and Rebellion in an Appalachian Valley</w:t>
      </w:r>
      <w:r w:rsidDel="00000000" w:rsidR="00000000" w:rsidRPr="00000000">
        <w:rPr>
          <w:sz w:val="24"/>
          <w:szCs w:val="24"/>
          <w:rtl w:val="0"/>
        </w:rPr>
        <w:t xml:space="preserve">. University of Illinois Press. [Primary source for agency extraction and structural powerlessness framing.] See also: Robbins, C. (2024). A system on red alert: Quantifying the 1929-style risks in 2025's policies. </w:t>
      </w:r>
      <w:r w:rsidDel="00000000" w:rsidR="00000000" w:rsidRPr="00000000">
        <w:rPr>
          <w:i w:val="1"/>
          <w:iCs w:val="1"/>
          <w:sz w:val="24"/>
          <w:szCs w:val="24"/>
          <w:rtl w:val="0"/>
        </w:rPr>
        <w:t xml:space="preserve">Medium</w:t>
      </w:r>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https://medium.com/@caseymrobbins/a-system-on-red-alert-quantifying-the-1929-style-risks-in-2025s-policies-8e4b5129409d</w:t>
        </w:r>
      </w:hyperlink>
      <w:r w:rsidDel="00000000" w:rsidR="00000000" w:rsidRPr="00000000">
        <w:rPr>
          <w:rtl w:val="0"/>
        </w:rPr>
      </w:r>
    </w:p>
    <w:p w:rsidR="00000000" w:rsidDel="00000000" w:rsidP="00000000" w:rsidRDefault="00000000" w:rsidRPr="00000000" w14:paraId="00000116">
      <w:pPr>
        <w:numPr>
          <w:ilvl w:val="0"/>
          <w:numId w:val="5"/>
        </w:numPr>
        <w:spacing w:after="0" w:afterAutospacing="0" w:before="0" w:beforeAutospacing="0" w:lineRule="auto"/>
        <w:ind w:left="600" w:hanging="360"/>
      </w:pPr>
      <w:r w:rsidDel="00000000" w:rsidR="00000000" w:rsidRPr="00000000">
        <w:rPr>
          <w:sz w:val="24"/>
          <w:szCs w:val="24"/>
          <w:rtl w:val="0"/>
        </w:rPr>
        <w:t xml:space="preserve">Watts, J. (2009). Proposing a place for politics in arbitrary and capricious review. </w:t>
      </w:r>
      <w:r w:rsidDel="00000000" w:rsidR="00000000" w:rsidRPr="00000000">
        <w:rPr>
          <w:i w:val="1"/>
          <w:iCs w:val="1"/>
          <w:sz w:val="24"/>
          <w:szCs w:val="24"/>
          <w:rtl w:val="0"/>
        </w:rPr>
        <w:t xml:space="preserve">University of Washington Law Digital Commons Faculty Articles</w:t>
      </w:r>
      <w:r w:rsidDel="00000000" w:rsidR="00000000" w:rsidRPr="00000000">
        <w:rPr>
          <w:sz w:val="24"/>
          <w:szCs w:val="24"/>
          <w:rtl w:val="0"/>
        </w:rPr>
        <w:t xml:space="preserve">, 42.</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https://digitalcommons.law.uw.edu/cgi/viewcontent.cgi?article=1042&amp;context=faculty-articles</w:t>
        </w:r>
      </w:hyperlink>
      <w:r w:rsidDel="00000000" w:rsidR="00000000" w:rsidRPr="00000000">
        <w:rPr>
          <w:rtl w:val="0"/>
        </w:rPr>
      </w:r>
    </w:p>
    <w:p w:rsidR="00000000" w:rsidDel="00000000" w:rsidP="00000000" w:rsidRDefault="00000000" w:rsidRPr="00000000" w14:paraId="00000117">
      <w:pPr>
        <w:numPr>
          <w:ilvl w:val="0"/>
          <w:numId w:val="5"/>
        </w:numPr>
        <w:spacing w:after="0" w:afterAutospacing="0" w:before="0" w:beforeAutospacing="0" w:lineRule="auto"/>
        <w:ind w:left="600" w:hanging="360"/>
      </w:pPr>
      <w:r w:rsidDel="00000000" w:rsidR="00000000" w:rsidRPr="00000000">
        <w:rPr>
          <w:sz w:val="24"/>
          <w:szCs w:val="24"/>
          <w:rtl w:val="0"/>
        </w:rPr>
        <w:t xml:space="preserve">Livermore, M. A., &amp; Revesz, R. L. (2014). Rethinking health-based environmental standards. </w:t>
      </w:r>
      <w:r w:rsidDel="00000000" w:rsidR="00000000" w:rsidRPr="00000000">
        <w:rPr>
          <w:i w:val="1"/>
          <w:iCs w:val="1"/>
          <w:sz w:val="24"/>
          <w:szCs w:val="24"/>
          <w:rtl w:val="0"/>
        </w:rPr>
        <w:t xml:space="preserve">NYU Law Review</w:t>
      </w:r>
      <w:r w:rsidDel="00000000" w:rsidR="00000000" w:rsidRPr="00000000">
        <w:rPr>
          <w:sz w:val="24"/>
          <w:szCs w:val="24"/>
          <w:rtl w:val="0"/>
        </w:rPr>
        <w:t xml:space="preserve">, 89(4), 1184.</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https://www.nyulawreview.org/wp-content/uploads/2018/08/NYULawReview-89-4-1184-Livermore-Revesz.pdf</w:t>
        </w:r>
      </w:hyperlink>
      <w:r w:rsidDel="00000000" w:rsidR="00000000" w:rsidRPr="00000000">
        <w:rPr>
          <w:rtl w:val="0"/>
        </w:rPr>
      </w:r>
    </w:p>
    <w:p w:rsidR="00000000" w:rsidDel="00000000" w:rsidP="00000000" w:rsidRDefault="00000000" w:rsidRPr="00000000" w14:paraId="00000118">
      <w:pPr>
        <w:numPr>
          <w:ilvl w:val="0"/>
          <w:numId w:val="5"/>
        </w:numPr>
        <w:spacing w:after="0" w:afterAutospacing="0" w:before="0" w:beforeAutospacing="0" w:lineRule="auto"/>
        <w:ind w:left="600" w:hanging="360"/>
      </w:pPr>
      <w:r w:rsidDel="00000000" w:rsidR="00000000" w:rsidRPr="00000000">
        <w:rPr>
          <w:sz w:val="24"/>
          <w:szCs w:val="24"/>
          <w:rtl w:val="0"/>
        </w:rPr>
        <w:t xml:space="preserve">Heinzerling, L. (2006). Benefits, costs, and risks: Oversight of health and environmental decisionmaking. </w:t>
      </w:r>
      <w:r w:rsidDel="00000000" w:rsidR="00000000" w:rsidRPr="00000000">
        <w:rPr>
          <w:i w:val="1"/>
          <w:iCs w:val="1"/>
          <w:sz w:val="24"/>
          <w:szCs w:val="24"/>
          <w:rtl w:val="0"/>
        </w:rPr>
        <w:t xml:space="preserve">University of Washington Law Digital Commons Faculty Articles</w:t>
      </w:r>
      <w:r w:rsidDel="00000000" w:rsidR="00000000" w:rsidRPr="00000000">
        <w:rPr>
          <w:sz w:val="24"/>
          <w:szCs w:val="24"/>
          <w:rtl w:val="0"/>
        </w:rPr>
        <w:t xml:space="preserve">, 270.</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https://digitalcommons.law.uw.edu/cgi/viewcontent.cgi?article=1270&amp;context=faculty-articles</w:t>
        </w:r>
      </w:hyperlink>
      <w:r w:rsidDel="00000000" w:rsidR="00000000" w:rsidRPr="00000000">
        <w:rPr>
          <w:rtl w:val="0"/>
        </w:rPr>
      </w:r>
    </w:p>
    <w:p w:rsidR="00000000" w:rsidDel="00000000" w:rsidP="00000000" w:rsidRDefault="00000000" w:rsidRPr="00000000" w14:paraId="00000119">
      <w:pPr>
        <w:numPr>
          <w:ilvl w:val="0"/>
          <w:numId w:val="5"/>
        </w:numPr>
        <w:spacing w:after="0" w:afterAutospacing="0" w:before="0" w:beforeAutospacing="0" w:lineRule="auto"/>
        <w:ind w:left="600" w:hanging="360"/>
      </w:pPr>
      <w:r w:rsidDel="00000000" w:rsidR="00000000" w:rsidRPr="00000000">
        <w:rPr>
          <w:sz w:val="24"/>
          <w:szCs w:val="24"/>
          <w:rtl w:val="0"/>
        </w:rPr>
        <w:t xml:space="preserve">Animal Legal Defense Fund. (2023, April 10). Comment letter to Kevin Shea, Administrator, USDA Animal and Plant Health Inspection Service [Re: Animal Welfare Act].</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https://aldf.org/wp-content/uploads/2023/04/2023-04-10-AWA-Final-Comment-Letter.pdf</w:t>
        </w:r>
      </w:hyperlink>
      <w:r w:rsidDel="00000000" w:rsidR="00000000" w:rsidRPr="00000000">
        <w:rPr>
          <w:rtl w:val="0"/>
        </w:rPr>
      </w:r>
    </w:p>
    <w:p w:rsidR="00000000" w:rsidDel="00000000" w:rsidP="00000000" w:rsidRDefault="00000000" w:rsidRPr="00000000" w14:paraId="0000011A">
      <w:pPr>
        <w:numPr>
          <w:ilvl w:val="0"/>
          <w:numId w:val="5"/>
        </w:numPr>
        <w:spacing w:after="0" w:afterAutospacing="0" w:before="0" w:beforeAutospacing="0" w:lineRule="auto"/>
        <w:ind w:left="600" w:hanging="360"/>
      </w:pPr>
      <w:r w:rsidDel="00000000" w:rsidR="00000000" w:rsidRPr="00000000">
        <w:rPr>
          <w:sz w:val="24"/>
          <w:szCs w:val="24"/>
          <w:rtl w:val="0"/>
        </w:rPr>
        <w:t xml:space="preserve">Flynn, C. (2015). Treading the path of least resistance: FDA's regulation of the subtherapeutic use of antibiotics in animal agriculture, 1970–2015. </w:t>
      </w:r>
      <w:r w:rsidDel="00000000" w:rsidR="00000000" w:rsidRPr="00000000">
        <w:rPr>
          <w:i w:val="1"/>
          <w:iCs w:val="1"/>
          <w:sz w:val="24"/>
          <w:szCs w:val="24"/>
          <w:rtl w:val="0"/>
        </w:rPr>
        <w:t xml:space="preserve">Yale University Department of Political Science</w:t>
      </w:r>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https://politicalscience.yale.edu/sites/default/files/files/Flynn_Colleen.pdf</w:t>
        </w:r>
      </w:hyperlink>
      <w:r w:rsidDel="00000000" w:rsidR="00000000" w:rsidRPr="00000000">
        <w:rPr>
          <w:rtl w:val="0"/>
        </w:rPr>
      </w:r>
    </w:p>
    <w:p w:rsidR="00000000" w:rsidDel="00000000" w:rsidP="00000000" w:rsidRDefault="00000000" w:rsidRPr="00000000" w14:paraId="0000011B">
      <w:pPr>
        <w:numPr>
          <w:ilvl w:val="0"/>
          <w:numId w:val="5"/>
        </w:numPr>
        <w:spacing w:after="0" w:afterAutospacing="0" w:before="0" w:beforeAutospacing="0" w:lineRule="auto"/>
        <w:ind w:left="600" w:hanging="360"/>
      </w:pPr>
      <w:r w:rsidDel="00000000" w:rsidR="00000000" w:rsidRPr="00000000">
        <w:rPr>
          <w:i w:val="1"/>
          <w:iCs w:val="1"/>
          <w:sz w:val="24"/>
          <w:szCs w:val="24"/>
          <w:rtl w:val="0"/>
        </w:rPr>
        <w:t xml:space="preserve">Duke Law Journal</w:t>
      </w:r>
      <w:r w:rsidDel="00000000" w:rsidR="00000000" w:rsidRPr="00000000">
        <w:rPr>
          <w:sz w:val="24"/>
          <w:szCs w:val="24"/>
          <w:rtl w:val="0"/>
        </w:rPr>
        <w:t xml:space="preserve"> [Remand without vacation doctrine].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https://scholarship.law.duke.edu/cgi/viewcontent.cgi?article=1198&amp;context=dlj</w:t>
        </w:r>
      </w:hyperlink>
      <w:r w:rsidDel="00000000" w:rsidR="00000000" w:rsidRPr="00000000">
        <w:rPr>
          <w:rtl w:val="0"/>
        </w:rPr>
      </w:r>
    </w:p>
    <w:p w:rsidR="00000000" w:rsidDel="00000000" w:rsidP="00000000" w:rsidRDefault="00000000" w:rsidRPr="00000000" w14:paraId="0000011C">
      <w:pPr>
        <w:numPr>
          <w:ilvl w:val="0"/>
          <w:numId w:val="5"/>
        </w:numPr>
        <w:spacing w:after="0" w:afterAutospacing="0" w:before="0" w:beforeAutospacing="0" w:lineRule="auto"/>
        <w:ind w:left="600" w:hanging="360"/>
      </w:pPr>
      <w:r w:rsidDel="00000000" w:rsidR="00000000" w:rsidRPr="00000000">
        <w:rPr>
          <w:sz w:val="24"/>
          <w:szCs w:val="24"/>
          <w:rtl w:val="0"/>
        </w:rPr>
        <w:t xml:space="preserve">U.S. Environmental Protection Agency Science Advisory Board. (2012, July 26). </w:t>
      </w:r>
      <w:r w:rsidDel="00000000" w:rsidR="00000000" w:rsidRPr="00000000">
        <w:rPr>
          <w:i w:val="1"/>
          <w:iCs w:val="1"/>
          <w:sz w:val="24"/>
          <w:szCs w:val="24"/>
          <w:rtl w:val="0"/>
        </w:rPr>
        <w:t xml:space="preserve">SAB draft report for quality review: EPA's accounting framework for biogenic CO2 emissions from stationary sources</w:t>
      </w:r>
      <w:r w:rsidDel="00000000" w:rsidR="00000000" w:rsidRPr="00000000">
        <w:rPr>
          <w:sz w:val="24"/>
          <w:szCs w:val="24"/>
          <w:rtl w:val="0"/>
        </w:rPr>
        <w:t xml:space="preserve">. EPA NEPIS.</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https://nepis.epa.gov/Exe/ZyPURL.cgi?Dockey=P1014IXG.TXT</w:t>
        </w:r>
      </w:hyperlink>
      <w:r w:rsidDel="00000000" w:rsidR="00000000" w:rsidRPr="00000000">
        <w:rPr>
          <w:rtl w:val="0"/>
        </w:rPr>
      </w:r>
    </w:p>
    <w:p w:rsidR="00000000" w:rsidDel="00000000" w:rsidP="00000000" w:rsidRDefault="00000000" w:rsidRPr="00000000" w14:paraId="0000011D">
      <w:pPr>
        <w:numPr>
          <w:ilvl w:val="0"/>
          <w:numId w:val="5"/>
        </w:numPr>
        <w:spacing w:after="0" w:afterAutospacing="0" w:before="0" w:beforeAutospacing="0" w:lineRule="auto"/>
        <w:ind w:left="600" w:hanging="360"/>
      </w:pPr>
      <w:r w:rsidDel="00000000" w:rsidR="00000000" w:rsidRPr="00000000">
        <w:rPr>
          <w:sz w:val="24"/>
          <w:szCs w:val="24"/>
          <w:rtl w:val="0"/>
        </w:rPr>
        <w:t xml:space="preserve">Berman, E., &amp; Lake, D. A. (Eds.). (2019). </w:t>
      </w:r>
      <w:r w:rsidDel="00000000" w:rsidR="00000000" w:rsidRPr="00000000">
        <w:rPr>
          <w:i w:val="1"/>
          <w:iCs w:val="1"/>
          <w:sz w:val="24"/>
          <w:szCs w:val="24"/>
          <w:rtl w:val="0"/>
        </w:rPr>
        <w:t xml:space="preserve">Proxy Wars: Suppressing Violence through Local Agents</w:t>
      </w:r>
      <w:r w:rsidDel="00000000" w:rsidR="00000000" w:rsidRPr="00000000">
        <w:rPr>
          <w:sz w:val="24"/>
          <w:szCs w:val="24"/>
          <w:rtl w:val="0"/>
        </w:rPr>
        <w:t xml:space="preserve">. Empirical Studies of Conflict, Princeton University.</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https://esoc.princeton.edu/publications/proxy-wars-suppressing-violence-through-local-agents</w:t>
        </w:r>
      </w:hyperlink>
      <w:r w:rsidDel="00000000" w:rsidR="00000000" w:rsidRPr="00000000">
        <w:rPr>
          <w:rtl w:val="0"/>
        </w:rPr>
      </w:r>
    </w:p>
    <w:p w:rsidR="00000000" w:rsidDel="00000000" w:rsidP="00000000" w:rsidRDefault="00000000" w:rsidRPr="00000000" w14:paraId="0000011E">
      <w:pPr>
        <w:numPr>
          <w:ilvl w:val="0"/>
          <w:numId w:val="5"/>
        </w:numPr>
        <w:spacing w:after="0" w:afterAutospacing="0" w:before="0" w:beforeAutospacing="0" w:lineRule="auto"/>
        <w:ind w:left="600" w:hanging="360"/>
      </w:pPr>
      <w:r w:rsidDel="00000000" w:rsidR="00000000" w:rsidRPr="00000000">
        <w:rPr>
          <w:sz w:val="24"/>
          <w:szCs w:val="24"/>
          <w:rtl w:val="0"/>
        </w:rPr>
        <w:t xml:space="preserve">de Wijk, R. (2014). </w:t>
      </w:r>
      <w:r w:rsidDel="00000000" w:rsidR="00000000" w:rsidRPr="00000000">
        <w:rPr>
          <w:i w:val="1"/>
          <w:iCs w:val="1"/>
          <w:sz w:val="24"/>
          <w:szCs w:val="24"/>
          <w:rtl w:val="0"/>
        </w:rPr>
        <w:t xml:space="preserve">The Political Power of Proxies</w:t>
      </w:r>
      <w:r w:rsidDel="00000000" w:rsidR="00000000" w:rsidRPr="00000000">
        <w:rPr>
          <w:sz w:val="24"/>
          <w:szCs w:val="24"/>
          <w:rtl w:val="0"/>
        </w:rPr>
        <w:t xml:space="preserve">. Leiden University Scholarly Publications.</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https://scholarlypublications.universiteitleiden.nl/access/item%253A3076589/download</w:t>
        </w:r>
      </w:hyperlink>
      <w:r w:rsidDel="00000000" w:rsidR="00000000" w:rsidRPr="00000000">
        <w:rPr>
          <w:rtl w:val="0"/>
        </w:rPr>
      </w:r>
    </w:p>
    <w:p w:rsidR="00000000" w:rsidDel="00000000" w:rsidP="00000000" w:rsidRDefault="00000000" w:rsidRPr="00000000" w14:paraId="0000011F">
      <w:pPr>
        <w:numPr>
          <w:ilvl w:val="0"/>
          <w:numId w:val="5"/>
        </w:numPr>
        <w:spacing w:after="0" w:afterAutospacing="0" w:before="0" w:beforeAutospacing="0" w:lineRule="auto"/>
        <w:ind w:left="600" w:hanging="360"/>
      </w:pPr>
      <w:r w:rsidDel="00000000" w:rsidR="00000000" w:rsidRPr="00000000">
        <w:rPr>
          <w:sz w:val="24"/>
          <w:szCs w:val="24"/>
          <w:rtl w:val="0"/>
        </w:rPr>
        <w:t xml:space="preserve">Moghadam, A. (2017). Exploitative, transactional, coercive, cultural, and contractual: Toward a better theory of proxy war. </w:t>
      </w:r>
      <w:r w:rsidDel="00000000" w:rsidR="00000000" w:rsidRPr="00000000">
        <w:rPr>
          <w:i w:val="1"/>
          <w:iCs w:val="1"/>
          <w:sz w:val="24"/>
          <w:szCs w:val="24"/>
          <w:rtl w:val="0"/>
        </w:rPr>
        <w:t xml:space="preserve">Modern War Institute at West Point</w:t>
      </w:r>
      <w:r w:rsidDel="00000000" w:rsidR="00000000" w:rsidRPr="00000000">
        <w:rPr>
          <w:sz w:val="24"/>
          <w:szCs w:val="24"/>
          <w:rtl w:val="0"/>
        </w:rPr>
        <w:t xml:space="preserv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https://mwi.westpoint.edu/exploitative-transactional-coercive-cultural-contractual-toward-better-theory-proxy-war/</w:t>
        </w:r>
      </w:hyperlink>
      <w:r w:rsidDel="00000000" w:rsidR="00000000" w:rsidRPr="00000000">
        <w:rPr>
          <w:rtl w:val="0"/>
        </w:rPr>
      </w:r>
    </w:p>
    <w:p w:rsidR="00000000" w:rsidDel="00000000" w:rsidP="00000000" w:rsidRDefault="00000000" w:rsidRPr="00000000" w14:paraId="00000120">
      <w:pPr>
        <w:numPr>
          <w:ilvl w:val="0"/>
          <w:numId w:val="5"/>
        </w:numPr>
        <w:spacing w:after="0" w:afterAutospacing="0" w:before="0" w:beforeAutospacing="0" w:lineRule="auto"/>
        <w:ind w:left="600" w:hanging="360"/>
      </w:pPr>
      <w:r w:rsidDel="00000000" w:rsidR="00000000" w:rsidRPr="00000000">
        <w:rPr>
          <w:sz w:val="24"/>
          <w:szCs w:val="24"/>
          <w:rtl w:val="0"/>
        </w:rPr>
        <w:t xml:space="preserve">Sammut, G., &amp; Bauer, M. W. (2011). Reification and the refugee: Using a counterposing dialogical analysis to unlock a frozen category. </w:t>
      </w:r>
      <w:r w:rsidDel="00000000" w:rsidR="00000000" w:rsidRPr="00000000">
        <w:rPr>
          <w:i w:val="1"/>
          <w:iCs w:val="1"/>
          <w:sz w:val="24"/>
          <w:szCs w:val="24"/>
          <w:rtl w:val="0"/>
        </w:rPr>
        <w:t xml:space="preserve">Journal of Social and Political Psychology</w:t>
      </w:r>
      <w:r w:rsidDel="00000000" w:rsidR="00000000" w:rsidRPr="00000000">
        <w:rPr>
          <w:sz w:val="24"/>
          <w:szCs w:val="24"/>
          <w:rtl w:val="0"/>
        </w:rPr>
        <w:t xml:space="preserve">, 5(1).</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https://oro.open.ac.uk/62164/10/656-7488-4-PB.pdf</w:t>
        </w:r>
      </w:hyperlink>
      <w:r w:rsidDel="00000000" w:rsidR="00000000" w:rsidRPr="00000000">
        <w:rPr>
          <w:rtl w:val="0"/>
        </w:rPr>
      </w:r>
    </w:p>
    <w:p w:rsidR="00000000" w:rsidDel="00000000" w:rsidP="00000000" w:rsidRDefault="00000000" w:rsidRPr="00000000" w14:paraId="00000121">
      <w:pPr>
        <w:numPr>
          <w:ilvl w:val="0"/>
          <w:numId w:val="5"/>
        </w:numPr>
        <w:spacing w:after="0" w:afterAutospacing="0" w:before="0" w:beforeAutospacing="0" w:lineRule="auto"/>
        <w:ind w:left="600" w:hanging="360"/>
      </w:pPr>
      <w:r w:rsidDel="00000000" w:rsidR="00000000" w:rsidRPr="00000000">
        <w:rPr>
          <w:sz w:val="24"/>
          <w:szCs w:val="24"/>
          <w:rtl w:val="0"/>
        </w:rPr>
        <w:t xml:space="preserve">Murphy, M. P., &amp; Farrell, A. (2012). </w:t>
      </w:r>
      <w:r w:rsidDel="00000000" w:rsidR="00000000" w:rsidRPr="00000000">
        <w:rPr>
          <w:i w:val="1"/>
          <w:iCs w:val="1"/>
          <w:sz w:val="24"/>
          <w:szCs w:val="24"/>
          <w:rtl w:val="0"/>
        </w:rPr>
        <w:t xml:space="preserve">The "High Road" Back to Work</w:t>
      </w:r>
      <w:r w:rsidDel="00000000" w:rsidR="00000000" w:rsidRPr="00000000">
        <w:rPr>
          <w:sz w:val="24"/>
          <w:szCs w:val="24"/>
          <w:rtl w:val="0"/>
        </w:rPr>
        <w:t xml:space="preserve">. Maynooth University.</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https://www.maynoothuniversity.ie/sites/default/files/assets/document/HighRoadReportPDF.pdf</w:t>
        </w:r>
      </w:hyperlink>
      <w:r w:rsidDel="00000000" w:rsidR="00000000" w:rsidRPr="00000000">
        <w:rPr>
          <w:rtl w:val="0"/>
        </w:rPr>
      </w:r>
    </w:p>
    <w:p w:rsidR="00000000" w:rsidDel="00000000" w:rsidP="00000000" w:rsidRDefault="00000000" w:rsidRPr="00000000" w14:paraId="00000122">
      <w:pPr>
        <w:numPr>
          <w:ilvl w:val="0"/>
          <w:numId w:val="5"/>
        </w:numPr>
        <w:spacing w:after="0" w:afterAutospacing="0" w:before="0" w:beforeAutospacing="0" w:lineRule="auto"/>
        <w:ind w:left="600" w:hanging="360"/>
      </w:pPr>
      <w:r w:rsidDel="00000000" w:rsidR="00000000" w:rsidRPr="00000000">
        <w:rPr>
          <w:sz w:val="24"/>
          <w:szCs w:val="24"/>
          <w:rtl w:val="0"/>
        </w:rPr>
        <w:t xml:space="preserve">Vuori, S. (2018). </w:t>
      </w:r>
      <w:r w:rsidDel="00000000" w:rsidR="00000000" w:rsidRPr="00000000">
        <w:rPr>
          <w:i w:val="1"/>
          <w:iCs w:val="1"/>
          <w:sz w:val="24"/>
          <w:szCs w:val="24"/>
          <w:rtl w:val="0"/>
        </w:rPr>
        <w:t xml:space="preserve">Studies on Two Interventions Among the Unemployed</w:t>
      </w:r>
      <w:r w:rsidDel="00000000" w:rsidR="00000000" w:rsidRPr="00000000">
        <w:rPr>
          <w:sz w:val="24"/>
          <w:szCs w:val="24"/>
          <w:rtl w:val="0"/>
        </w:rPr>
        <w:t xml:space="preserve">. Tampere University Press (TREPO).</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https://trepo.tuni.fi/bitstream/handle/10024/103501/978-952-03-0763-9.pdf</w:t>
        </w:r>
      </w:hyperlink>
      <w:r w:rsidDel="00000000" w:rsidR="00000000" w:rsidRPr="00000000">
        <w:rPr>
          <w:rtl w:val="0"/>
        </w:rPr>
      </w:r>
    </w:p>
    <w:p w:rsidR="00000000" w:rsidDel="00000000" w:rsidP="00000000" w:rsidRDefault="00000000" w:rsidRPr="00000000" w14:paraId="00000123">
      <w:pPr>
        <w:numPr>
          <w:ilvl w:val="0"/>
          <w:numId w:val="5"/>
        </w:numPr>
        <w:spacing w:after="0" w:afterAutospacing="0" w:before="0" w:beforeAutospacing="0" w:lineRule="auto"/>
        <w:ind w:left="600" w:hanging="360"/>
      </w:pPr>
      <w:r w:rsidDel="00000000" w:rsidR="00000000" w:rsidRPr="00000000">
        <w:rPr>
          <w:sz w:val="24"/>
          <w:szCs w:val="24"/>
          <w:rtl w:val="0"/>
        </w:rPr>
        <w:t xml:space="preserve">Sammut, G., &amp; Bauer, M. W. (2019). Reification and the refugee: Using a counterposing dialogical analysis to unlock a frozen category. </w:t>
      </w:r>
      <w:r w:rsidDel="00000000" w:rsidR="00000000" w:rsidRPr="00000000">
        <w:rPr>
          <w:i w:val="1"/>
          <w:iCs w:val="1"/>
          <w:sz w:val="24"/>
          <w:szCs w:val="24"/>
          <w:rtl w:val="0"/>
        </w:rPr>
        <w:t xml:space="preserve">Journal of Social and Political Psychology</w:t>
      </w:r>
      <w:r w:rsidDel="00000000" w:rsidR="00000000" w:rsidRPr="00000000">
        <w:rPr>
          <w:sz w:val="24"/>
          <w:szCs w:val="24"/>
          <w:rtl w:val="0"/>
        </w:rPr>
        <w:t xml:space="preserve">, 7(1), 656–748.</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https://jspp.psychopen.eu/index.php/jspp/article/view/5161/5161.html</w:t>
        </w:r>
      </w:hyperlink>
      <w:r w:rsidDel="00000000" w:rsidR="00000000" w:rsidRPr="00000000">
        <w:rPr>
          <w:rtl w:val="0"/>
        </w:rPr>
      </w:r>
    </w:p>
    <w:p w:rsidR="00000000" w:rsidDel="00000000" w:rsidP="00000000" w:rsidRDefault="00000000" w:rsidRPr="00000000" w14:paraId="00000124">
      <w:pPr>
        <w:numPr>
          <w:ilvl w:val="0"/>
          <w:numId w:val="5"/>
        </w:numPr>
        <w:spacing w:after="0" w:afterAutospacing="0" w:before="0" w:beforeAutospacing="0" w:lineRule="auto"/>
        <w:ind w:left="600" w:hanging="360"/>
      </w:pPr>
      <w:r w:rsidDel="00000000" w:rsidR="00000000" w:rsidRPr="00000000">
        <w:rPr>
          <w:sz w:val="24"/>
          <w:szCs w:val="24"/>
          <w:rtl w:val="0"/>
        </w:rPr>
        <w:t xml:space="preserve">Guess, A. M., et al. (2023). Ideological self-selection in online news exposure: Evidence from Europe and the US. </w:t>
      </w:r>
      <w:r w:rsidDel="00000000" w:rsidR="00000000" w:rsidRPr="00000000">
        <w:rPr>
          <w:i w:val="1"/>
          <w:iCs w:val="1"/>
          <w:sz w:val="24"/>
          <w:szCs w:val="24"/>
          <w:rtl w:val="0"/>
        </w:rPr>
        <w:t xml:space="preserve">PLOS ONE</w:t>
      </w:r>
      <w:r w:rsidDel="00000000" w:rsidR="00000000" w:rsidRPr="00000000">
        <w:rPr>
          <w:sz w:val="24"/>
          <w:szCs w:val="24"/>
          <w:rtl w:val="0"/>
        </w:rPr>
        <w:t xml:space="preserve"> [via ResearchGate].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https://www.researchgate.net/publication/384018371_Ideological_self-selection_in_online_news_exposure_Evidence_from_Europe_and_the_US</w:t>
        </w:r>
      </w:hyperlink>
      <w:r w:rsidDel="00000000" w:rsidR="00000000" w:rsidRPr="00000000">
        <w:rPr>
          <w:rtl w:val="0"/>
        </w:rPr>
      </w:r>
    </w:p>
    <w:p w:rsidR="00000000" w:rsidDel="00000000" w:rsidP="00000000" w:rsidRDefault="00000000" w:rsidRPr="00000000" w14:paraId="00000125">
      <w:pPr>
        <w:numPr>
          <w:ilvl w:val="0"/>
          <w:numId w:val="5"/>
        </w:numPr>
        <w:spacing w:after="0" w:afterAutospacing="0" w:before="0" w:beforeAutospacing="0" w:lineRule="auto"/>
        <w:ind w:left="600" w:hanging="360"/>
      </w:pPr>
      <w:r w:rsidDel="00000000" w:rsidR="00000000" w:rsidRPr="00000000">
        <w:rPr>
          <w:sz w:val="24"/>
          <w:szCs w:val="24"/>
          <w:rtl w:val="0"/>
        </w:rPr>
        <w:t xml:space="preserve">Barnett, R. (2025). The University of Reading's LLM experience as a mirror of higher education: Epistemic clientelism, optocratic drift, and the pedagogy of fiduciary dialogue. </w:t>
      </w:r>
      <w:r w:rsidDel="00000000" w:rsidR="00000000" w:rsidRPr="00000000">
        <w:rPr>
          <w:i w:val="1"/>
          <w:iCs w:val="1"/>
          <w:sz w:val="24"/>
          <w:szCs w:val="24"/>
          <w:rtl w:val="0"/>
        </w:rPr>
        <w:t xml:space="preserve">ResearchGate</w:t>
      </w:r>
      <w:r w:rsidDel="00000000" w:rsidR="00000000" w:rsidRPr="00000000">
        <w:rPr>
          <w:sz w:val="24"/>
          <w:szCs w:val="24"/>
          <w:rtl w:val="0"/>
        </w:rPr>
        <w:t xml:space="preserv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https://www.researchgate.net/publication/396648465</w:t>
        </w:r>
      </w:hyperlink>
      <w:r w:rsidDel="00000000" w:rsidR="00000000" w:rsidRPr="00000000">
        <w:rPr>
          <w:rtl w:val="0"/>
        </w:rPr>
      </w:r>
    </w:p>
    <w:p w:rsidR="00000000" w:rsidDel="00000000" w:rsidP="00000000" w:rsidRDefault="00000000" w:rsidRPr="00000000" w14:paraId="00000126">
      <w:pPr>
        <w:numPr>
          <w:ilvl w:val="0"/>
          <w:numId w:val="5"/>
        </w:numPr>
        <w:spacing w:after="0" w:afterAutospacing="0" w:before="0" w:beforeAutospacing="0" w:lineRule="auto"/>
        <w:ind w:left="600" w:hanging="360"/>
      </w:pPr>
      <w:r w:rsidDel="00000000" w:rsidR="00000000" w:rsidRPr="00000000">
        <w:rPr>
          <w:sz w:val="24"/>
          <w:szCs w:val="24"/>
          <w:rtl w:val="0"/>
        </w:rPr>
        <w:t xml:space="preserve">Villa, J. M. (2023). Remaking environmental justice. </w:t>
      </w:r>
      <w:r w:rsidDel="00000000" w:rsidR="00000000" w:rsidRPr="00000000">
        <w:rPr>
          <w:i w:val="1"/>
          <w:iCs w:val="1"/>
          <w:sz w:val="24"/>
          <w:szCs w:val="24"/>
          <w:rtl w:val="0"/>
        </w:rPr>
        <w:t xml:space="preserve">Loyola Law Review</w:t>
      </w:r>
      <w:r w:rsidDel="00000000" w:rsidR="00000000" w:rsidRPr="00000000">
        <w:rPr>
          <w:sz w:val="24"/>
          <w:szCs w:val="24"/>
          <w:rtl w:val="0"/>
        </w:rPr>
        <w:t xml:space="preserve">, 66(2).</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https://dspace.loyno.edu/jspui/bitstream/123456789/174/1/Villa%20-%20LLR%20-%2066.2.pdf</w:t>
        </w:r>
      </w:hyperlink>
      <w:r w:rsidDel="00000000" w:rsidR="00000000" w:rsidRPr="00000000">
        <w:rPr>
          <w:rtl w:val="0"/>
        </w:rPr>
      </w:r>
    </w:p>
    <w:p w:rsidR="00000000" w:rsidDel="00000000" w:rsidP="00000000" w:rsidRDefault="00000000" w:rsidRPr="00000000" w14:paraId="00000127">
      <w:pPr>
        <w:numPr>
          <w:ilvl w:val="0"/>
          <w:numId w:val="5"/>
        </w:numPr>
        <w:spacing w:after="0" w:afterAutospacing="0" w:before="0" w:beforeAutospacing="0" w:lineRule="auto"/>
        <w:ind w:left="600" w:hanging="360"/>
      </w:pPr>
      <w:r w:rsidDel="00000000" w:rsidR="00000000" w:rsidRPr="00000000">
        <w:rPr>
          <w:sz w:val="24"/>
          <w:szCs w:val="24"/>
          <w:rtl w:val="0"/>
        </w:rPr>
        <w:t xml:space="preserve">Stephenson, M. C., &amp; Pogoriler, M. (2013). Seminole Rock's domain. </w:t>
      </w:r>
      <w:r w:rsidDel="00000000" w:rsidR="00000000" w:rsidRPr="00000000">
        <w:rPr>
          <w:i w:val="1"/>
          <w:iCs w:val="1"/>
          <w:sz w:val="24"/>
          <w:szCs w:val="24"/>
          <w:rtl w:val="0"/>
        </w:rPr>
        <w:t xml:space="preserve">Georgetown Journal of Law &amp; Public Policy</w:t>
      </w:r>
      <w:r w:rsidDel="00000000" w:rsidR="00000000" w:rsidRPr="00000000">
        <w:rPr>
          <w:sz w:val="24"/>
          <w:szCs w:val="24"/>
          <w:rtl w:val="0"/>
        </w:rPr>
        <w:t xml:space="preserve">, 16(1).</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https://www.law.georgetown.edu/public-policy-journal/wp-content/uploads/sites/23/2018/05/16-1-Revisiting-Seminole-Rock.pdf</w:t>
        </w:r>
      </w:hyperlink>
      <w:r w:rsidDel="00000000" w:rsidR="00000000" w:rsidRPr="00000000">
        <w:rPr>
          <w:rtl w:val="0"/>
        </w:rPr>
      </w:r>
    </w:p>
    <w:p w:rsidR="00000000" w:rsidDel="00000000" w:rsidP="00000000" w:rsidRDefault="00000000" w:rsidRPr="00000000" w14:paraId="00000128">
      <w:pPr>
        <w:numPr>
          <w:ilvl w:val="0"/>
          <w:numId w:val="5"/>
        </w:numPr>
        <w:spacing w:after="0" w:afterAutospacing="0" w:before="0" w:beforeAutospacing="0" w:lineRule="auto"/>
        <w:ind w:left="600" w:hanging="360"/>
      </w:pPr>
      <w:r w:rsidDel="00000000" w:rsidR="00000000" w:rsidRPr="00000000">
        <w:rPr>
          <w:sz w:val="24"/>
          <w:szCs w:val="24"/>
          <w:rtl w:val="0"/>
        </w:rPr>
        <w:t xml:space="preserve">Grossi, N. M. (2025). Epistemic injustice in generative AI: Probabilistic generation, trust erosion, and the structural conditions of algorithmic knowledge harm. </w:t>
      </w:r>
      <w:r w:rsidDel="00000000" w:rsidR="00000000" w:rsidRPr="00000000">
        <w:rPr>
          <w:i w:val="1"/>
          <w:iCs w:val="1"/>
          <w:sz w:val="24"/>
          <w:szCs w:val="24"/>
          <w:rtl w:val="0"/>
        </w:rPr>
        <w:t xml:space="preserve">ResearchGate</w:t>
      </w:r>
      <w:r w:rsidDel="00000000" w:rsidR="00000000" w:rsidRPr="00000000">
        <w:rPr>
          <w:sz w:val="24"/>
          <w:szCs w:val="24"/>
          <w:rtl w:val="0"/>
        </w:rPr>
        <w:t xml:space="preserve">.</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https://www.researchgate.net/publication/401818738</w:t>
        </w:r>
      </w:hyperlink>
      <w:r w:rsidDel="00000000" w:rsidR="00000000" w:rsidRPr="00000000">
        <w:rPr>
          <w:rtl w:val="0"/>
        </w:rPr>
      </w:r>
    </w:p>
    <w:p w:rsidR="00000000" w:rsidDel="00000000" w:rsidP="00000000" w:rsidRDefault="00000000" w:rsidRPr="00000000" w14:paraId="00000129">
      <w:pPr>
        <w:numPr>
          <w:ilvl w:val="0"/>
          <w:numId w:val="5"/>
        </w:numPr>
        <w:spacing w:after="0" w:afterAutospacing="0" w:before="0" w:beforeAutospacing="0" w:lineRule="auto"/>
        <w:ind w:left="600" w:hanging="360"/>
      </w:pPr>
      <w:r w:rsidDel="00000000" w:rsidR="00000000" w:rsidRPr="00000000">
        <w:rPr>
          <w:sz w:val="24"/>
          <w:szCs w:val="24"/>
          <w:rtl w:val="0"/>
        </w:rPr>
        <w:t xml:space="preserve">Chesney, R., &amp; Citron, D. K. (2019). Deep fakes: A looming challenge for privacy, democracy, and national security. </w:t>
      </w:r>
      <w:r w:rsidDel="00000000" w:rsidR="00000000" w:rsidRPr="00000000">
        <w:rPr>
          <w:i w:val="1"/>
          <w:iCs w:val="1"/>
          <w:sz w:val="24"/>
          <w:szCs w:val="24"/>
          <w:rtl w:val="0"/>
        </w:rPr>
        <w:t xml:space="preserve">California Law Review</w:t>
      </w:r>
      <w:r w:rsidDel="00000000" w:rsidR="00000000" w:rsidRPr="00000000">
        <w:rPr>
          <w:sz w:val="24"/>
          <w:szCs w:val="24"/>
          <w:rtl w:val="0"/>
        </w:rPr>
        <w:t xml:space="preserve">, 107(6), 1753–1820. [Primary peer-reviewed source for the Liar's Dividend concept and the collapse of evidentiary trust under synthetic media.] See also: Grossi, N. M. (2024). Award winning framework, for award winning facts. </w:t>
      </w:r>
      <w:r w:rsidDel="00000000" w:rsidR="00000000" w:rsidRPr="00000000">
        <w:rPr>
          <w:i w:val="1"/>
          <w:iCs w:val="1"/>
          <w:sz w:val="24"/>
          <w:szCs w:val="24"/>
          <w:rtl w:val="0"/>
        </w:rPr>
        <w:t xml:space="preserve">Medium</w:t>
      </w:r>
      <w:r w:rsidDel="00000000" w:rsidR="00000000" w:rsidRPr="00000000">
        <w:rPr>
          <w:sz w:val="24"/>
          <w:szCs w:val="24"/>
          <w:rtl w:val="0"/>
        </w:rPr>
        <w:t xml:space="preserve">.</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https://medium.com/@devdollzai/award-winning-framework-for-award-winning-facts-905c293c6d5a</w:t>
        </w:r>
      </w:hyperlink>
      <w:r w:rsidDel="00000000" w:rsidR="00000000" w:rsidRPr="00000000">
        <w:rPr>
          <w:sz w:val="24"/>
          <w:szCs w:val="24"/>
          <w:rtl w:val="0"/>
        </w:rPr>
        <w:t xml:space="preserve"> [Applied discussion of the verification economy concept.]</w:t>
      </w:r>
    </w:p>
    <w:p w:rsidR="00000000" w:rsidDel="00000000" w:rsidP="00000000" w:rsidRDefault="00000000" w:rsidRPr="00000000" w14:paraId="0000012A">
      <w:pPr>
        <w:numPr>
          <w:ilvl w:val="0"/>
          <w:numId w:val="5"/>
        </w:numPr>
        <w:spacing w:after="0" w:afterAutospacing="0" w:before="0" w:beforeAutospacing="0" w:lineRule="auto"/>
        <w:ind w:left="600" w:hanging="360"/>
      </w:pPr>
      <w:r w:rsidDel="00000000" w:rsidR="00000000" w:rsidRPr="00000000">
        <w:rPr>
          <w:sz w:val="24"/>
          <w:szCs w:val="24"/>
          <w:rtl w:val="0"/>
        </w:rPr>
        <w:t xml:space="preserve">Motesharrei, S., Rivas, J., &amp; Kalnay, E. (2014). Modeling inequality and use of resources in the collapse or sustainability of societies. </w:t>
      </w:r>
      <w:r w:rsidDel="00000000" w:rsidR="00000000" w:rsidRPr="00000000">
        <w:rPr>
          <w:i w:val="1"/>
          <w:iCs w:val="1"/>
          <w:sz w:val="24"/>
          <w:szCs w:val="24"/>
          <w:rtl w:val="0"/>
        </w:rPr>
        <w:t xml:space="preserve">Ecological Economics</w:t>
      </w:r>
      <w:r w:rsidDel="00000000" w:rsidR="00000000" w:rsidRPr="00000000">
        <w:rPr>
          <w:sz w:val="24"/>
          <w:szCs w:val="24"/>
          <w:rtl w:val="0"/>
        </w:rPr>
        <w:t xml:space="preserve">, 101, 90–102.</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https://cdurable.info/wp-content/uploads/2018/11/1-s2.0-s0921800914000615-main-de5.pdf</w:t>
        </w:r>
      </w:hyperlink>
      <w:r w:rsidDel="00000000" w:rsidR="00000000" w:rsidRPr="00000000">
        <w:rPr>
          <w:rtl w:val="0"/>
        </w:rPr>
      </w:r>
    </w:p>
    <w:p w:rsidR="00000000" w:rsidDel="00000000" w:rsidP="00000000" w:rsidRDefault="00000000" w:rsidRPr="00000000" w14:paraId="0000012B">
      <w:pPr>
        <w:numPr>
          <w:ilvl w:val="0"/>
          <w:numId w:val="5"/>
        </w:numPr>
        <w:spacing w:after="0" w:afterAutospacing="0" w:before="0" w:beforeAutospacing="0" w:lineRule="auto"/>
        <w:ind w:left="600" w:hanging="360"/>
      </w:pPr>
      <w:r w:rsidDel="00000000" w:rsidR="00000000" w:rsidRPr="00000000">
        <w:rPr>
          <w:sz w:val="24"/>
          <w:szCs w:val="24"/>
          <w:rtl w:val="0"/>
        </w:rPr>
        <w:t xml:space="preserve">Motesharrei, S., Rivas, J., &amp; Kalnay, E. (2014). Human and nature dynamics (HANDY): Modeling inequality and use of resources in the collapse or sustainability of societies. </w:t>
      </w:r>
      <w:r w:rsidDel="00000000" w:rsidR="00000000" w:rsidRPr="00000000">
        <w:rPr>
          <w:i w:val="1"/>
          <w:iCs w:val="1"/>
          <w:sz w:val="24"/>
          <w:szCs w:val="24"/>
          <w:rtl w:val="0"/>
        </w:rPr>
        <w:t xml:space="preserve">Academia.edu</w:t>
      </w:r>
      <w:r w:rsidDel="00000000" w:rsidR="00000000" w:rsidRPr="00000000">
        <w:rPr>
          <w:sz w:val="24"/>
          <w:szCs w:val="24"/>
          <w:rtl w:val="0"/>
        </w:rPr>
        <w:t xml:space="preserve">.</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https://www.academia.edu/96197477/Human_and_nature_dynamics_HANDY</w:t>
        </w:r>
      </w:hyperlink>
      <w:r w:rsidDel="00000000" w:rsidR="00000000" w:rsidRPr="00000000">
        <w:rPr>
          <w:rtl w:val="0"/>
        </w:rPr>
      </w:r>
    </w:p>
    <w:p w:rsidR="00000000" w:rsidDel="00000000" w:rsidP="00000000" w:rsidRDefault="00000000" w:rsidRPr="00000000" w14:paraId="0000012C">
      <w:pPr>
        <w:numPr>
          <w:ilvl w:val="0"/>
          <w:numId w:val="5"/>
        </w:numPr>
        <w:spacing w:after="0" w:afterAutospacing="0" w:before="0" w:beforeAutospacing="0" w:lineRule="auto"/>
        <w:ind w:left="600" w:hanging="360"/>
      </w:pPr>
      <w:r w:rsidDel="00000000" w:rsidR="00000000" w:rsidRPr="00000000">
        <w:rPr>
          <w:sz w:val="24"/>
          <w:szCs w:val="24"/>
          <w:rtl w:val="0"/>
        </w:rPr>
        <w:t xml:space="preserve">Spengler, O. (1918/1926). </w:t>
      </w:r>
      <w:r w:rsidDel="00000000" w:rsidR="00000000" w:rsidRPr="00000000">
        <w:rPr>
          <w:i w:val="1"/>
          <w:iCs w:val="1"/>
          <w:sz w:val="24"/>
          <w:szCs w:val="24"/>
          <w:rtl w:val="0"/>
        </w:rPr>
        <w:t xml:space="preserve">The Decline of the West</w:t>
      </w:r>
      <w:r w:rsidDel="00000000" w:rsidR="00000000" w:rsidRPr="00000000">
        <w:rPr>
          <w:sz w:val="24"/>
          <w:szCs w:val="24"/>
          <w:rtl w:val="0"/>
        </w:rPr>
        <w:t xml:space="preserve"> [discussed in]: The prophets of doom. </w:t>
      </w:r>
      <w:r w:rsidDel="00000000" w:rsidR="00000000" w:rsidRPr="00000000">
        <w:rPr>
          <w:i w:val="1"/>
          <w:iCs w:val="1"/>
          <w:sz w:val="24"/>
          <w:szCs w:val="24"/>
          <w:rtl w:val="0"/>
        </w:rPr>
        <w:t xml:space="preserve">DOKUMEN.PUB</w:t>
      </w:r>
      <w:r w:rsidDel="00000000" w:rsidR="00000000" w:rsidRPr="00000000">
        <w:rPr>
          <w:sz w:val="24"/>
          <w:szCs w:val="24"/>
          <w:rtl w:val="0"/>
        </w:rPr>
        <w:t xml:space="preserve">.</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https://dokumen.pub/the-prophets-of-doom.html</w:t>
        </w:r>
      </w:hyperlink>
      <w:r w:rsidDel="00000000" w:rsidR="00000000" w:rsidRPr="00000000">
        <w:rPr>
          <w:rtl w:val="0"/>
        </w:rPr>
      </w:r>
    </w:p>
    <w:p w:rsidR="00000000" w:rsidDel="00000000" w:rsidP="00000000" w:rsidRDefault="00000000" w:rsidRPr="00000000" w14:paraId="0000012D">
      <w:pPr>
        <w:numPr>
          <w:ilvl w:val="0"/>
          <w:numId w:val="5"/>
        </w:numPr>
        <w:spacing w:after="0" w:afterAutospacing="0" w:before="0" w:beforeAutospacing="0" w:lineRule="auto"/>
        <w:ind w:left="600" w:hanging="360"/>
      </w:pPr>
      <w:r w:rsidDel="00000000" w:rsidR="00000000" w:rsidRPr="00000000">
        <w:rPr>
          <w:sz w:val="24"/>
          <w:szCs w:val="24"/>
          <w:rtl w:val="0"/>
        </w:rPr>
        <w:t xml:space="preserve">Dalrymple, K. E., &amp; Scheufele, D. A. (2023). Architecting trust in artificial epistemic agents. </w:t>
      </w:r>
      <w:r w:rsidDel="00000000" w:rsidR="00000000" w:rsidRPr="00000000">
        <w:rPr>
          <w:i w:val="1"/>
          <w:iCs w:val="1"/>
          <w:sz w:val="24"/>
          <w:szCs w:val="24"/>
          <w:rtl w:val="0"/>
        </w:rPr>
        <w:t xml:space="preserve">arXiv preprint</w:t>
      </w:r>
      <w:r w:rsidDel="00000000" w:rsidR="00000000" w:rsidRPr="00000000">
        <w:rPr>
          <w:sz w:val="24"/>
          <w:szCs w:val="24"/>
          <w:rtl w:val="0"/>
        </w:rPr>
        <w:t xml:space="preserve">.</w:t>
      </w:r>
      <w:hyperlink r:id="rId56">
        <w:r w:rsidDel="00000000" w:rsidR="00000000" w:rsidRPr="00000000">
          <w:rPr>
            <w:sz w:val="24"/>
            <w:szCs w:val="24"/>
            <w:rtl w:val="0"/>
          </w:rPr>
          <w:t xml:space="preserve"> </w:t>
        </w:r>
      </w:hyperlink>
      <w:hyperlink r:id="rId57">
        <w:r w:rsidDel="00000000" w:rsidR="00000000" w:rsidRPr="00000000">
          <w:rPr>
            <w:color w:val="1155cc"/>
            <w:sz w:val="24"/>
            <w:szCs w:val="24"/>
            <w:u w:val="single"/>
            <w:rtl w:val="0"/>
          </w:rPr>
          <w:t xml:space="preserve">https://arxiv.org/html/2603.02960v1</w:t>
        </w:r>
      </w:hyperlink>
      <w:r w:rsidDel="00000000" w:rsidR="00000000" w:rsidRPr="00000000">
        <w:rPr>
          <w:rtl w:val="0"/>
        </w:rPr>
      </w:r>
    </w:p>
    <w:p w:rsidR="00000000" w:rsidDel="00000000" w:rsidP="00000000" w:rsidRDefault="00000000" w:rsidRPr="00000000" w14:paraId="0000012E">
      <w:pPr>
        <w:numPr>
          <w:ilvl w:val="0"/>
          <w:numId w:val="5"/>
        </w:numPr>
        <w:spacing w:after="0" w:afterAutospacing="0" w:before="0" w:beforeAutospacing="0" w:lineRule="auto"/>
        <w:ind w:left="600" w:hanging="360"/>
      </w:pPr>
      <w:r w:rsidDel="00000000" w:rsidR="00000000" w:rsidRPr="00000000">
        <w:rPr>
          <w:sz w:val="24"/>
          <w:szCs w:val="24"/>
          <w:rtl w:val="0"/>
        </w:rPr>
        <w:t xml:space="preserve">Cassam, Q. (2023). Epistemic health, epistemic immunity and epistemic inoculation. </w:t>
      </w:r>
      <w:r w:rsidDel="00000000" w:rsidR="00000000" w:rsidRPr="00000000">
        <w:rPr>
          <w:i w:val="1"/>
          <w:iCs w:val="1"/>
          <w:sz w:val="24"/>
          <w:szCs w:val="24"/>
          <w:rtl w:val="0"/>
        </w:rPr>
        <w:t xml:space="preserve">PMC/NIH</w:t>
      </w:r>
      <w:r w:rsidDel="00000000" w:rsidR="00000000" w:rsidRPr="00000000">
        <w:rPr>
          <w:sz w:val="24"/>
          <w:szCs w:val="24"/>
          <w:rtl w:val="0"/>
        </w:rPr>
        <w:t xml:space="preserve">.</w:t>
      </w:r>
      <w:hyperlink r:id="rId58">
        <w:r w:rsidDel="00000000" w:rsidR="00000000" w:rsidRPr="00000000">
          <w:rPr>
            <w:sz w:val="24"/>
            <w:szCs w:val="24"/>
            <w:rtl w:val="0"/>
          </w:rPr>
          <w:t xml:space="preserve"> </w:t>
        </w:r>
      </w:hyperlink>
      <w:hyperlink r:id="rId59">
        <w:r w:rsidDel="00000000" w:rsidR="00000000" w:rsidRPr="00000000">
          <w:rPr>
            <w:color w:val="1155cc"/>
            <w:sz w:val="24"/>
            <w:szCs w:val="24"/>
            <w:u w:val="single"/>
            <w:rtl w:val="0"/>
          </w:rPr>
          <w:t xml:space="preserve">https://pmc.ncbi.nlm.nih.gov/articles/PMC10235842/</w:t>
        </w:r>
      </w:hyperlink>
      <w:r w:rsidDel="00000000" w:rsidR="00000000" w:rsidRPr="00000000">
        <w:rPr>
          <w:rtl w:val="0"/>
        </w:rPr>
      </w:r>
    </w:p>
    <w:p w:rsidR="00000000" w:rsidDel="00000000" w:rsidP="00000000" w:rsidRDefault="00000000" w:rsidRPr="00000000" w14:paraId="0000012F">
      <w:pPr>
        <w:numPr>
          <w:ilvl w:val="0"/>
          <w:numId w:val="5"/>
        </w:numPr>
        <w:spacing w:after="0" w:afterAutospacing="0" w:before="0" w:beforeAutospacing="0" w:lineRule="auto"/>
        <w:ind w:left="600" w:hanging="360"/>
      </w:pPr>
      <w:r w:rsidDel="00000000" w:rsidR="00000000" w:rsidRPr="00000000">
        <w:rPr>
          <w:sz w:val="24"/>
          <w:szCs w:val="24"/>
          <w:rtl w:val="0"/>
        </w:rPr>
        <w:t xml:space="preserve">Cassam, Q. (2023). Epistemic health, epistemic immunity and epistemic inoculation. </w:t>
      </w:r>
      <w:r w:rsidDel="00000000" w:rsidR="00000000" w:rsidRPr="00000000">
        <w:rPr>
          <w:i w:val="1"/>
          <w:iCs w:val="1"/>
          <w:sz w:val="24"/>
          <w:szCs w:val="24"/>
          <w:rtl w:val="0"/>
        </w:rPr>
        <w:t xml:space="preserve">PubMed</w:t>
      </w:r>
      <w:r w:rsidDel="00000000" w:rsidR="00000000" w:rsidRPr="00000000">
        <w:rPr>
          <w:sz w:val="24"/>
          <w:szCs w:val="24"/>
          <w:rtl w:val="0"/>
        </w:rPr>
        <w:t xml:space="preserve">.</w:t>
      </w:r>
      <w:hyperlink r:id="rId60">
        <w:r w:rsidDel="00000000" w:rsidR="00000000" w:rsidRPr="00000000">
          <w:rPr>
            <w:sz w:val="24"/>
            <w:szCs w:val="24"/>
            <w:rtl w:val="0"/>
          </w:rPr>
          <w:t xml:space="preserve"> </w:t>
        </w:r>
      </w:hyperlink>
      <w:hyperlink r:id="rId61">
        <w:r w:rsidDel="00000000" w:rsidR="00000000" w:rsidRPr="00000000">
          <w:rPr>
            <w:color w:val="1155cc"/>
            <w:sz w:val="24"/>
            <w:szCs w:val="24"/>
            <w:u w:val="single"/>
            <w:rtl w:val="0"/>
          </w:rPr>
          <w:t xml:space="preserve">https://pubmed.ncbi.nlm.nih.gov/37360965/</w:t>
        </w:r>
      </w:hyperlink>
      <w:r w:rsidDel="00000000" w:rsidR="00000000" w:rsidRPr="00000000">
        <w:rPr>
          <w:rtl w:val="0"/>
        </w:rPr>
      </w:r>
    </w:p>
    <w:p w:rsidR="00000000" w:rsidDel="00000000" w:rsidP="00000000" w:rsidRDefault="00000000" w:rsidRPr="00000000" w14:paraId="00000130">
      <w:pPr>
        <w:numPr>
          <w:ilvl w:val="0"/>
          <w:numId w:val="5"/>
        </w:numPr>
        <w:spacing w:after="0" w:afterAutospacing="0" w:before="0" w:beforeAutospacing="0" w:lineRule="auto"/>
        <w:ind w:left="600" w:hanging="360"/>
      </w:pPr>
      <w:r w:rsidDel="00000000" w:rsidR="00000000" w:rsidRPr="00000000">
        <w:rPr>
          <w:sz w:val="24"/>
          <w:szCs w:val="24"/>
          <w:rtl w:val="0"/>
        </w:rPr>
        <w:t xml:space="preserve">Zollman, K. J. S. (2020). Vulnerability in social epistemic networks. </w:t>
      </w:r>
      <w:r w:rsidDel="00000000" w:rsidR="00000000" w:rsidRPr="00000000">
        <w:rPr>
          <w:i w:val="1"/>
          <w:iCs w:val="1"/>
          <w:sz w:val="24"/>
          <w:szCs w:val="24"/>
          <w:rtl w:val="0"/>
        </w:rPr>
        <w:t xml:space="preserve">ResearchGate</w:t>
      </w:r>
      <w:r w:rsidDel="00000000" w:rsidR="00000000" w:rsidRPr="00000000">
        <w:rPr>
          <w:sz w:val="24"/>
          <w:szCs w:val="24"/>
          <w:rtl w:val="0"/>
        </w:rPr>
        <w:t xml:space="preserve">.</w:t>
      </w:r>
      <w:hyperlink r:id="rId62">
        <w:r w:rsidDel="00000000" w:rsidR="00000000" w:rsidRPr="00000000">
          <w:rPr>
            <w:sz w:val="24"/>
            <w:szCs w:val="24"/>
            <w:rtl w:val="0"/>
          </w:rPr>
          <w:t xml:space="preserve"> </w:t>
        </w:r>
      </w:hyperlink>
      <w:hyperlink r:id="rId63">
        <w:r w:rsidDel="00000000" w:rsidR="00000000" w:rsidRPr="00000000">
          <w:rPr>
            <w:color w:val="1155cc"/>
            <w:sz w:val="24"/>
            <w:szCs w:val="24"/>
            <w:u w:val="single"/>
            <w:rtl w:val="0"/>
          </w:rPr>
          <w:t xml:space="preserve">https://www.researchgate.net/publication/342362940_Vulnerability_in_Social_Epistemic_Networks</w:t>
        </w:r>
      </w:hyperlink>
      <w:r w:rsidDel="00000000" w:rsidR="00000000" w:rsidRPr="00000000">
        <w:rPr>
          <w:rtl w:val="0"/>
        </w:rPr>
      </w:r>
    </w:p>
    <w:p w:rsidR="00000000" w:rsidDel="00000000" w:rsidP="00000000" w:rsidRDefault="00000000" w:rsidRPr="00000000" w14:paraId="00000131">
      <w:pPr>
        <w:numPr>
          <w:ilvl w:val="0"/>
          <w:numId w:val="5"/>
        </w:numPr>
        <w:spacing w:after="0" w:afterAutospacing="0" w:before="0" w:beforeAutospacing="0" w:lineRule="auto"/>
        <w:ind w:left="600" w:hanging="360"/>
      </w:pPr>
      <w:r w:rsidDel="00000000" w:rsidR="00000000" w:rsidRPr="00000000">
        <w:rPr>
          <w:sz w:val="24"/>
          <w:szCs w:val="24"/>
          <w:rtl w:val="0"/>
        </w:rPr>
        <w:t xml:space="preserve">Ramah, G. (2025). The new debt: How autonomous AI is quietly bankrupting human understanding. </w:t>
      </w:r>
      <w:r w:rsidDel="00000000" w:rsidR="00000000" w:rsidRPr="00000000">
        <w:rPr>
          <w:i w:val="1"/>
          <w:iCs w:val="1"/>
          <w:sz w:val="24"/>
          <w:szCs w:val="24"/>
          <w:rtl w:val="0"/>
        </w:rPr>
        <w:t xml:space="preserve">Medium</w:t>
      </w:r>
      <w:r w:rsidDel="00000000" w:rsidR="00000000" w:rsidRPr="00000000">
        <w:rPr>
          <w:sz w:val="24"/>
          <w:szCs w:val="24"/>
          <w:rtl w:val="0"/>
        </w:rPr>
        <w:t xml:space="preserve">.</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https://medium.com/@garyramah_39120/the-new-debt-how-autonomous-ai-is-quietly-bankrupting-human-understanding-80c34d3d6918</w:t>
        </w:r>
      </w:hyperlink>
      <w:r w:rsidDel="00000000" w:rsidR="00000000" w:rsidRPr="00000000">
        <w:rPr>
          <w:rtl w:val="0"/>
        </w:rPr>
      </w:r>
    </w:p>
    <w:p w:rsidR="00000000" w:rsidDel="00000000" w:rsidP="00000000" w:rsidRDefault="00000000" w:rsidRPr="00000000" w14:paraId="00000132">
      <w:pPr>
        <w:numPr>
          <w:ilvl w:val="0"/>
          <w:numId w:val="5"/>
        </w:numPr>
        <w:spacing w:after="0" w:afterAutospacing="0" w:before="0" w:beforeAutospacing="0" w:lineRule="auto"/>
        <w:ind w:left="600" w:hanging="360"/>
      </w:pPr>
      <w:r w:rsidDel="00000000" w:rsidR="00000000" w:rsidRPr="00000000">
        <w:rPr>
          <w:sz w:val="24"/>
          <w:szCs w:val="24"/>
          <w:rtl w:val="0"/>
        </w:rPr>
        <w:t xml:space="preserve">Prather, J., et al. (2025). Mitigating "epistemic debt" in generative AI-scaffolded novice programming using metacognitive scripts. </w:t>
      </w:r>
      <w:r w:rsidDel="00000000" w:rsidR="00000000" w:rsidRPr="00000000">
        <w:rPr>
          <w:i w:val="1"/>
          <w:iCs w:val="1"/>
          <w:sz w:val="24"/>
          <w:szCs w:val="24"/>
          <w:rtl w:val="0"/>
        </w:rPr>
        <w:t xml:space="preserve">arXiv</w:t>
      </w:r>
      <w:r w:rsidDel="00000000" w:rsidR="00000000" w:rsidRPr="00000000">
        <w:rPr>
          <w:sz w:val="24"/>
          <w:szCs w:val="24"/>
          <w:rtl w:val="0"/>
        </w:rPr>
        <w:t xml:space="preserve">.</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https://arxiv.org/html/2602.20206v2</w:t>
        </w:r>
      </w:hyperlink>
      <w:r w:rsidDel="00000000" w:rsidR="00000000" w:rsidRPr="00000000">
        <w:rPr>
          <w:rtl w:val="0"/>
        </w:rPr>
      </w:r>
    </w:p>
    <w:p w:rsidR="00000000" w:rsidDel="00000000" w:rsidP="00000000" w:rsidRDefault="00000000" w:rsidRPr="00000000" w14:paraId="00000133">
      <w:pPr>
        <w:numPr>
          <w:ilvl w:val="0"/>
          <w:numId w:val="5"/>
        </w:numPr>
        <w:spacing w:after="0" w:afterAutospacing="0" w:before="0" w:beforeAutospacing="0" w:lineRule="auto"/>
        <w:ind w:left="600" w:hanging="360"/>
      </w:pPr>
      <w:r w:rsidDel="00000000" w:rsidR="00000000" w:rsidRPr="00000000">
        <w:rPr>
          <w:sz w:val="24"/>
          <w:szCs w:val="24"/>
          <w:rtl w:val="0"/>
        </w:rPr>
        <w:t xml:space="preserve">Prather, J., et al. (2025). Mitigating "epistemic debt" in generative AI-scaffolded novice programming using metacognitive scripts. </w:t>
      </w:r>
      <w:r w:rsidDel="00000000" w:rsidR="00000000" w:rsidRPr="00000000">
        <w:rPr>
          <w:i w:val="1"/>
          <w:iCs w:val="1"/>
          <w:sz w:val="24"/>
          <w:szCs w:val="24"/>
          <w:rtl w:val="0"/>
        </w:rPr>
        <w:t xml:space="preserve">arXiv</w:t>
      </w:r>
      <w:r w:rsidDel="00000000" w:rsidR="00000000" w:rsidRPr="00000000">
        <w:rPr>
          <w:sz w:val="24"/>
          <w:szCs w:val="24"/>
          <w:rtl w:val="0"/>
        </w:rPr>
        <w:t xml:space="preserve"> (v1).</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https://arxiv.org/html/2602.20206v1</w:t>
        </w:r>
      </w:hyperlink>
      <w:r w:rsidDel="00000000" w:rsidR="00000000" w:rsidRPr="00000000">
        <w:rPr>
          <w:rtl w:val="0"/>
        </w:rPr>
      </w:r>
    </w:p>
    <w:p w:rsidR="00000000" w:rsidDel="00000000" w:rsidP="00000000" w:rsidRDefault="00000000" w:rsidRPr="00000000" w14:paraId="00000134">
      <w:pPr>
        <w:numPr>
          <w:ilvl w:val="0"/>
          <w:numId w:val="5"/>
        </w:numPr>
        <w:spacing w:after="0" w:afterAutospacing="0" w:before="0" w:beforeAutospacing="0" w:lineRule="auto"/>
        <w:ind w:left="600" w:hanging="360"/>
      </w:pPr>
      <w:r w:rsidDel="00000000" w:rsidR="00000000" w:rsidRPr="00000000">
        <w:rPr>
          <w:sz w:val="24"/>
          <w:szCs w:val="24"/>
          <w:rtl w:val="0"/>
        </w:rPr>
        <w:t xml:space="preserve">Prather, J., et al. (2025). Mitigating "epistemic debt" in generative AI-scaffolded novice programming using metacognitive scripts. </w:t>
      </w:r>
      <w:r w:rsidDel="00000000" w:rsidR="00000000" w:rsidRPr="00000000">
        <w:rPr>
          <w:i w:val="1"/>
          <w:iCs w:val="1"/>
          <w:sz w:val="24"/>
          <w:szCs w:val="24"/>
          <w:rtl w:val="0"/>
        </w:rPr>
        <w:t xml:space="preserve">ResearchGate</w:t>
      </w:r>
      <w:r w:rsidDel="00000000" w:rsidR="00000000" w:rsidRPr="00000000">
        <w:rPr>
          <w:sz w:val="24"/>
          <w:szCs w:val="24"/>
          <w:rtl w:val="0"/>
        </w:rPr>
        <w:t xml:space="preserve">.</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https://www.researchgate.net/publication/401178703</w:t>
        </w:r>
      </w:hyperlink>
      <w:r w:rsidDel="00000000" w:rsidR="00000000" w:rsidRPr="00000000">
        <w:rPr>
          <w:rtl w:val="0"/>
        </w:rPr>
      </w:r>
    </w:p>
    <w:p w:rsidR="00000000" w:rsidDel="00000000" w:rsidP="00000000" w:rsidRDefault="00000000" w:rsidRPr="00000000" w14:paraId="00000135">
      <w:pPr>
        <w:numPr>
          <w:ilvl w:val="0"/>
          <w:numId w:val="5"/>
        </w:numPr>
        <w:spacing w:after="0" w:afterAutospacing="0" w:before="0" w:beforeAutospacing="0" w:lineRule="auto"/>
        <w:ind w:left="600" w:hanging="360"/>
      </w:pPr>
      <w:r w:rsidDel="00000000" w:rsidR="00000000" w:rsidRPr="00000000">
        <w:rPr>
          <w:sz w:val="24"/>
          <w:szCs w:val="24"/>
          <w:rtl w:val="0"/>
        </w:rPr>
        <w:t xml:space="preserve">Woodruff, A., et al. (2024). Alignment debt: The hidden work of making AI usable. </w:t>
      </w:r>
      <w:r w:rsidDel="00000000" w:rsidR="00000000" w:rsidRPr="00000000">
        <w:rPr>
          <w:i w:val="1"/>
          <w:iCs w:val="1"/>
          <w:sz w:val="24"/>
          <w:szCs w:val="24"/>
          <w:rtl w:val="0"/>
        </w:rPr>
        <w:t xml:space="preserve">arXiv</w:t>
      </w:r>
      <w:r w:rsidDel="00000000" w:rsidR="00000000" w:rsidRPr="00000000">
        <w:rPr>
          <w:sz w:val="24"/>
          <w:szCs w:val="24"/>
          <w:rtl w:val="0"/>
        </w:rPr>
        <w:t xml:space="preserve">.</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https://arxiv.org/html/2511.09663v1</w:t>
        </w:r>
      </w:hyperlink>
      <w:r w:rsidDel="00000000" w:rsidR="00000000" w:rsidRPr="00000000">
        <w:rPr>
          <w:rtl w:val="0"/>
        </w:rPr>
      </w:r>
    </w:p>
    <w:p w:rsidR="00000000" w:rsidDel="00000000" w:rsidP="00000000" w:rsidRDefault="00000000" w:rsidRPr="00000000" w14:paraId="00000136">
      <w:pPr>
        <w:numPr>
          <w:ilvl w:val="0"/>
          <w:numId w:val="5"/>
        </w:numPr>
        <w:spacing w:after="0" w:afterAutospacing="0" w:before="0" w:beforeAutospacing="0" w:lineRule="auto"/>
        <w:ind w:left="600" w:hanging="360"/>
      </w:pPr>
      <w:r w:rsidDel="00000000" w:rsidR="00000000" w:rsidRPr="00000000">
        <w:rPr>
          <w:sz w:val="24"/>
          <w:szCs w:val="24"/>
          <w:rtl w:val="0"/>
        </w:rPr>
        <w:t xml:space="preserve">Schroeder, D. T., et al. (2025). How malicious AI swarms can threaten democracy: The fusion of agentic AI and LLMs marks a new frontier in information warfare. </w:t>
      </w:r>
      <w:r w:rsidDel="00000000" w:rsidR="00000000" w:rsidRPr="00000000">
        <w:rPr>
          <w:i w:val="1"/>
          <w:iCs w:val="1"/>
          <w:sz w:val="24"/>
          <w:szCs w:val="24"/>
          <w:rtl w:val="0"/>
        </w:rPr>
        <w:t xml:space="preserve">arXiv</w:t>
      </w:r>
      <w:r w:rsidDel="00000000" w:rsidR="00000000" w:rsidRPr="00000000">
        <w:rPr>
          <w:sz w:val="24"/>
          <w:szCs w:val="24"/>
          <w:rtl w:val="0"/>
        </w:rPr>
        <w:t xml:space="preserve">.</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https://arxiv.org/html/2506.06299v4</w:t>
        </w:r>
      </w:hyperlink>
      <w:r w:rsidDel="00000000" w:rsidR="00000000" w:rsidRPr="00000000">
        <w:rPr>
          <w:rtl w:val="0"/>
        </w:rPr>
      </w:r>
    </w:p>
    <w:p w:rsidR="00000000" w:rsidDel="00000000" w:rsidP="00000000" w:rsidRDefault="00000000" w:rsidRPr="00000000" w14:paraId="00000137">
      <w:pPr>
        <w:numPr>
          <w:ilvl w:val="0"/>
          <w:numId w:val="5"/>
        </w:numPr>
        <w:spacing w:after="0" w:afterAutospacing="0" w:before="0" w:beforeAutospacing="0" w:lineRule="auto"/>
        <w:ind w:left="600" w:hanging="360"/>
      </w:pPr>
      <w:r w:rsidDel="00000000" w:rsidR="00000000" w:rsidRPr="00000000">
        <w:rPr>
          <w:sz w:val="24"/>
          <w:szCs w:val="24"/>
          <w:rtl w:val="0"/>
        </w:rPr>
        <w:t xml:space="preserve">Schmitt, J. B., et al. (2022). Democracy and the epistemic commons. </w:t>
      </w:r>
      <w:r w:rsidDel="00000000" w:rsidR="00000000" w:rsidRPr="00000000">
        <w:rPr>
          <w:i w:val="1"/>
          <w:iCs w:val="1"/>
          <w:sz w:val="24"/>
          <w:szCs w:val="24"/>
          <w:rtl w:val="0"/>
        </w:rPr>
        <w:t xml:space="preserve">The Consilience Project</w:t>
      </w:r>
      <w:r w:rsidDel="00000000" w:rsidR="00000000" w:rsidRPr="00000000">
        <w:rPr>
          <w:sz w:val="24"/>
          <w:szCs w:val="24"/>
          <w:rtl w:val="0"/>
        </w:rPr>
        <w:t xml:space="preserve">.</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https://consilienceproject.org/democracy-and-the-epistemic-commons/</w:t>
        </w:r>
      </w:hyperlink>
      <w:r w:rsidDel="00000000" w:rsidR="00000000" w:rsidRPr="00000000">
        <w:rPr>
          <w:rtl w:val="0"/>
        </w:rPr>
      </w:r>
    </w:p>
    <w:p w:rsidR="00000000" w:rsidDel="00000000" w:rsidP="00000000" w:rsidRDefault="00000000" w:rsidRPr="00000000" w14:paraId="00000138">
      <w:pPr>
        <w:numPr>
          <w:ilvl w:val="0"/>
          <w:numId w:val="5"/>
        </w:numPr>
        <w:spacing w:after="0" w:afterAutospacing="0" w:before="0" w:beforeAutospacing="0" w:lineRule="auto"/>
        <w:ind w:left="600" w:hanging="360"/>
      </w:pPr>
      <w:r w:rsidDel="00000000" w:rsidR="00000000" w:rsidRPr="00000000">
        <w:rPr>
          <w:sz w:val="24"/>
          <w:szCs w:val="24"/>
          <w:rtl w:val="0"/>
        </w:rPr>
        <w:t xml:space="preserve">Schroeder, D. T., et al. (2025). How malicious AI swarms can threaten democracy. </w:t>
      </w:r>
      <w:r w:rsidDel="00000000" w:rsidR="00000000" w:rsidRPr="00000000">
        <w:rPr>
          <w:i w:val="1"/>
          <w:iCs w:val="1"/>
          <w:sz w:val="24"/>
          <w:szCs w:val="24"/>
          <w:rtl w:val="0"/>
        </w:rPr>
        <w:t xml:space="preserve">arXiv</w:t>
      </w:r>
      <w:r w:rsidDel="00000000" w:rsidR="00000000" w:rsidRPr="00000000">
        <w:rPr>
          <w:sz w:val="24"/>
          <w:szCs w:val="24"/>
          <w:rtl w:val="0"/>
        </w:rPr>
        <w:t xml:space="preserve"> (v3).</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https://arxiv.org/html/2506.06299v3</w:t>
        </w:r>
      </w:hyperlink>
      <w:r w:rsidDel="00000000" w:rsidR="00000000" w:rsidRPr="00000000">
        <w:rPr>
          <w:rtl w:val="0"/>
        </w:rPr>
      </w:r>
    </w:p>
    <w:p w:rsidR="00000000" w:rsidDel="00000000" w:rsidP="00000000" w:rsidRDefault="00000000" w:rsidRPr="00000000" w14:paraId="00000139">
      <w:pPr>
        <w:numPr>
          <w:ilvl w:val="0"/>
          <w:numId w:val="5"/>
        </w:numPr>
        <w:spacing w:after="0" w:afterAutospacing="0" w:before="0" w:beforeAutospacing="0" w:lineRule="auto"/>
        <w:ind w:left="600" w:hanging="360"/>
      </w:pPr>
      <w:r w:rsidDel="00000000" w:rsidR="00000000" w:rsidRPr="00000000">
        <w:rPr>
          <w:sz w:val="24"/>
          <w:szCs w:val="24"/>
          <w:rtl w:val="0"/>
        </w:rPr>
        <w:t xml:space="preserve">Roozenbeek, J., et al. (2024). Epistemic vulnerability: Theory and measurement at the system level. </w:t>
      </w:r>
      <w:r w:rsidDel="00000000" w:rsidR="00000000" w:rsidRPr="00000000">
        <w:rPr>
          <w:i w:val="1"/>
          <w:iCs w:val="1"/>
          <w:sz w:val="24"/>
          <w:szCs w:val="24"/>
          <w:rtl w:val="0"/>
        </w:rPr>
        <w:t xml:space="preserve">Political Communication</w:t>
      </w:r>
      <w:r w:rsidDel="00000000" w:rsidR="00000000" w:rsidRPr="00000000">
        <w:rPr>
          <w:sz w:val="24"/>
          <w:szCs w:val="24"/>
          <w:rtl w:val="0"/>
        </w:rPr>
        <w:t xml:space="preserve">, 41(5).</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https://www.tandfonline.com/doi/full/10.1080/10584609.2024.2363545</w:t>
        </w:r>
      </w:hyperlink>
      <w:r w:rsidDel="00000000" w:rsidR="00000000" w:rsidRPr="00000000">
        <w:rPr>
          <w:rtl w:val="0"/>
        </w:rPr>
      </w:r>
    </w:p>
    <w:p w:rsidR="00000000" w:rsidDel="00000000" w:rsidP="00000000" w:rsidRDefault="00000000" w:rsidRPr="00000000" w14:paraId="0000013A">
      <w:pPr>
        <w:numPr>
          <w:ilvl w:val="0"/>
          <w:numId w:val="5"/>
        </w:numPr>
        <w:spacing w:after="0" w:afterAutospacing="0" w:before="0" w:beforeAutospacing="0" w:lineRule="auto"/>
        <w:ind w:left="600" w:hanging="360"/>
      </w:pPr>
      <w:r w:rsidDel="00000000" w:rsidR="00000000" w:rsidRPr="00000000">
        <w:rPr>
          <w:sz w:val="24"/>
          <w:szCs w:val="24"/>
          <w:rtl w:val="0"/>
        </w:rPr>
        <w:t xml:space="preserve">United Nations Development Programme. (2024). Human Development Index. </w:t>
      </w:r>
      <w:r w:rsidDel="00000000" w:rsidR="00000000" w:rsidRPr="00000000">
        <w:rPr>
          <w:i w:val="1"/>
          <w:iCs w:val="1"/>
          <w:sz w:val="24"/>
          <w:szCs w:val="24"/>
          <w:rtl w:val="0"/>
        </w:rPr>
        <w:t xml:space="preserve">Human Development Reports</w:t>
      </w:r>
      <w:r w:rsidDel="00000000" w:rsidR="00000000" w:rsidRPr="00000000">
        <w:rPr>
          <w:sz w:val="24"/>
          <w:szCs w:val="24"/>
          <w:rtl w:val="0"/>
        </w:rPr>
        <w:t xml:space="preserv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https://hdr.undp.org/content/human-development-index-hdi</w:t>
        </w:r>
      </w:hyperlink>
      <w:r w:rsidDel="00000000" w:rsidR="00000000" w:rsidRPr="00000000">
        <w:rPr>
          <w:rtl w:val="0"/>
        </w:rPr>
      </w:r>
    </w:p>
    <w:p w:rsidR="00000000" w:rsidDel="00000000" w:rsidP="00000000" w:rsidRDefault="00000000" w:rsidRPr="00000000" w14:paraId="0000013B">
      <w:pPr>
        <w:numPr>
          <w:ilvl w:val="0"/>
          <w:numId w:val="5"/>
        </w:numPr>
        <w:spacing w:after="0" w:afterAutospacing="0" w:before="0" w:beforeAutospacing="0" w:lineRule="auto"/>
        <w:ind w:left="600" w:hanging="360"/>
      </w:pPr>
      <w:r w:rsidDel="00000000" w:rsidR="00000000" w:rsidRPr="00000000">
        <w:rPr>
          <w:sz w:val="24"/>
          <w:szCs w:val="24"/>
          <w:rtl w:val="0"/>
        </w:rPr>
        <w:t xml:space="preserve">Bakker, B. N., et al. (2022). What is the best proxy for political knowledge in surveys? </w:t>
      </w:r>
      <w:r w:rsidDel="00000000" w:rsidR="00000000" w:rsidRPr="00000000">
        <w:rPr>
          <w:i w:val="1"/>
          <w:iCs w:val="1"/>
          <w:sz w:val="24"/>
          <w:szCs w:val="24"/>
          <w:rtl w:val="0"/>
        </w:rPr>
        <w:t xml:space="preserve">PMC</w:t>
      </w:r>
      <w:r w:rsidDel="00000000" w:rsidR="00000000" w:rsidRPr="00000000">
        <w:rPr>
          <w:sz w:val="24"/>
          <w:szCs w:val="24"/>
          <w:rtl w:val="0"/>
        </w:rPr>
        <w:t xml:space="preserve">.</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https://pmc.ncbi.nlm.nih.gov/articles/PMC9394832/</w:t>
        </w:r>
      </w:hyperlink>
      <w:r w:rsidDel="00000000" w:rsidR="00000000" w:rsidRPr="00000000">
        <w:rPr>
          <w:rtl w:val="0"/>
        </w:rPr>
      </w:r>
    </w:p>
    <w:p w:rsidR="00000000" w:rsidDel="00000000" w:rsidP="00000000" w:rsidRDefault="00000000" w:rsidRPr="00000000" w14:paraId="0000013C">
      <w:pPr>
        <w:numPr>
          <w:ilvl w:val="0"/>
          <w:numId w:val="5"/>
        </w:numPr>
        <w:spacing w:after="0" w:afterAutospacing="0" w:before="0" w:beforeAutospacing="0" w:lineRule="auto"/>
        <w:ind w:left="600" w:hanging="360"/>
      </w:pPr>
      <w:r w:rsidDel="00000000" w:rsidR="00000000" w:rsidRPr="00000000">
        <w:rPr>
          <w:sz w:val="24"/>
          <w:szCs w:val="24"/>
          <w:rtl w:val="0"/>
        </w:rPr>
        <w:t xml:space="preserve">Tapal, A., et al. (2017). The sense of agency scale: A measure of consciously perceived control over one's mind, body, and the immediate environment.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8, 1552.</w:t>
      </w:r>
      <w:hyperlink r:id="rId86">
        <w:r w:rsidDel="00000000" w:rsidR="00000000" w:rsidRPr="00000000">
          <w:rPr>
            <w:sz w:val="24"/>
            <w:szCs w:val="24"/>
            <w:rtl w:val="0"/>
          </w:rPr>
          <w:t xml:space="preserve"> </w:t>
        </w:r>
      </w:hyperlink>
      <w:hyperlink r:id="rId87">
        <w:r w:rsidDel="00000000" w:rsidR="00000000" w:rsidRPr="00000000">
          <w:rPr>
            <w:color w:val="1155cc"/>
            <w:sz w:val="24"/>
            <w:szCs w:val="24"/>
            <w:u w:val="single"/>
            <w:rtl w:val="0"/>
          </w:rPr>
          <w:t xml:space="preserve">https://www.frontiersin.org/journals/psychology/articles/10.3389/fpsyg.2017.01552/full</w:t>
        </w:r>
      </w:hyperlink>
      <w:r w:rsidDel="00000000" w:rsidR="00000000" w:rsidRPr="00000000">
        <w:rPr>
          <w:rtl w:val="0"/>
        </w:rPr>
      </w:r>
    </w:p>
    <w:p w:rsidR="00000000" w:rsidDel="00000000" w:rsidP="00000000" w:rsidRDefault="00000000" w:rsidRPr="00000000" w14:paraId="0000013D">
      <w:pPr>
        <w:numPr>
          <w:ilvl w:val="0"/>
          <w:numId w:val="5"/>
        </w:numPr>
        <w:spacing w:after="0" w:afterAutospacing="0" w:before="0" w:beforeAutospacing="0" w:lineRule="auto"/>
        <w:ind w:left="600" w:hanging="360"/>
      </w:pPr>
      <w:r w:rsidDel="00000000" w:rsidR="00000000" w:rsidRPr="00000000">
        <w:rPr>
          <w:sz w:val="24"/>
          <w:szCs w:val="24"/>
          <w:rtl w:val="0"/>
        </w:rPr>
        <w:t xml:space="preserve">Bakker, B. N., et al. (2022). What is the best proxy for political knowledge in surveys? </w:t>
      </w:r>
      <w:r w:rsidDel="00000000" w:rsidR="00000000" w:rsidRPr="00000000">
        <w:rPr>
          <w:i w:val="1"/>
          <w:iCs w:val="1"/>
          <w:sz w:val="24"/>
          <w:szCs w:val="24"/>
          <w:rtl w:val="0"/>
        </w:rPr>
        <w:t xml:space="preserve">PLOS ONE</w:t>
      </w:r>
      <w:r w:rsidDel="00000000" w:rsidR="00000000" w:rsidRPr="00000000">
        <w:rPr>
          <w:sz w:val="24"/>
          <w:szCs w:val="24"/>
          <w:rtl w:val="0"/>
        </w:rPr>
        <w:t xml:space="preserve">.</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https://journals.plos.org/plosone/article?id=10.1371/journal.pone.0272530</w:t>
        </w:r>
      </w:hyperlink>
      <w:r w:rsidDel="00000000" w:rsidR="00000000" w:rsidRPr="00000000">
        <w:rPr>
          <w:rtl w:val="0"/>
        </w:rPr>
      </w:r>
    </w:p>
    <w:p w:rsidR="00000000" w:rsidDel="00000000" w:rsidP="00000000" w:rsidRDefault="00000000" w:rsidRPr="00000000" w14:paraId="0000013E">
      <w:pPr>
        <w:numPr>
          <w:ilvl w:val="0"/>
          <w:numId w:val="5"/>
        </w:numPr>
        <w:spacing w:after="0" w:afterAutospacing="0" w:before="0" w:beforeAutospacing="0" w:lineRule="auto"/>
        <w:ind w:left="600" w:hanging="360"/>
      </w:pPr>
      <w:r w:rsidDel="00000000" w:rsidR="00000000" w:rsidRPr="00000000">
        <w:rPr>
          <w:sz w:val="24"/>
          <w:szCs w:val="24"/>
          <w:rtl w:val="0"/>
        </w:rPr>
        <w:t xml:space="preserve">Bebchuk, L. A., &amp; Kastiel, K. (2026). Proxies for politics. </w:t>
      </w:r>
      <w:r w:rsidDel="00000000" w:rsidR="00000000" w:rsidRPr="00000000">
        <w:rPr>
          <w:i w:val="1"/>
          <w:iCs w:val="1"/>
          <w:sz w:val="24"/>
          <w:szCs w:val="24"/>
          <w:rtl w:val="0"/>
        </w:rPr>
        <w:t xml:space="preserve">Harvard Law School Forum on Corporate Governance</w:t>
      </w:r>
      <w:r w:rsidDel="00000000" w:rsidR="00000000" w:rsidRPr="00000000">
        <w:rPr>
          <w:sz w:val="24"/>
          <w:szCs w:val="24"/>
          <w:rtl w:val="0"/>
        </w:rPr>
        <w:t xml:space="preserve">.</w:t>
      </w:r>
      <w:hyperlink r:id="rId90">
        <w:r w:rsidDel="00000000" w:rsidR="00000000" w:rsidRPr="00000000">
          <w:rPr>
            <w:sz w:val="24"/>
            <w:szCs w:val="24"/>
            <w:rtl w:val="0"/>
          </w:rPr>
          <w:t xml:space="preserve"> </w:t>
        </w:r>
      </w:hyperlink>
      <w:hyperlink r:id="rId91">
        <w:r w:rsidDel="00000000" w:rsidR="00000000" w:rsidRPr="00000000">
          <w:rPr>
            <w:color w:val="1155cc"/>
            <w:sz w:val="24"/>
            <w:szCs w:val="24"/>
            <w:u w:val="single"/>
            <w:rtl w:val="0"/>
          </w:rPr>
          <w:t xml:space="preserve">https://corpgov.law.harvard.edu/2026/01/06/proxies-for-politics/</w:t>
        </w:r>
      </w:hyperlink>
      <w:r w:rsidDel="00000000" w:rsidR="00000000" w:rsidRPr="00000000">
        <w:rPr>
          <w:rtl w:val="0"/>
        </w:rPr>
      </w:r>
    </w:p>
    <w:p w:rsidR="00000000" w:rsidDel="00000000" w:rsidP="00000000" w:rsidRDefault="00000000" w:rsidRPr="00000000" w14:paraId="0000013F">
      <w:pPr>
        <w:numPr>
          <w:ilvl w:val="0"/>
          <w:numId w:val="5"/>
        </w:numPr>
        <w:spacing w:after="0" w:afterAutospacing="0" w:before="0" w:beforeAutospacing="0" w:lineRule="auto"/>
        <w:ind w:left="600" w:hanging="360"/>
      </w:pPr>
      <w:r w:rsidDel="00000000" w:rsidR="00000000" w:rsidRPr="00000000">
        <w:rPr>
          <w:sz w:val="24"/>
          <w:szCs w:val="24"/>
          <w:rtl w:val="0"/>
        </w:rPr>
        <w:t xml:space="preserve">[Agents, proxies, &amp; servants – Agency Part 2]. (2024). </w:t>
      </w:r>
      <w:r w:rsidDel="00000000" w:rsidR="00000000" w:rsidRPr="00000000">
        <w:rPr>
          <w:i w:val="1"/>
          <w:iCs w:val="1"/>
          <w:sz w:val="24"/>
          <w:szCs w:val="24"/>
          <w:rtl w:val="0"/>
        </w:rPr>
        <w:t xml:space="preserve">polgovpro.blog</w:t>
      </w:r>
      <w:r w:rsidDel="00000000" w:rsidR="00000000" w:rsidRPr="00000000">
        <w:rPr>
          <w:sz w:val="24"/>
          <w:szCs w:val="24"/>
          <w:rtl w:val="0"/>
        </w:rPr>
        <w:t xml:space="preserve">.</w:t>
      </w:r>
      <w:hyperlink r:id="rId92">
        <w:r w:rsidDel="00000000" w:rsidR="00000000" w:rsidRPr="00000000">
          <w:rPr>
            <w:sz w:val="24"/>
            <w:szCs w:val="24"/>
            <w:rtl w:val="0"/>
          </w:rPr>
          <w:t xml:space="preserve"> </w:t>
        </w:r>
      </w:hyperlink>
      <w:hyperlink r:id="rId93">
        <w:r w:rsidDel="00000000" w:rsidR="00000000" w:rsidRPr="00000000">
          <w:rPr>
            <w:color w:val="1155cc"/>
            <w:sz w:val="24"/>
            <w:szCs w:val="24"/>
            <w:u w:val="single"/>
            <w:rtl w:val="0"/>
          </w:rPr>
          <w:t xml:space="preserve">https://polgovpro.blog/2024/03/25/agents-proxies-servants-agency-part-2/</w:t>
        </w:r>
      </w:hyperlink>
      <w:r w:rsidDel="00000000" w:rsidR="00000000" w:rsidRPr="00000000">
        <w:rPr>
          <w:rtl w:val="0"/>
        </w:rPr>
      </w:r>
    </w:p>
    <w:p w:rsidR="00000000" w:rsidDel="00000000" w:rsidP="00000000" w:rsidRDefault="00000000" w:rsidRPr="00000000" w14:paraId="00000140">
      <w:pPr>
        <w:numPr>
          <w:ilvl w:val="0"/>
          <w:numId w:val="5"/>
        </w:numPr>
        <w:spacing w:after="0" w:afterAutospacing="0" w:before="0" w:beforeAutospacing="0" w:lineRule="auto"/>
        <w:ind w:left="600" w:hanging="360"/>
      </w:pPr>
      <w:r w:rsidDel="00000000" w:rsidR="00000000" w:rsidRPr="00000000">
        <w:rPr>
          <w:sz w:val="24"/>
          <w:szCs w:val="24"/>
          <w:rtl w:val="0"/>
        </w:rPr>
        <w:t xml:space="preserve">Fagiolo, G., et al. (2026). Agent-based modeling and simulation for economic markets: A comprehensive review. </w:t>
      </w:r>
      <w:r w:rsidDel="00000000" w:rsidR="00000000" w:rsidRPr="00000000">
        <w:rPr>
          <w:i w:val="1"/>
          <w:iCs w:val="1"/>
          <w:sz w:val="24"/>
          <w:szCs w:val="24"/>
          <w:rtl w:val="0"/>
        </w:rPr>
        <w:t xml:space="preserve">Journal of Simulation</w:t>
      </w:r>
      <w:r w:rsidDel="00000000" w:rsidR="00000000" w:rsidRPr="00000000">
        <w:rPr>
          <w:sz w:val="24"/>
          <w:szCs w:val="24"/>
          <w:rtl w:val="0"/>
        </w:rPr>
        <w:t xml:space="preserve">.</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https://www.tandfonline.com/doi/full/10.1080/17477778.2026.2625187</w:t>
        </w:r>
      </w:hyperlink>
      <w:r w:rsidDel="00000000" w:rsidR="00000000" w:rsidRPr="00000000">
        <w:rPr>
          <w:rtl w:val="0"/>
        </w:rPr>
      </w:r>
    </w:p>
    <w:p w:rsidR="00000000" w:rsidDel="00000000" w:rsidP="00000000" w:rsidRDefault="00000000" w:rsidRPr="00000000" w14:paraId="00000141">
      <w:pPr>
        <w:numPr>
          <w:ilvl w:val="0"/>
          <w:numId w:val="5"/>
        </w:numPr>
        <w:spacing w:after="0" w:afterAutospacing="0" w:before="0" w:beforeAutospacing="0" w:lineRule="auto"/>
        <w:ind w:left="600" w:hanging="360"/>
      </w:pPr>
      <w:r w:rsidDel="00000000" w:rsidR="00000000" w:rsidRPr="00000000">
        <w:rPr>
          <w:sz w:val="24"/>
          <w:szCs w:val="24"/>
          <w:rtl w:val="0"/>
        </w:rPr>
        <w:t xml:space="preserve">Abar, S., et al. (2017). Agent based modelling and simulation tools: A review of the state-of-art software. </w:t>
      </w:r>
      <w:r w:rsidDel="00000000" w:rsidR="00000000" w:rsidRPr="00000000">
        <w:rPr>
          <w:i w:val="1"/>
          <w:iCs w:val="1"/>
          <w:sz w:val="24"/>
          <w:szCs w:val="24"/>
          <w:rtl w:val="0"/>
        </w:rPr>
        <w:t xml:space="preserve">Faculty, Iowa State University</w:t>
      </w:r>
      <w:r w:rsidDel="00000000" w:rsidR="00000000" w:rsidRPr="00000000">
        <w:rPr>
          <w:sz w:val="24"/>
          <w:szCs w:val="24"/>
          <w:rtl w:val="0"/>
        </w:rPr>
        <w:t xml:space="preserve">.</w:t>
      </w:r>
      <w:hyperlink r:id="rId96">
        <w:r w:rsidDel="00000000" w:rsidR="00000000" w:rsidRPr="00000000">
          <w:rPr>
            <w:sz w:val="24"/>
            <w:szCs w:val="24"/>
            <w:rtl w:val="0"/>
          </w:rPr>
          <w:t xml:space="preserve"> </w:t>
        </w:r>
      </w:hyperlink>
      <w:hyperlink r:id="rId97">
        <w:r w:rsidDel="00000000" w:rsidR="00000000" w:rsidRPr="00000000">
          <w:rPr>
            <w:color w:val="1155cc"/>
            <w:sz w:val="24"/>
            <w:szCs w:val="24"/>
            <w:u w:val="single"/>
            <w:rtl w:val="0"/>
          </w:rPr>
          <w:t xml:space="preserve">https://faculty.sites.iastate.edu/tesfatsi/archive/tesfatsi/ABMSoftwareReview.AbarEtAl2017.pdf</w:t>
        </w:r>
      </w:hyperlink>
      <w:r w:rsidDel="00000000" w:rsidR="00000000" w:rsidRPr="00000000">
        <w:rPr>
          <w:rtl w:val="0"/>
        </w:rPr>
      </w:r>
    </w:p>
    <w:p w:rsidR="00000000" w:rsidDel="00000000" w:rsidP="00000000" w:rsidRDefault="00000000" w:rsidRPr="00000000" w14:paraId="00000142">
      <w:pPr>
        <w:numPr>
          <w:ilvl w:val="0"/>
          <w:numId w:val="5"/>
        </w:numPr>
        <w:spacing w:after="0" w:afterAutospacing="0" w:before="0" w:beforeAutospacing="0" w:lineRule="auto"/>
        <w:ind w:left="600" w:hanging="360"/>
      </w:pPr>
      <w:r w:rsidDel="00000000" w:rsidR="00000000" w:rsidRPr="00000000">
        <w:rPr>
          <w:sz w:val="24"/>
          <w:szCs w:val="24"/>
          <w:rtl w:val="0"/>
        </w:rPr>
        <w:t xml:space="preserve">Santa Fe Institute. (2023). Agent-based modeling for the past, present, and future. </w:t>
      </w:r>
      <w:r w:rsidDel="00000000" w:rsidR="00000000" w:rsidRPr="00000000">
        <w:rPr>
          <w:i w:val="1"/>
          <w:iCs w:val="1"/>
          <w:sz w:val="24"/>
          <w:szCs w:val="24"/>
          <w:rtl w:val="0"/>
        </w:rPr>
        <w:t xml:space="preserve">Medium</w:t>
      </w:r>
      <w:r w:rsidDel="00000000" w:rsidR="00000000" w:rsidRPr="00000000">
        <w:rPr>
          <w:sz w:val="24"/>
          <w:szCs w:val="24"/>
          <w:rtl w:val="0"/>
        </w:rPr>
        <w:t xml:space="preserve">.</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u w:val="single"/>
            <w:rtl w:val="0"/>
          </w:rPr>
          <w:t xml:space="preserve">https://sfiscience.medium.com/agent-based-modeling-for-the-past-present-and-future-281fe5fab62c</w:t>
        </w:r>
      </w:hyperlink>
      <w:r w:rsidDel="00000000" w:rsidR="00000000" w:rsidRPr="00000000">
        <w:rPr>
          <w:rtl w:val="0"/>
        </w:rPr>
      </w:r>
    </w:p>
    <w:p w:rsidR="00000000" w:rsidDel="00000000" w:rsidP="00000000" w:rsidRDefault="00000000" w:rsidRPr="00000000" w14:paraId="00000143">
      <w:pPr>
        <w:numPr>
          <w:ilvl w:val="0"/>
          <w:numId w:val="5"/>
        </w:numPr>
        <w:spacing w:after="0" w:afterAutospacing="0" w:before="0" w:beforeAutospacing="0" w:lineRule="auto"/>
        <w:ind w:left="600" w:hanging="360"/>
      </w:pPr>
      <w:r w:rsidDel="00000000" w:rsidR="00000000" w:rsidRPr="00000000">
        <w:rPr>
          <w:sz w:val="24"/>
          <w:szCs w:val="24"/>
          <w:rtl w:val="0"/>
        </w:rPr>
        <w:t xml:space="preserve">Schulz, L., et al. (2025). From concepts to model: Automating feature extraction of agent-based models using large language models. </w:t>
      </w:r>
      <w:r w:rsidDel="00000000" w:rsidR="00000000" w:rsidRPr="00000000">
        <w:rPr>
          <w:i w:val="1"/>
          <w:iCs w:val="1"/>
          <w:sz w:val="24"/>
          <w:szCs w:val="24"/>
          <w:rtl w:val="0"/>
        </w:rPr>
        <w:t xml:space="preserve">Journal of Artificial Societies and Social Simulation</w:t>
      </w:r>
      <w:r w:rsidDel="00000000" w:rsidR="00000000" w:rsidRPr="00000000">
        <w:rPr>
          <w:sz w:val="24"/>
          <w:szCs w:val="24"/>
          <w:rtl w:val="0"/>
        </w:rPr>
        <w:t xml:space="preserve">, 28(3), 9.</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https://www.jasss.org/28/3/9.html</w:t>
        </w:r>
      </w:hyperlink>
      <w:r w:rsidDel="00000000" w:rsidR="00000000" w:rsidRPr="00000000">
        <w:rPr>
          <w:rtl w:val="0"/>
        </w:rPr>
      </w:r>
    </w:p>
    <w:p w:rsidR="00000000" w:rsidDel="00000000" w:rsidP="00000000" w:rsidRDefault="00000000" w:rsidRPr="00000000" w14:paraId="00000144">
      <w:pPr>
        <w:numPr>
          <w:ilvl w:val="0"/>
          <w:numId w:val="5"/>
        </w:numPr>
        <w:spacing w:after="0" w:afterAutospacing="0" w:before="0" w:beforeAutospacing="0" w:lineRule="auto"/>
        <w:ind w:left="600" w:hanging="360"/>
      </w:pPr>
      <w:r w:rsidDel="00000000" w:rsidR="00000000" w:rsidRPr="00000000">
        <w:rPr>
          <w:sz w:val="24"/>
          <w:szCs w:val="24"/>
          <w:rtl w:val="0"/>
        </w:rPr>
        <w:t xml:space="preserve">System Dynamics Society. (2024). What is system dynamics?</w:t>
      </w:r>
      <w:hyperlink r:id="rId102">
        <w:r w:rsidDel="00000000" w:rsidR="00000000" w:rsidRPr="00000000">
          <w:rPr>
            <w:sz w:val="24"/>
            <w:szCs w:val="24"/>
            <w:rtl w:val="0"/>
          </w:rPr>
          <w:t xml:space="preserve"> </w:t>
        </w:r>
      </w:hyperlink>
      <w:hyperlink r:id="rId103">
        <w:r w:rsidDel="00000000" w:rsidR="00000000" w:rsidRPr="00000000">
          <w:rPr>
            <w:color w:val="1155cc"/>
            <w:sz w:val="24"/>
            <w:szCs w:val="24"/>
            <w:u w:val="single"/>
            <w:rtl w:val="0"/>
          </w:rPr>
          <w:t xml:space="preserve">https://systemdynamics.org/what-is-system-dynamics-old/</w:t>
        </w:r>
      </w:hyperlink>
      <w:r w:rsidDel="00000000" w:rsidR="00000000" w:rsidRPr="00000000">
        <w:rPr>
          <w:rtl w:val="0"/>
        </w:rPr>
      </w:r>
    </w:p>
    <w:p w:rsidR="00000000" w:rsidDel="00000000" w:rsidP="00000000" w:rsidRDefault="00000000" w:rsidRPr="00000000" w14:paraId="00000145">
      <w:pPr>
        <w:numPr>
          <w:ilvl w:val="0"/>
          <w:numId w:val="5"/>
        </w:numPr>
        <w:spacing w:after="0" w:afterAutospacing="0" w:before="0" w:beforeAutospacing="0" w:lineRule="auto"/>
        <w:ind w:left="600" w:hanging="360"/>
      </w:pPr>
      <w:r w:rsidDel="00000000" w:rsidR="00000000" w:rsidRPr="00000000">
        <w:rPr>
          <w:sz w:val="24"/>
          <w:szCs w:val="24"/>
          <w:rtl w:val="0"/>
        </w:rPr>
        <w:t xml:space="preserve">Scott, N., et al. (2025). Participatory system dynamics modeling: Advancing equity through contextualized implementation science in global health. </w:t>
      </w:r>
      <w:r w:rsidDel="00000000" w:rsidR="00000000" w:rsidRPr="00000000">
        <w:rPr>
          <w:i w:val="1"/>
          <w:iCs w:val="1"/>
          <w:sz w:val="24"/>
          <w:szCs w:val="24"/>
          <w:rtl w:val="0"/>
        </w:rPr>
        <w:t xml:space="preserve">PMC</w:t>
      </w:r>
      <w:r w:rsidDel="00000000" w:rsidR="00000000" w:rsidRPr="00000000">
        <w:rPr>
          <w:sz w:val="24"/>
          <w:szCs w:val="24"/>
          <w:rtl w:val="0"/>
        </w:rPr>
        <w:t xml:space="preserve">.</w:t>
      </w:r>
      <w:hyperlink r:id="rId104">
        <w:r w:rsidDel="00000000" w:rsidR="00000000" w:rsidRPr="00000000">
          <w:rPr>
            <w:sz w:val="24"/>
            <w:szCs w:val="24"/>
            <w:rtl w:val="0"/>
          </w:rPr>
          <w:t xml:space="preserve"> </w:t>
        </w:r>
      </w:hyperlink>
      <w:hyperlink r:id="rId105">
        <w:r w:rsidDel="00000000" w:rsidR="00000000" w:rsidRPr="00000000">
          <w:rPr>
            <w:color w:val="1155cc"/>
            <w:sz w:val="24"/>
            <w:szCs w:val="24"/>
            <w:u w:val="single"/>
            <w:rtl w:val="0"/>
          </w:rPr>
          <w:t xml:space="preserve">https://pmc.ncbi.nlm.nih.gov/articles/PMC12866292/</w:t>
        </w:r>
      </w:hyperlink>
      <w:r w:rsidDel="00000000" w:rsidR="00000000" w:rsidRPr="00000000">
        <w:rPr>
          <w:rtl w:val="0"/>
        </w:rPr>
      </w:r>
    </w:p>
    <w:p w:rsidR="00000000" w:rsidDel="00000000" w:rsidP="00000000" w:rsidRDefault="00000000" w:rsidRPr="00000000" w14:paraId="00000146">
      <w:pPr>
        <w:numPr>
          <w:ilvl w:val="0"/>
          <w:numId w:val="5"/>
        </w:numPr>
        <w:spacing w:after="0" w:afterAutospacing="0" w:before="0" w:beforeAutospacing="0" w:lineRule="auto"/>
        <w:ind w:left="600" w:hanging="360"/>
      </w:pPr>
      <w:r w:rsidDel="00000000" w:rsidR="00000000" w:rsidRPr="00000000">
        <w:rPr>
          <w:sz w:val="24"/>
          <w:szCs w:val="24"/>
          <w:rtl w:val="0"/>
        </w:rPr>
        <w:t xml:space="preserve">Borshchev, A., &amp; Filippov, A. (2004). From system dynamics and discrete event to practical agent based modeling: Reasons, techniques, tools. </w:t>
      </w:r>
      <w:r w:rsidDel="00000000" w:rsidR="00000000" w:rsidRPr="00000000">
        <w:rPr>
          <w:i w:val="1"/>
          <w:iCs w:val="1"/>
          <w:sz w:val="24"/>
          <w:szCs w:val="24"/>
          <w:rtl w:val="0"/>
        </w:rPr>
        <w:t xml:space="preserve">Faculty, Iowa State University</w:t>
      </w:r>
      <w:r w:rsidDel="00000000" w:rsidR="00000000" w:rsidRPr="00000000">
        <w:rPr>
          <w:sz w:val="24"/>
          <w:szCs w:val="24"/>
          <w:rtl w:val="0"/>
        </w:rPr>
        <w:t xml:space="preserve">.</w:t>
      </w:r>
      <w:hyperlink r:id="rId106">
        <w:r w:rsidDel="00000000" w:rsidR="00000000" w:rsidRPr="00000000">
          <w:rPr>
            <w:sz w:val="24"/>
            <w:szCs w:val="24"/>
            <w:rtl w:val="0"/>
          </w:rPr>
          <w:t xml:space="preserve"> </w:t>
        </w:r>
      </w:hyperlink>
      <w:hyperlink r:id="rId107">
        <w:r w:rsidDel="00000000" w:rsidR="00000000" w:rsidRPr="00000000">
          <w:rPr>
            <w:color w:val="1155cc"/>
            <w:sz w:val="24"/>
            <w:szCs w:val="24"/>
            <w:u w:val="single"/>
            <w:rtl w:val="0"/>
          </w:rPr>
          <w:t xml:space="preserve">https://faculty.sites.iastate.edu/tesfatsi/archive/tesfatsi/SystemDynDiscreteEventABMCompared.BorshchevFilippov04.pdf</w:t>
        </w:r>
      </w:hyperlink>
      <w:r w:rsidDel="00000000" w:rsidR="00000000" w:rsidRPr="00000000">
        <w:rPr>
          <w:rtl w:val="0"/>
        </w:rPr>
      </w:r>
    </w:p>
    <w:p w:rsidR="00000000" w:rsidDel="00000000" w:rsidP="00000000" w:rsidRDefault="00000000" w:rsidRPr="00000000" w14:paraId="00000147">
      <w:pPr>
        <w:numPr>
          <w:ilvl w:val="0"/>
          <w:numId w:val="5"/>
        </w:numPr>
        <w:spacing w:after="0" w:afterAutospacing="0" w:before="0" w:beforeAutospacing="0" w:lineRule="auto"/>
        <w:ind w:left="600" w:hanging="360"/>
      </w:pPr>
      <w:r w:rsidDel="00000000" w:rsidR="00000000" w:rsidRPr="00000000">
        <w:rPr>
          <w:sz w:val="24"/>
          <w:szCs w:val="24"/>
          <w:rtl w:val="0"/>
        </w:rPr>
        <w:t xml:space="preserve">Schlüter, M., et al. (2015). Combining system dynamics and agent-based modeling to analyze social-ecological interactions: An example from modeling restoration of a shallow lake. </w:t>
      </w:r>
      <w:r w:rsidDel="00000000" w:rsidR="00000000" w:rsidRPr="00000000">
        <w:rPr>
          <w:i w:val="1"/>
          <w:iCs w:val="1"/>
          <w:sz w:val="24"/>
          <w:szCs w:val="24"/>
          <w:rtl w:val="0"/>
        </w:rPr>
        <w:t xml:space="preserve">Frontiers in Environmental Science</w:t>
      </w:r>
      <w:r w:rsidDel="00000000" w:rsidR="00000000" w:rsidRPr="00000000">
        <w:rPr>
          <w:sz w:val="24"/>
          <w:szCs w:val="24"/>
          <w:rtl w:val="0"/>
        </w:rPr>
        <w:t xml:space="preserve">, 3, 66.</w:t>
      </w:r>
      <w:hyperlink r:id="rId108">
        <w:r w:rsidDel="00000000" w:rsidR="00000000" w:rsidRPr="00000000">
          <w:rPr>
            <w:sz w:val="24"/>
            <w:szCs w:val="24"/>
            <w:rtl w:val="0"/>
          </w:rPr>
          <w:t xml:space="preserve"> </w:t>
        </w:r>
      </w:hyperlink>
      <w:hyperlink r:id="rId109">
        <w:r w:rsidDel="00000000" w:rsidR="00000000" w:rsidRPr="00000000">
          <w:rPr>
            <w:color w:val="1155cc"/>
            <w:sz w:val="24"/>
            <w:szCs w:val="24"/>
            <w:u w:val="single"/>
            <w:rtl w:val="0"/>
          </w:rPr>
          <w:t xml:space="preserve">https://www.frontiersin.org/journals/environmental-science/articles/10.3389/fenvs.2015.00066/full</w:t>
        </w:r>
      </w:hyperlink>
      <w:r w:rsidDel="00000000" w:rsidR="00000000" w:rsidRPr="00000000">
        <w:rPr>
          <w:rtl w:val="0"/>
        </w:rPr>
      </w:r>
    </w:p>
    <w:p w:rsidR="00000000" w:rsidDel="00000000" w:rsidP="00000000" w:rsidRDefault="00000000" w:rsidRPr="00000000" w14:paraId="00000148">
      <w:pPr>
        <w:numPr>
          <w:ilvl w:val="0"/>
          <w:numId w:val="5"/>
        </w:numPr>
        <w:spacing w:after="0" w:afterAutospacing="0" w:before="0" w:beforeAutospacing="0" w:lineRule="auto"/>
        <w:ind w:left="600" w:hanging="360"/>
      </w:pPr>
      <w:r w:rsidDel="00000000" w:rsidR="00000000" w:rsidRPr="00000000">
        <w:rPr>
          <w:sz w:val="24"/>
          <w:szCs w:val="24"/>
          <w:rtl w:val="0"/>
        </w:rPr>
        <w:t xml:space="preserve">Beckage, B., et al. (2023). Systematic review of agent-based and system dynamics models for social-ecological system case studies. </w:t>
      </w:r>
      <w:r w:rsidDel="00000000" w:rsidR="00000000" w:rsidRPr="00000000">
        <w:rPr>
          <w:i w:val="1"/>
          <w:iCs w:val="1"/>
          <w:sz w:val="24"/>
          <w:szCs w:val="24"/>
          <w:rtl w:val="0"/>
        </w:rPr>
        <w:t xml:space="preserve">Systems</w:t>
      </w:r>
      <w:r w:rsidDel="00000000" w:rsidR="00000000" w:rsidRPr="00000000">
        <w:rPr>
          <w:sz w:val="24"/>
          <w:szCs w:val="24"/>
          <w:rtl w:val="0"/>
        </w:rPr>
        <w:t xml:space="preserve">, 11(11), 530.</w:t>
      </w:r>
      <w:hyperlink r:id="rId110">
        <w:r w:rsidDel="00000000" w:rsidR="00000000" w:rsidRPr="00000000">
          <w:rPr>
            <w:sz w:val="24"/>
            <w:szCs w:val="24"/>
            <w:rtl w:val="0"/>
          </w:rPr>
          <w:t xml:space="preserve"> </w:t>
        </w:r>
      </w:hyperlink>
      <w:hyperlink r:id="rId111">
        <w:r w:rsidDel="00000000" w:rsidR="00000000" w:rsidRPr="00000000">
          <w:rPr>
            <w:color w:val="1155cc"/>
            <w:sz w:val="24"/>
            <w:szCs w:val="24"/>
            <w:u w:val="single"/>
            <w:rtl w:val="0"/>
          </w:rPr>
          <w:t xml:space="preserve">https://www.mdpi.com/2079-8954/11/11/530</w:t>
        </w:r>
      </w:hyperlink>
      <w:r w:rsidDel="00000000" w:rsidR="00000000" w:rsidRPr="00000000">
        <w:rPr>
          <w:rtl w:val="0"/>
        </w:rPr>
      </w:r>
    </w:p>
    <w:p w:rsidR="00000000" w:rsidDel="00000000" w:rsidP="00000000" w:rsidRDefault="00000000" w:rsidRPr="00000000" w14:paraId="00000149">
      <w:pPr>
        <w:numPr>
          <w:ilvl w:val="0"/>
          <w:numId w:val="5"/>
        </w:numPr>
        <w:spacing w:after="240" w:before="0" w:beforeAutospacing="0" w:lineRule="auto"/>
        <w:ind w:left="600" w:hanging="360"/>
      </w:pPr>
      <w:r w:rsidDel="00000000" w:rsidR="00000000" w:rsidRPr="00000000">
        <w:rPr>
          <w:sz w:val="24"/>
          <w:szCs w:val="24"/>
          <w:rtl w:val="0"/>
        </w:rPr>
        <w:t xml:space="preserve">Negahban, A., et al. (2023). An agent-based modeling and virtual reality application using distributed simulation: Case of a COVID-19 intensive care unit. </w:t>
      </w:r>
      <w:r w:rsidDel="00000000" w:rsidR="00000000" w:rsidRPr="00000000">
        <w:rPr>
          <w:i w:val="1"/>
          <w:iCs w:val="1"/>
          <w:sz w:val="24"/>
          <w:szCs w:val="24"/>
          <w:rtl w:val="0"/>
        </w:rPr>
        <w:t xml:space="preserve">PMC</w:t>
      </w:r>
      <w:r w:rsidDel="00000000" w:rsidR="00000000" w:rsidRPr="00000000">
        <w:rPr>
          <w:sz w:val="24"/>
          <w:szCs w:val="24"/>
          <w:rtl w:val="0"/>
        </w:rPr>
        <w:t xml:space="preserve">.</w:t>
      </w:r>
      <w:hyperlink r:id="rId112">
        <w:r w:rsidDel="00000000" w:rsidR="00000000" w:rsidRPr="00000000">
          <w:rPr>
            <w:sz w:val="24"/>
            <w:szCs w:val="24"/>
            <w:rtl w:val="0"/>
          </w:rPr>
          <w:t xml:space="preserve"> </w:t>
        </w:r>
      </w:hyperlink>
      <w:hyperlink r:id="rId113">
        <w:r w:rsidDel="00000000" w:rsidR="00000000" w:rsidRPr="00000000">
          <w:rPr>
            <w:color w:val="1155cc"/>
            <w:sz w:val="24"/>
            <w:szCs w:val="24"/>
            <w:u w:val="single"/>
            <w:rtl w:val="0"/>
          </w:rPr>
          <w:t xml:space="preserve">https://pmc.ncbi.nlm.nih.gov/articles/PMC10620956/</w:t>
        </w:r>
      </w:hyperlink>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0" w:firstLine="0"/>
        <w:rPr>
          <w:rFonts w:ascii="Arial" w:cs="Arial" w:eastAsia="Arial" w:hAnsi="Arial"/>
          <w:color w:val="0000ee"/>
          <w:sz w:val="24"/>
          <w:szCs w:val="24"/>
          <w:u w:val="single"/>
        </w:rPr>
      </w:pPr>
      <w:r w:rsidDel="00000000" w:rsidR="00000000" w:rsidRPr="00000000">
        <w:rPr>
          <w:rtl w:val="0"/>
        </w:rPr>
      </w:r>
    </w:p>
    <w:sectPr>
      <w:headerReference r:id="rId114" w:type="default"/>
      <w:footerReference r:id="rId1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6648465" TargetMode="External"/><Relationship Id="rId42" Type="http://schemas.openxmlformats.org/officeDocument/2006/relationships/hyperlink" Target="https://dspace.loyno.edu/jspui/bitstream/123456789/174/1/Villa%20-%20LLR%20-%2066.2.pdf" TargetMode="External"/><Relationship Id="rId41" Type="http://schemas.openxmlformats.org/officeDocument/2006/relationships/hyperlink" Target="https://www.researchgate.net/publication/396648465" TargetMode="External"/><Relationship Id="rId44" Type="http://schemas.openxmlformats.org/officeDocument/2006/relationships/hyperlink" Target="https://www.law.georgetown.edu/public-policy-journal/wp-content/uploads/sites/23/2018/05/16-1-Revisiting-Seminole-Rock.pdf" TargetMode="External"/><Relationship Id="rId43" Type="http://schemas.openxmlformats.org/officeDocument/2006/relationships/hyperlink" Target="https://dspace.loyno.edu/jspui/bitstream/123456789/174/1/Villa%20-%20LLR%20-%2066.2.pdf" TargetMode="External"/><Relationship Id="rId46" Type="http://schemas.openxmlformats.org/officeDocument/2006/relationships/hyperlink" Target="https://www.researchgate.net/publication/401818738" TargetMode="External"/><Relationship Id="rId45" Type="http://schemas.openxmlformats.org/officeDocument/2006/relationships/hyperlink" Target="https://www.law.georgetown.edu/public-policy-journal/wp-content/uploads/sites/23/2018/05/16-1-Revisiting-Seminole-Rock.pdf" TargetMode="External"/><Relationship Id="rId107" Type="http://schemas.openxmlformats.org/officeDocument/2006/relationships/hyperlink" Target="https://faculty.sites.iastate.edu/tesfatsi/archive/tesfatsi/SystemDynDiscreteEventABMCompared.BorshchevFilippov04.pdf" TargetMode="External"/><Relationship Id="rId106" Type="http://schemas.openxmlformats.org/officeDocument/2006/relationships/hyperlink" Target="https://faculty.sites.iastate.edu/tesfatsi/archive/tesfatsi/SystemDynDiscreteEventABMCompared.BorshchevFilippov04.pdf" TargetMode="External"/><Relationship Id="rId105" Type="http://schemas.openxmlformats.org/officeDocument/2006/relationships/hyperlink" Target="https://pmc.ncbi.nlm.nih.gov/articles/PMC12866292/" TargetMode="External"/><Relationship Id="rId104" Type="http://schemas.openxmlformats.org/officeDocument/2006/relationships/hyperlink" Target="https://pmc.ncbi.nlm.nih.gov/articles/PMC12866292/" TargetMode="External"/><Relationship Id="rId109" Type="http://schemas.openxmlformats.org/officeDocument/2006/relationships/hyperlink" Target="https://www.frontiersin.org/journals/environmental-science/articles/10.3389/fenvs.2015.00066/full" TargetMode="External"/><Relationship Id="rId108" Type="http://schemas.openxmlformats.org/officeDocument/2006/relationships/hyperlink" Target="https://www.frontiersin.org/journals/environmental-science/articles/10.3389/fenvs.2015.00066/full" TargetMode="External"/><Relationship Id="rId48" Type="http://schemas.openxmlformats.org/officeDocument/2006/relationships/hyperlink" Target="https://medium.com/@devdollzai/award-winning-framework-for-award-winning-facts-905c293c6d5a" TargetMode="External"/><Relationship Id="rId47" Type="http://schemas.openxmlformats.org/officeDocument/2006/relationships/hyperlink" Target="https://www.researchgate.net/publication/401818738" TargetMode="External"/><Relationship Id="rId49" Type="http://schemas.openxmlformats.org/officeDocument/2006/relationships/hyperlink" Target="https://medium.com/@devdollzai/award-winning-framework-for-award-winning-facts-905c293c6d5a" TargetMode="External"/><Relationship Id="rId103" Type="http://schemas.openxmlformats.org/officeDocument/2006/relationships/hyperlink" Target="https://systemdynamics.org/what-is-system-dynamics-old/" TargetMode="External"/><Relationship Id="rId102" Type="http://schemas.openxmlformats.org/officeDocument/2006/relationships/hyperlink" Target="https://systemdynamics.org/what-is-system-dynamics-old/" TargetMode="External"/><Relationship Id="rId101" Type="http://schemas.openxmlformats.org/officeDocument/2006/relationships/hyperlink" Target="https://www.jasss.org/28/3/9.html" TargetMode="External"/><Relationship Id="rId100" Type="http://schemas.openxmlformats.org/officeDocument/2006/relationships/hyperlink" Target="https://www.jasss.org/28/3/9.html" TargetMode="External"/><Relationship Id="rId31" Type="http://schemas.openxmlformats.org/officeDocument/2006/relationships/hyperlink" Target="https://oro.open.ac.uk/62164/10/656-7488-4-PB.pdf" TargetMode="External"/><Relationship Id="rId30" Type="http://schemas.openxmlformats.org/officeDocument/2006/relationships/hyperlink" Target="https://oro.open.ac.uk/62164/10/656-7488-4-PB.pdf" TargetMode="External"/><Relationship Id="rId33" Type="http://schemas.openxmlformats.org/officeDocument/2006/relationships/hyperlink" Target="https://www.maynoothuniversity.ie/sites/default/files/assets/document/HighRoadReportPDF.pdf" TargetMode="External"/><Relationship Id="rId32" Type="http://schemas.openxmlformats.org/officeDocument/2006/relationships/hyperlink" Target="https://www.maynoothuniversity.ie/sites/default/files/assets/document/HighRoadReportPDF.pdf" TargetMode="External"/><Relationship Id="rId35" Type="http://schemas.openxmlformats.org/officeDocument/2006/relationships/hyperlink" Target="https://trepo.tuni.fi/bitstream/handle/10024/103501/978-952-03-0763-9.pdf" TargetMode="External"/><Relationship Id="rId34" Type="http://schemas.openxmlformats.org/officeDocument/2006/relationships/hyperlink" Target="https://trepo.tuni.fi/bitstream/handle/10024/103501/978-952-03-0763-9.pdf" TargetMode="External"/><Relationship Id="rId37" Type="http://schemas.openxmlformats.org/officeDocument/2006/relationships/hyperlink" Target="https://jspp.psychopen.eu/index.php/jspp/article/view/5161/5161.html" TargetMode="External"/><Relationship Id="rId36" Type="http://schemas.openxmlformats.org/officeDocument/2006/relationships/hyperlink" Target="https://jspp.psychopen.eu/index.php/jspp/article/view/5161/5161.html" TargetMode="External"/><Relationship Id="rId39" Type="http://schemas.openxmlformats.org/officeDocument/2006/relationships/hyperlink" Target="https://www.researchgate.net/publication/384018371_Ideological_self-selection_in_online_news_exposure_Evidence_from_Europe_and_the_US" TargetMode="External"/><Relationship Id="rId38" Type="http://schemas.openxmlformats.org/officeDocument/2006/relationships/hyperlink" Target="https://www.researchgate.net/publication/384018371_Ideological_self-selection_in_online_news_exposure_Evidence_from_Europe_and_the_US" TargetMode="External"/><Relationship Id="rId20" Type="http://schemas.openxmlformats.org/officeDocument/2006/relationships/hyperlink" Target="https://scholarship.law.duke.edu/cgi/viewcontent.cgi?article=1198&amp;context=dlj" TargetMode="External"/><Relationship Id="rId22" Type="http://schemas.openxmlformats.org/officeDocument/2006/relationships/hyperlink" Target="https://nepis.epa.gov/Exe/ZyPURL.cgi?Dockey=P1014IXG.TXT" TargetMode="External"/><Relationship Id="rId21" Type="http://schemas.openxmlformats.org/officeDocument/2006/relationships/hyperlink" Target="https://scholarship.law.duke.edu/cgi/viewcontent.cgi?article=1198&amp;context=dlj" TargetMode="External"/><Relationship Id="rId24" Type="http://schemas.openxmlformats.org/officeDocument/2006/relationships/hyperlink" Target="https://esoc.princeton.edu/publications/proxy-wars-suppressing-violence-through-local-agents" TargetMode="External"/><Relationship Id="rId23" Type="http://schemas.openxmlformats.org/officeDocument/2006/relationships/hyperlink" Target="https://nepis.epa.gov/Exe/ZyPURL.cgi?Dockey=P1014IXG.TXT" TargetMode="External"/><Relationship Id="rId26" Type="http://schemas.openxmlformats.org/officeDocument/2006/relationships/hyperlink" Target="https://scholarlypublications.universiteitleiden.nl/access/item%253A3076589/download" TargetMode="External"/><Relationship Id="rId25" Type="http://schemas.openxmlformats.org/officeDocument/2006/relationships/hyperlink" Target="https://esoc.princeton.edu/publications/proxy-wars-suppressing-violence-through-local-agents" TargetMode="External"/><Relationship Id="rId28" Type="http://schemas.openxmlformats.org/officeDocument/2006/relationships/hyperlink" Target="https://mwi.westpoint.edu/exploitative-transactional-coercive-cultural-contractual-toward-better-theory-proxy-war/" TargetMode="External"/><Relationship Id="rId27" Type="http://schemas.openxmlformats.org/officeDocument/2006/relationships/hyperlink" Target="https://scholarlypublications.universiteitleiden.nl/access/item%253A3076589/download" TargetMode="External"/><Relationship Id="rId29" Type="http://schemas.openxmlformats.org/officeDocument/2006/relationships/hyperlink" Target="https://mwi.westpoint.edu/exploitative-transactional-coercive-cultural-contractual-toward-better-theory-proxy-war/" TargetMode="External"/><Relationship Id="rId95" Type="http://schemas.openxmlformats.org/officeDocument/2006/relationships/hyperlink" Target="https://www.tandfonline.com/doi/full/10.1080/17477778.2026.2625187" TargetMode="External"/><Relationship Id="rId94" Type="http://schemas.openxmlformats.org/officeDocument/2006/relationships/hyperlink" Target="https://www.tandfonline.com/doi/full/10.1080/17477778.2026.2625187" TargetMode="External"/><Relationship Id="rId97" Type="http://schemas.openxmlformats.org/officeDocument/2006/relationships/hyperlink" Target="https://faculty.sites.iastate.edu/tesfatsi/archive/tesfatsi/ABMSoftwareReview.AbarEtAl2017.pdf" TargetMode="External"/><Relationship Id="rId96" Type="http://schemas.openxmlformats.org/officeDocument/2006/relationships/hyperlink" Target="https://faculty.sites.iastate.edu/tesfatsi/archive/tesfatsi/ABMSoftwareReview.AbarEtAl2017.pdf" TargetMode="External"/><Relationship Id="rId11" Type="http://schemas.openxmlformats.org/officeDocument/2006/relationships/hyperlink" Target="https://digitalcommons.law.uw.edu/cgi/viewcontent.cgi?article=1042&amp;context=faculty-articles" TargetMode="External"/><Relationship Id="rId99" Type="http://schemas.openxmlformats.org/officeDocument/2006/relationships/hyperlink" Target="https://sfiscience.medium.com/agent-based-modeling-for-the-past-present-and-future-281fe5fab62c" TargetMode="External"/><Relationship Id="rId10" Type="http://schemas.openxmlformats.org/officeDocument/2006/relationships/hyperlink" Target="https://digitalcommons.law.uw.edu/cgi/viewcontent.cgi?article=1042&amp;context=faculty-articles" TargetMode="External"/><Relationship Id="rId98" Type="http://schemas.openxmlformats.org/officeDocument/2006/relationships/hyperlink" Target="https://sfiscience.medium.com/agent-based-modeling-for-the-past-present-and-future-281fe5fab62c" TargetMode="External"/><Relationship Id="rId13" Type="http://schemas.openxmlformats.org/officeDocument/2006/relationships/hyperlink" Target="https://www.nyulawreview.org/wp-content/uploads/2018/08/NYULawReview-89-4-1184-Livermore-Revesz.pdf" TargetMode="External"/><Relationship Id="rId12" Type="http://schemas.openxmlformats.org/officeDocument/2006/relationships/hyperlink" Target="https://www.nyulawreview.org/wp-content/uploads/2018/08/NYULawReview-89-4-1184-Livermore-Revesz.pdf" TargetMode="External"/><Relationship Id="rId91" Type="http://schemas.openxmlformats.org/officeDocument/2006/relationships/hyperlink" Target="https://corpgov.law.harvard.edu/2026/01/06/proxies-for-politics/" TargetMode="External"/><Relationship Id="rId90" Type="http://schemas.openxmlformats.org/officeDocument/2006/relationships/hyperlink" Target="https://corpgov.law.harvard.edu/2026/01/06/proxies-for-politics/" TargetMode="External"/><Relationship Id="rId93" Type="http://schemas.openxmlformats.org/officeDocument/2006/relationships/hyperlink" Target="https://polgovpro.blog/2024/03/25/agents-proxies-servants-agency-part-2/" TargetMode="External"/><Relationship Id="rId92" Type="http://schemas.openxmlformats.org/officeDocument/2006/relationships/hyperlink" Target="https://polgovpro.blog/2024/03/25/agents-proxies-servants-agency-part-2/" TargetMode="External"/><Relationship Id="rId115" Type="http://schemas.openxmlformats.org/officeDocument/2006/relationships/footer" Target="footer1.xml"/><Relationship Id="rId15" Type="http://schemas.openxmlformats.org/officeDocument/2006/relationships/hyperlink" Target="https://digitalcommons.law.uw.edu/cgi/viewcontent.cgi?article=1270&amp;context=faculty-articles" TargetMode="External"/><Relationship Id="rId110" Type="http://schemas.openxmlformats.org/officeDocument/2006/relationships/hyperlink" Target="https://www.mdpi.com/2079-8954/11/11/530" TargetMode="External"/><Relationship Id="rId14" Type="http://schemas.openxmlformats.org/officeDocument/2006/relationships/hyperlink" Target="https://digitalcommons.law.uw.edu/cgi/viewcontent.cgi?article=1270&amp;context=faculty-articles" TargetMode="External"/><Relationship Id="rId17" Type="http://schemas.openxmlformats.org/officeDocument/2006/relationships/hyperlink" Target="https://aldf.org/wp-content/uploads/2023/04/2023-04-10-AWA-Final-Comment-Letter.pdf" TargetMode="External"/><Relationship Id="rId16" Type="http://schemas.openxmlformats.org/officeDocument/2006/relationships/hyperlink" Target="https://aldf.org/wp-content/uploads/2023/04/2023-04-10-AWA-Final-Comment-Letter.pdf" TargetMode="External"/><Relationship Id="rId19" Type="http://schemas.openxmlformats.org/officeDocument/2006/relationships/hyperlink" Target="https://politicalscience.yale.edu/sites/default/files/files/Flynn_Colleen.pdf" TargetMode="External"/><Relationship Id="rId114" Type="http://schemas.openxmlformats.org/officeDocument/2006/relationships/header" Target="header1.xml"/><Relationship Id="rId18" Type="http://schemas.openxmlformats.org/officeDocument/2006/relationships/hyperlink" Target="https://politicalscience.yale.edu/sites/default/files/files/Flynn_Colleen.pdf" TargetMode="External"/><Relationship Id="rId113" Type="http://schemas.openxmlformats.org/officeDocument/2006/relationships/hyperlink" Target="https://pmc.ncbi.nlm.nih.gov/articles/PMC10620956/" TargetMode="External"/><Relationship Id="rId112" Type="http://schemas.openxmlformats.org/officeDocument/2006/relationships/hyperlink" Target="https://pmc.ncbi.nlm.nih.gov/articles/PMC10620956/" TargetMode="External"/><Relationship Id="rId111" Type="http://schemas.openxmlformats.org/officeDocument/2006/relationships/hyperlink" Target="https://www.mdpi.com/2079-8954/11/11/530" TargetMode="External"/><Relationship Id="rId84" Type="http://schemas.openxmlformats.org/officeDocument/2006/relationships/hyperlink" Target="https://pmc.ncbi.nlm.nih.gov/articles/PMC9394832/" TargetMode="External"/><Relationship Id="rId83" Type="http://schemas.openxmlformats.org/officeDocument/2006/relationships/hyperlink" Target="https://hdr.undp.org/content/human-development-index-hdi" TargetMode="External"/><Relationship Id="rId86" Type="http://schemas.openxmlformats.org/officeDocument/2006/relationships/hyperlink" Target="https://www.frontiersin.org/journals/psychology/articles/10.3389/fpsyg.2017.01552/full" TargetMode="External"/><Relationship Id="rId85" Type="http://schemas.openxmlformats.org/officeDocument/2006/relationships/hyperlink" Target="https://pmc.ncbi.nlm.nih.gov/articles/PMC9394832/" TargetMode="External"/><Relationship Id="rId88" Type="http://schemas.openxmlformats.org/officeDocument/2006/relationships/hyperlink" Target="https://journals.plos.org/plosone/article?id=10.1371/journal.pone.0272530" TargetMode="External"/><Relationship Id="rId87" Type="http://schemas.openxmlformats.org/officeDocument/2006/relationships/hyperlink" Target="https://www.frontiersin.org/journals/psychology/articles/10.3389/fpsyg.2017.01552/full" TargetMode="External"/><Relationship Id="rId89" Type="http://schemas.openxmlformats.org/officeDocument/2006/relationships/hyperlink" Target="https://journals.plos.org/plosone/article?id=10.1371/journal.pone.0272530" TargetMode="External"/><Relationship Id="rId80" Type="http://schemas.openxmlformats.org/officeDocument/2006/relationships/hyperlink" Target="https://www.tandfonline.com/doi/full/10.1080/10584609.2024.2363545" TargetMode="External"/><Relationship Id="rId82" Type="http://schemas.openxmlformats.org/officeDocument/2006/relationships/hyperlink" Target="https://hdr.undp.org/content/human-development-index-hdi" TargetMode="External"/><Relationship Id="rId81" Type="http://schemas.openxmlformats.org/officeDocument/2006/relationships/hyperlink" Target="https://www.tandfonline.com/doi/full/10.1080/10584609.2024.23635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caseymrobbins/a-system-on-red-alert-quantifying-the-1929-style-risks-in-2025s-policies-8e4b5129409d" TargetMode="External"/><Relationship Id="rId5" Type="http://schemas.openxmlformats.org/officeDocument/2006/relationships/styles" Target="styles.xml"/><Relationship Id="rId6" Type="http://schemas.openxmlformats.org/officeDocument/2006/relationships/hyperlink" Target="https://medium.com/@caseymrobbins/keeping-the-rubes-duped-d9beb6bdca5f" TargetMode="External"/><Relationship Id="rId7" Type="http://schemas.openxmlformats.org/officeDocument/2006/relationships/hyperlink" Target="https://medium.com/@caseymrobbins/keeping-the-rubes-duped-d9beb6bdca5f" TargetMode="External"/><Relationship Id="rId8" Type="http://schemas.openxmlformats.org/officeDocument/2006/relationships/hyperlink" Target="https://medium.com/@caseymrobbins/a-system-on-red-alert-quantifying-the-1929-style-risks-in-2025s-policies-8e4b5129409d" TargetMode="External"/><Relationship Id="rId73" Type="http://schemas.openxmlformats.org/officeDocument/2006/relationships/hyperlink" Target="https://arxiv.org/html/2511.09663v1" TargetMode="External"/><Relationship Id="rId72" Type="http://schemas.openxmlformats.org/officeDocument/2006/relationships/hyperlink" Target="https://arxiv.org/html/2511.09663v1" TargetMode="External"/><Relationship Id="rId75" Type="http://schemas.openxmlformats.org/officeDocument/2006/relationships/hyperlink" Target="https://arxiv.org/html/2506.06299v4" TargetMode="External"/><Relationship Id="rId74" Type="http://schemas.openxmlformats.org/officeDocument/2006/relationships/hyperlink" Target="https://arxiv.org/html/2506.06299v4" TargetMode="External"/><Relationship Id="rId77" Type="http://schemas.openxmlformats.org/officeDocument/2006/relationships/hyperlink" Target="https://consilienceproject.org/democracy-and-the-epistemic-commons/" TargetMode="External"/><Relationship Id="rId76" Type="http://schemas.openxmlformats.org/officeDocument/2006/relationships/hyperlink" Target="https://consilienceproject.org/democracy-and-the-epistemic-commons/" TargetMode="External"/><Relationship Id="rId79" Type="http://schemas.openxmlformats.org/officeDocument/2006/relationships/hyperlink" Target="https://arxiv.org/html/2506.06299v3" TargetMode="External"/><Relationship Id="rId78" Type="http://schemas.openxmlformats.org/officeDocument/2006/relationships/hyperlink" Target="https://arxiv.org/html/2506.06299v3" TargetMode="External"/><Relationship Id="rId71" Type="http://schemas.openxmlformats.org/officeDocument/2006/relationships/hyperlink" Target="https://www.researchgate.net/publication/401178703" TargetMode="External"/><Relationship Id="rId70" Type="http://schemas.openxmlformats.org/officeDocument/2006/relationships/hyperlink" Target="https://www.researchgate.net/publication/401178703" TargetMode="External"/><Relationship Id="rId62" Type="http://schemas.openxmlformats.org/officeDocument/2006/relationships/hyperlink" Target="https://www.researchgate.net/publication/342362940_Vulnerability_in_Social_Epistemic_Networks" TargetMode="External"/><Relationship Id="rId61" Type="http://schemas.openxmlformats.org/officeDocument/2006/relationships/hyperlink" Target="https://pubmed.ncbi.nlm.nih.gov/37360965/" TargetMode="External"/><Relationship Id="rId64" Type="http://schemas.openxmlformats.org/officeDocument/2006/relationships/hyperlink" Target="https://medium.com/@garyramah_39120/the-new-debt-how-autonomous-ai-is-quietly-bankrupting-human-understanding-80c34d3d6918" TargetMode="External"/><Relationship Id="rId63" Type="http://schemas.openxmlformats.org/officeDocument/2006/relationships/hyperlink" Target="https://www.researchgate.net/publication/342362940_Vulnerability_in_Social_Epistemic_Networks" TargetMode="External"/><Relationship Id="rId66" Type="http://schemas.openxmlformats.org/officeDocument/2006/relationships/hyperlink" Target="https://arxiv.org/html/2602.20206v2" TargetMode="External"/><Relationship Id="rId65" Type="http://schemas.openxmlformats.org/officeDocument/2006/relationships/hyperlink" Target="https://medium.com/@garyramah_39120/the-new-debt-how-autonomous-ai-is-quietly-bankrupting-human-understanding-80c34d3d6918" TargetMode="External"/><Relationship Id="rId68" Type="http://schemas.openxmlformats.org/officeDocument/2006/relationships/hyperlink" Target="https://arxiv.org/html/2602.20206v1" TargetMode="External"/><Relationship Id="rId67" Type="http://schemas.openxmlformats.org/officeDocument/2006/relationships/hyperlink" Target="https://arxiv.org/html/2602.20206v2" TargetMode="External"/><Relationship Id="rId60" Type="http://schemas.openxmlformats.org/officeDocument/2006/relationships/hyperlink" Target="https://pubmed.ncbi.nlm.nih.gov/37360965/" TargetMode="External"/><Relationship Id="rId69" Type="http://schemas.openxmlformats.org/officeDocument/2006/relationships/hyperlink" Target="https://arxiv.org/html/2602.20206v1" TargetMode="External"/><Relationship Id="rId51" Type="http://schemas.openxmlformats.org/officeDocument/2006/relationships/hyperlink" Target="https://cdurable.info/wp-content/uploads/2018/11/1-s2.0-s0921800914000615-main-de5.pdf" TargetMode="External"/><Relationship Id="rId50" Type="http://schemas.openxmlformats.org/officeDocument/2006/relationships/hyperlink" Target="https://cdurable.info/wp-content/uploads/2018/11/1-s2.0-s0921800914000615-main-de5.pdf" TargetMode="External"/><Relationship Id="rId53" Type="http://schemas.openxmlformats.org/officeDocument/2006/relationships/hyperlink" Target="https://www.academia.edu/96197477/Human_and_nature_dynamics_HANDY" TargetMode="External"/><Relationship Id="rId52" Type="http://schemas.openxmlformats.org/officeDocument/2006/relationships/hyperlink" Target="https://www.academia.edu/96197477/Human_and_nature_dynamics_HANDY" TargetMode="External"/><Relationship Id="rId55" Type="http://schemas.openxmlformats.org/officeDocument/2006/relationships/hyperlink" Target="https://dokumen.pub/the-prophets-of-doom.html" TargetMode="External"/><Relationship Id="rId54" Type="http://schemas.openxmlformats.org/officeDocument/2006/relationships/hyperlink" Target="https://dokumen.pub/the-prophets-of-doom.html" TargetMode="External"/><Relationship Id="rId57" Type="http://schemas.openxmlformats.org/officeDocument/2006/relationships/hyperlink" Target="https://arxiv.org/html/2603.02960v1" TargetMode="External"/><Relationship Id="rId56" Type="http://schemas.openxmlformats.org/officeDocument/2006/relationships/hyperlink" Target="https://arxiv.org/html/2603.02960v1" TargetMode="External"/><Relationship Id="rId59" Type="http://schemas.openxmlformats.org/officeDocument/2006/relationships/hyperlink" Target="https://pmc.ncbi.nlm.nih.gov/articles/PMC10235842/" TargetMode="External"/><Relationship Id="rId58" Type="http://schemas.openxmlformats.org/officeDocument/2006/relationships/hyperlink" Target="https://pmc.ncbi.nlm.nih.gov/articles/PMC10235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