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caps/>
          <w:color w:val="666666"/>
          <w:sz w:val="20"/>
          <w:szCs w:val="20"/>
        </w:rPr>
        <w:t xml:space="preserve">AGENCY CALCULUS RESEARCH PROGRAM</w:t>
      </w:r>
    </w:p>
    <w:p>
      <w:pPr>
        <w:pBdr>
          <w:bottom w:val="single" w:color="1F3864" w:sz="4" w:space="8"/>
        </w:pBdr>
        <w:spacing w:after="200" w:before="0"/>
        <w:jc w:val="center"/>
      </w:pPr>
      <w:r>
        <w:rPr>
          <w:rFonts w:ascii="Arial" w:cs="Arial" w:eastAsia="Arial" w:hAnsi="Arial"/>
          <w:i/>
          <w:iCs/>
          <w:color w:val="666666"/>
          <w:sz w:val="20"/>
          <w:szCs w:val="20"/>
        </w:rPr>
        <w:t xml:space="preserve">Working Paper  |  Version 3</w:t>
      </w:r>
    </w:p>
    <w:p>
      <w:pPr>
        <w:spacing w:after="80" w:before="80"/>
      </w:pPr>
      <w:r>
        <w:t xml:space="preserve"/>
      </w:r>
    </w:p>
    <w:p>
      <w:pPr>
        <w:spacing w:after="160" w:before="0"/>
        <w:jc w:val="center"/>
      </w:pPr>
      <w:r>
        <w:rPr>
          <w:rFonts w:ascii="Arial" w:cs="Arial" w:eastAsia="Arial" w:hAnsi="Arial"/>
          <w:b/>
          <w:bCs/>
          <w:color w:val="1F3864"/>
          <w:sz w:val="52"/>
          <w:szCs w:val="52"/>
        </w:rPr>
        <w:t xml:space="preserve">The Knowledge-Preference-Priority Architecture</w:t>
      </w:r>
    </w:p>
    <w:p>
      <w:pPr>
        <w:spacing w:after="240" w:before="0"/>
        <w:jc w:val="center"/>
      </w:pPr>
      <w:r>
        <w:rPr>
          <w:rFonts w:ascii="Arial" w:cs="Arial" w:eastAsia="Arial" w:hAnsi="Arial"/>
          <w:i/>
          <w:iCs/>
          <w:color w:val="2E5894"/>
          <w:sz w:val="28"/>
          <w:szCs w:val="28"/>
        </w:rPr>
        <w:t xml:space="preserve">A Universal Model of Human Decision-Making, Behavioral Change, and Innovation</w:t>
      </w:r>
    </w:p>
    <w:p>
      <w:pPr>
        <w:spacing w:after="80" w:before="240"/>
        <w:jc w:val="center"/>
      </w:pPr>
      <w:r>
        <w:rPr>
          <w:rFonts w:ascii="Arial" w:cs="Arial" w:eastAsia="Arial" w:hAnsi="Arial"/>
          <w:b/>
          <w:bCs/>
          <w:color w:val="333333"/>
          <w:sz w:val="24"/>
          <w:szCs w:val="24"/>
        </w:rPr>
        <w:t xml:space="preserve">K.C.M. Robbins</w:t>
      </w:r>
    </w:p>
    <w:p>
      <w:pPr>
        <w:spacing w:after="80" w:before="0"/>
        <w:jc w:val="center"/>
      </w:pPr>
      <w:r>
        <w:rPr>
          <w:rFonts w:ascii="Arial" w:cs="Arial" w:eastAsia="Arial" w:hAnsi="Arial"/>
          <w:color w:val="666666"/>
          <w:sz w:val="22"/>
          <w:szCs w:val="22"/>
        </w:rPr>
        <w:t xml:space="preserve">Independent Researcher, Agency Calculus Framework</w:t>
      </w:r>
    </w:p>
    <w:p>
      <w:pPr>
        <w:spacing w:after="400" w:before="0"/>
        <w:jc w:val="center"/>
      </w:pPr>
      <w:r>
        <w:rPr>
          <w:rFonts w:ascii="Arial" w:cs="Arial" w:eastAsia="Arial" w:hAnsi="Arial"/>
          <w:color w:val="666666"/>
          <w:sz w:val="22"/>
          <w:szCs w:val="22"/>
        </w:rPr>
        <w:t xml:space="preserve">2026</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EEF2F8" w:val="clear"/>
            <w:tcMar>
              <w:top w:type="dxa" w:w="200"/>
              <w:left w:type="dxa" w:w="280"/>
              <w:bottom w:type="dxa" w:w="200"/>
              <w:right w:type="dxa" w:w="280"/>
            </w:tcMar>
          </w:tcPr>
          <w:p>
            <w:pPr>
              <w:spacing w:after="120" w:before="0"/>
            </w:pPr>
            <w:r>
              <w:rPr>
                <w:rFonts w:ascii="Arial" w:cs="Arial" w:eastAsia="Arial" w:hAnsi="Arial"/>
                <w:b/>
                <w:bCs/>
                <w:caps/>
                <w:color w:val="1F3864"/>
                <w:sz w:val="20"/>
                <w:szCs w:val="20"/>
              </w:rPr>
              <w:t xml:space="preserve">ABSTRACT</w:t>
            </w:r>
          </w:p>
          <w:p>
            <w:pPr>
              <w:spacing w:after="0" w:before="0"/>
            </w:pPr>
            <w:r>
              <w:rPr>
                <w:rFonts w:ascii="Arial" w:cs="Arial" w:eastAsia="Arial" w:hAnsi="Arial"/>
                <w:color w:val="333333"/>
                <w:sz w:val="20"/>
                <w:szCs w:val="20"/>
              </w:rPr>
              <w:t xml:space="preserve">This paper presents the Knowledge-Preference-Priority (KPP) Architecture, a universal model of human decision-making derived from first principles within the Agency Calculus framework. Version 3 adds a formal treatment of Trust as a meta-layer operating on the Knowledge component through two distinct mechanisms: external trust as a source-weighted filter on information incorporation, and internal trust as self-knowledge about one's own belief state stability across contexts. The critical insight is that trust operates on two simultaneous update processes: incoming information updates the Knowledge component weighted by source trust, while that same information also updates the trust model for the source independently of whether the content was accepted. Discarded information does not simply disappear. It updates the meta-layer. Internal trust formalizes the self-knowledge that one's own priority stack may not remain stable when a preference becomes obtainable, enabling pre-commitment behaviors that can only be explained by accurate self-modeling. The paper presents the complete mathematical formalization including the trust-augmented belief state, dual-channel update equations, and the self-trust pre-commitment behavioral modifier. The model was derived independently from first principles; convergent structural similarity to BDI agent models, reinforcement learning, and Bayesian epistemology is treated as confirmatory validation rather than as prior art.</w:t>
            </w:r>
          </w:p>
        </w:tc>
      </w:tr>
    </w:tbl>
    <w:p>
      <w:pPr>
        <w:spacing w:after="80" w:before="80"/>
      </w:pPr>
      <w:r>
        <w:t xml:space="preserve"/>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1. Introduction: The Problem With Existing Models</w:t>
      </w:r>
    </w:p>
    <w:p>
      <w:pPr>
        <w:spacing w:after="160" w:before="80"/>
      </w:pPr>
      <w:r>
        <w:rPr>
          <w:rFonts w:ascii="Arial" w:cs="Arial" w:eastAsia="Arial" w:hAnsi="Arial"/>
          <w:sz w:val="22"/>
          <w:szCs w:val="22"/>
        </w:rPr>
        <w:t xml:space="preserve">The dominant frameworks for modeling human behavior share a foundational assumption that the KPP Architecture rejects entirely: that deviation from a predicted behavioral pattern constitutes evidence of irrationality, cognitive bias, or moral deficiency. Expected utility theory treats persistent deviation from predicted maximization as anomaly. Dual-process theory implicitly ranks deliberative reasoning above intuitive responses. Behavioral economics catalogs failures to match the rational agent model. Clinical frameworks pathologize behavioral patterns rather than interrogating the belief state architecture producing them.</w:t>
      </w:r>
    </w:p>
    <w:p>
      <w:pPr>
        <w:spacing w:after="160" w:before="80"/>
      </w:pPr>
      <w:r>
        <w:rPr>
          <w:rFonts w:ascii="Arial" w:cs="Arial" w:eastAsia="Arial" w:hAnsi="Arial"/>
          <w:sz w:val="22"/>
          <w:szCs w:val="22"/>
        </w:rPr>
        <w:t xml:space="preserve">The KPP Architecture makes a different and stronger claim. Every human being at every moment is running a perfectly rational cognitive architecture. The behavior that follows is always the correct logical output of the current operative belief state. What the dominant frameworks identify as irrationality is always, without exception, a belief state the observer does not have full visibility into. The actor is not reasoning poorly. The observer is reasoning about incomplete information.</w:t>
      </w:r>
    </w:p>
    <w:p>
      <w:pPr>
        <w:spacing w:after="160" w:before="80"/>
      </w:pPr>
      <w:r>
        <w:rPr>
          <w:rFonts w:ascii="Arial" w:cs="Arial" w:eastAsia="Arial" w:hAnsi="Arial"/>
          <w:sz w:val="22"/>
          <w:szCs w:val="22"/>
        </w:rPr>
        <w:t xml:space="preserve">This reframing has consequences that extend far beyond academic modeling. Policy built on the irrationality assumption targets the wrong variable. Interventions designed to correct deficient reasoning fail because the reasoning is not deficient. Moral frameworks that assign culpability based on behavioral outputs without examining the belief state architecture that generated them systematically mislocate responsibility. The KPP Architecture provides the foundation for a more precise, more accurate, and more humane analysis of human behavior under any condition.</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2. Independent Derivation and Convergent Validation</w:t>
      </w:r>
    </w:p>
    <w:p>
      <w:pPr>
        <w:spacing w:after="160" w:before="80"/>
      </w:pPr>
      <w:r>
        <w:rPr>
          <w:rFonts w:ascii="Arial" w:cs="Arial" w:eastAsia="Arial" w:hAnsi="Arial"/>
          <w:sz w:val="22"/>
          <w:szCs w:val="22"/>
        </w:rPr>
        <w:t xml:space="preserve">The KPP Architecture was derived from first principles through the analysis of human behavior under structural constraint within the Agency Calculus research program. The Agency Calculus framework begins from the foundational claim that agency is the precondition for valuing anything. Working from that primitive, the analysis of individual decision-making under varying agency conditions generates three foundational questions: what does an agent know, what does an agent want, and when wants compete what determines which want produces behavior. These questions generate the three components of the KPP Architecture: Knowledge, Preferences, and Priorities.</w:t>
      </w:r>
    </w:p>
    <w:p>
      <w:pPr>
        <w:spacing w:after="160" w:before="80"/>
      </w:pPr>
      <w:r>
        <w:rPr>
          <w:rFonts w:ascii="Arial" w:cs="Arial" w:eastAsia="Arial" w:hAnsi="Arial"/>
          <w:sz w:val="22"/>
          <w:szCs w:val="22"/>
        </w:rPr>
        <w:t xml:space="preserve">Following this independent derivation, structural similarities to existing frameworks become significant as evidence rather than as sources. Belief-Desire-Intention agent models in artificial intelligence, reinforcement learning value function architectures, Bayesian epistemology's confidence-weighted belief updating, and social epistemology's community knowledge transmission mechanisms all independently reached structurally similar conclusions from different starting points and through different methods.</w:t>
      </w:r>
    </w:p>
    <w:p>
      <w:pPr>
        <w:pBdr>
          <w:left w:val="single" w:color="2E5894" w:sz="4" w:space="12"/>
        </w:pBdr>
        <w:spacing w:after="120" w:before="120"/>
        <w:ind w:left="720" w:right="720"/>
      </w:pPr>
      <w:r>
        <w:rPr>
          <w:rFonts w:ascii="Arial" w:cs="Arial" w:eastAsia="Arial" w:hAnsi="Arial"/>
          <w:i/>
          <w:iCs/>
          <w:color w:val="333333"/>
          <w:sz w:val="22"/>
          <w:szCs w:val="22"/>
        </w:rPr>
        <w:t xml:space="preserve">Independent derivation followed by convergent validation is stronger evidence for a theoretical architecture than derivation from an established tradition. When multiple independent derivations from different starting points converge on similar structures, the convergence indicates the structure is tracking something real in the phenomenon rather than something inherited from a shared intellectual lineage.</w:t>
      </w:r>
    </w:p>
    <w:p>
      <w:pPr>
        <w:spacing w:after="160" w:before="80"/>
      </w:pPr>
      <w:r>
        <w:rPr>
          <w:rFonts w:ascii="Arial" w:cs="Arial" w:eastAsia="Arial" w:hAnsi="Arial"/>
          <w:sz w:val="22"/>
          <w:szCs w:val="22"/>
        </w:rPr>
        <w:t xml:space="preserve">The KPP Architecture therefore cites these traditions as convergent independent validation, not as foundations. The references section reflects this distinction explicitly.</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3. The Core Architecture</w:t>
      </w:r>
    </w:p>
    <w:p>
      <w:pPr>
        <w:spacing w:after="160" w:before="80"/>
      </w:pPr>
      <w:r>
        <w:rPr>
          <w:rFonts w:ascii="Arial" w:cs="Arial" w:eastAsia="Arial" w:hAnsi="Arial"/>
          <w:sz w:val="22"/>
          <w:szCs w:val="22"/>
        </w:rPr>
        <w:t xml:space="preserve">The KPP Architecture models human decision-making as the deterministic output of a belief state system operating continuously in real time. The belief state comprises three primary components and one meta-layer. The three primary components are Knowledge, Preferences, and Priorities. The meta-layer is Trust, which operates on and between the primary components rather than alongside them as a co-equal fourth element.</w:t>
      </w:r>
    </w:p>
    <w:p>
      <w:pPr>
        <w:spacing w:after="160" w:before="80"/>
      </w:pPr>
      <w:r>
        <w:rPr>
          <w:rFonts w:ascii="Arial" w:cs="Arial" w:eastAsia="Arial" w:hAnsi="Arial"/>
          <w:b/>
          <w:bCs/>
          <w:sz w:val="22"/>
          <w:szCs w:val="22"/>
        </w:rPr>
        <w:t xml:space="preserve">Knowledge (K) </w:t>
      </w:r>
      <w:r>
        <w:rPr>
          <w:rFonts w:ascii="Arial" w:cs="Arial" w:eastAsia="Arial" w:hAnsi="Arial"/>
          <w:sz w:val="22"/>
          <w:szCs w:val="22"/>
        </w:rPr>
        <w:t xml:space="preserve">is the agent's current working model of reality: factual beliefs, causal models, self-assessments, and expectations about available outcomes. Knowledge is a continuously running process that updates with every input including internal processing. The recursive self-referential property of the Knowledge update process means the system generates genuinely novel configurations without new external input by processing its own previous outputs through the preference-guided attention filter.</w:t>
      </w:r>
    </w:p>
    <w:p>
      <w:pPr>
        <w:spacing w:after="160" w:before="80"/>
      </w:pPr>
      <w:r>
        <w:rPr>
          <w:rFonts w:ascii="Arial" w:cs="Arial" w:eastAsia="Arial" w:hAnsi="Arial"/>
          <w:b/>
          <w:bCs/>
          <w:sz w:val="22"/>
          <w:szCs w:val="22"/>
        </w:rPr>
        <w:t xml:space="preserve">Preferences (P) </w:t>
      </w:r>
      <w:r>
        <w:rPr>
          <w:rFonts w:ascii="Arial" w:cs="Arial" w:eastAsia="Arial" w:hAnsi="Arial"/>
          <w:sz w:val="22"/>
          <w:szCs w:val="22"/>
        </w:rPr>
        <w:t xml:space="preserve">are the agent's ordered evaluations of possible states of the world: what the agent wants, values, and finds meaningful. Preferences are the lens through which Knowledge is processed. The preference architecture determines which information is attended to, which connections between knowledge elements are weighted as significant, and which configurations feel worth pursuing. Different preference architectures generate different knowledge from identical external inputs. This is the primary source of genuine innovation.</w:t>
      </w:r>
    </w:p>
    <w:p>
      <w:pPr>
        <w:spacing w:after="160" w:before="80"/>
      </w:pPr>
      <w:r>
        <w:rPr>
          <w:rFonts w:ascii="Arial" w:cs="Arial" w:eastAsia="Arial" w:hAnsi="Arial"/>
          <w:b/>
          <w:bCs/>
          <w:sz w:val="22"/>
          <w:szCs w:val="22"/>
        </w:rPr>
        <w:t xml:space="preserve">Priorities (Pr) </w:t>
      </w:r>
      <w:r>
        <w:rPr>
          <w:rFonts w:ascii="Arial" w:cs="Arial" w:eastAsia="Arial" w:hAnsi="Arial"/>
          <w:sz w:val="22"/>
          <w:szCs w:val="22"/>
        </w:rPr>
        <w:t xml:space="preserve">are the ordered ranking of Preferences at the moment of behavioral choice. When Preferences compete, the Priority ordering determines which Preference produces behavioral output. Priorities are more dynamic than Preferences and more responsive to immediate contextual pressure, including emotional states. Priority reordering is the primary mechanism through which behavior changes rapidly without any change in underlying Preferences or Knowledge.</w:t>
      </w:r>
    </w:p>
    <w:p>
      <w:pPr>
        <w:spacing w:after="160" w:before="80"/>
      </w:pPr>
      <w:r>
        <w:rPr>
          <w:rFonts w:ascii="Arial" w:cs="Arial" w:eastAsia="Arial" w:hAnsi="Arial"/>
          <w:b/>
          <w:bCs/>
          <w:sz w:val="22"/>
          <w:szCs w:val="22"/>
        </w:rPr>
        <w:t xml:space="preserve">Trust (T) </w:t>
      </w:r>
      <w:r>
        <w:rPr>
          <w:rFonts w:ascii="Arial" w:cs="Arial" w:eastAsia="Arial" w:hAnsi="Arial"/>
          <w:sz w:val="22"/>
          <w:szCs w:val="22"/>
        </w:rPr>
        <w:t xml:space="preserve">is the meta-layer governing how information from external sources is weighted in the Knowledge update process, and how the agent models the reliability of its own future belief states. Trust is not a co-equal component alongside Knowledge, Preferences, and Priorities. It is a modifier that operates on the relationship between incoming information and the Knowledge component, and between the agent's current belief state and its predictions about its own future belief states. Trust has two distinct dimensions that require separate formalization: external trust and internal trust.</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4. Mathematical Formalization</w:t>
      </w:r>
    </w:p>
    <w:p>
      <w:pPr>
        <w:pStyle w:val="Heading2"/>
        <w:spacing w:after="140" w:before="280"/>
      </w:pPr>
      <w:r>
        <w:rPr>
          <w:rFonts w:ascii="Arial" w:cs="Arial" w:eastAsia="Arial" w:hAnsi="Arial"/>
          <w:b/>
          <w:bCs/>
          <w:color w:val="2E5894"/>
          <w:sz w:val="26"/>
          <w:szCs w:val="26"/>
        </w:rPr>
        <w:t xml:space="preserve">4.1 Belief State Representation</w:t>
      </w:r>
    </w:p>
    <w:p>
      <w:pPr>
        <w:spacing w:after="160" w:before="80"/>
      </w:pPr>
      <w:r>
        <w:rPr>
          <w:rFonts w:ascii="Arial" w:cs="Arial" w:eastAsia="Arial" w:hAnsi="Arial"/>
          <w:sz w:val="22"/>
          <w:szCs w:val="22"/>
        </w:rPr>
        <w:t xml:space="preserve">The complete belief state of an agent at time t is:</w:t>
      </w:r>
    </w:p>
    <w:p>
      <w:pPr>
        <w:shd w:fill="F0F4F8" w:val="clear"/>
        <w:spacing w:after="60" w:before="60"/>
        <w:ind w:left="560" w:right="560"/>
      </w:pPr>
      <w:r>
        <w:rPr>
          <w:rFonts w:ascii="Courier New" w:cs="Courier New" w:eastAsia="Courier New" w:hAnsi="Courier New"/>
          <w:color w:val="1F3864"/>
          <w:sz w:val="20"/>
          <w:szCs w:val="20"/>
        </w:rPr>
        <w:t xml:space="preserve">B_t = (K_t, P_t, Pr_t, T_t)</w:t>
      </w:r>
    </w:p>
    <w:p>
      <w:pPr>
        <w:spacing w:after="160" w:before="80"/>
      </w:pPr>
      <w:r>
        <w:rPr>
          <w:rFonts w:ascii="Arial" w:cs="Arial" w:eastAsia="Arial" w:hAnsi="Arial"/>
          <w:sz w:val="22"/>
          <w:szCs w:val="22"/>
        </w:rPr>
        <w:t xml:space="preserve">where T_t = (T_ext_t, T_int_t) is the trust meta-layer comprising external trust and internal trust. Behavior is a function of this complete belief state and the available action set:</w:t>
      </w:r>
    </w:p>
    <w:p>
      <w:pPr>
        <w:shd w:fill="F0F4F8" w:val="clear"/>
        <w:spacing w:after="60" w:before="60"/>
        <w:ind w:left="560" w:right="560"/>
      </w:pPr>
      <w:r>
        <w:rPr>
          <w:rFonts w:ascii="Courier New" w:cs="Courier New" w:eastAsia="Courier New" w:hAnsi="Courier New"/>
          <w:color w:val="1F3864"/>
          <w:sz w:val="20"/>
          <w:szCs w:val="20"/>
        </w:rPr>
        <w:t xml:space="preserve">a_t = argmax_{a in A} U(a | K_t, P_t, Pr_t, T_t)</w:t>
      </w:r>
    </w:p>
    <w:p>
      <w:pPr>
        <w:spacing w:after="160" w:before="80"/>
      </w:pPr>
      <w:r>
        <w:rPr>
          <w:rFonts w:ascii="Arial" w:cs="Arial" w:eastAsia="Arial" w:hAnsi="Arial"/>
          <w:sz w:val="22"/>
          <w:szCs w:val="22"/>
        </w:rPr>
        <w:t xml:space="preserve">The chosen action maximizes the agent's internal evaluation given their full belief state including trust modifiers. This formulation is deterministic: given a fully specified belief state, the behavioral output is uniquely determined. Apparent probabilism in observed behavior reflects observer uncertainty about the complete belief state, not genuine indeterminacy in the output function.</w:t>
      </w:r>
    </w:p>
    <w:p>
      <w:pPr>
        <w:pStyle w:val="Heading2"/>
        <w:spacing w:after="140" w:before="280"/>
      </w:pPr>
      <w:r>
        <w:rPr>
          <w:rFonts w:ascii="Arial" w:cs="Arial" w:eastAsia="Arial" w:hAnsi="Arial"/>
          <w:b/>
          <w:bCs/>
          <w:color w:val="2E5894"/>
          <w:sz w:val="26"/>
          <w:szCs w:val="26"/>
        </w:rPr>
        <w:t xml:space="preserve">4.2 Knowledge as a Weighted Belief Network</w:t>
      </w:r>
    </w:p>
    <w:p>
      <w:pPr>
        <w:spacing w:after="160" w:before="80"/>
      </w:pPr>
      <w:r>
        <w:rPr>
          <w:rFonts w:ascii="Arial" w:cs="Arial" w:eastAsia="Arial" w:hAnsi="Arial"/>
          <w:sz w:val="22"/>
          <w:szCs w:val="22"/>
        </w:rPr>
        <w:t xml:space="preserve">Knowledge is represented as a weighted graph:</w:t>
      </w:r>
    </w:p>
    <w:p>
      <w:pPr>
        <w:shd w:fill="F0F4F8" w:val="clear"/>
        <w:spacing w:after="60" w:before="60"/>
        <w:ind w:left="560" w:right="560"/>
      </w:pPr>
      <w:r>
        <w:rPr>
          <w:rFonts w:ascii="Courier New" w:cs="Courier New" w:eastAsia="Courier New" w:hAnsi="Courier New"/>
          <w:color w:val="1F3864"/>
          <w:sz w:val="20"/>
          <w:szCs w:val="20"/>
        </w:rPr>
        <w:t xml:space="preserve">K_t = (N, E, w_k)</w:t>
      </w:r>
    </w:p>
    <w:p>
      <w:pPr>
        <w:spacing w:after="160" w:before="80"/>
      </w:pPr>
      <w:r>
        <w:rPr>
          <w:rFonts w:ascii="Arial" w:cs="Arial" w:eastAsia="Arial" w:hAnsi="Arial"/>
          <w:sz w:val="22"/>
          <w:szCs w:val="22"/>
        </w:rPr>
        <w:t xml:space="preserve">where N is the set of belief nodes, E is the set of causal connections between beliefs, and w_k is the confidence weight on each node ranging from 0 to 1. The trust-augmented, attention-weighted knowledge update rule is:</w:t>
      </w:r>
    </w:p>
    <w:p>
      <w:pPr>
        <w:shd w:fill="F0F4F8" w:val="clear"/>
        <w:spacing w:after="60" w:before="60"/>
        <w:ind w:left="560" w:right="560"/>
      </w:pPr>
      <w:r>
        <w:rPr>
          <w:rFonts w:ascii="Courier New" w:cs="Courier New" w:eastAsia="Courier New" w:hAnsi="Courier New"/>
          <w:color w:val="1F3864"/>
          <w:sz w:val="20"/>
          <w:szCs w:val="20"/>
        </w:rPr>
        <w:t xml:space="preserve">K_{t+1} = K_t + T_ext(source) * alpha(P_t, Pr_t) * Evidence * (1 - w_k)</w:t>
      </w:r>
    </w:p>
    <w:p>
      <w:pPr>
        <w:spacing w:after="160" w:before="80"/>
      </w:pPr>
      <w:r>
        <w:rPr>
          <w:rFonts w:ascii="Arial" w:cs="Arial" w:eastAsia="Arial" w:hAnsi="Arial"/>
          <w:sz w:val="22"/>
          <w:szCs w:val="22"/>
        </w:rPr>
        <w:t xml:space="preserve">Three multiplicative terms operate on incoming evidence before it reaches the Knowledge component. T_ext(source) is the external trust weight for the source: high trust sources have high weights, low trust sources have low weights, and completely distrusted sources have weights near zero. alpha(P_t, Pr_t) is the attention-weighted learning rate: evidence relevant to currently dominant priorities receives high alpha while evidence irrelevant to active preferences receives low alpha regardless of quality. (1 - w_k) is the confidence weighting: low confidence beliefs update rapidly while high confidence beliefs require proportionally more evidence.</w:t>
      </w:r>
    </w:p>
    <w:p>
      <w:pPr>
        <w:spacing w:after="160" w:before="80"/>
      </w:pPr>
      <w:r>
        <w:rPr>
          <w:rFonts w:ascii="Arial" w:cs="Arial" w:eastAsia="Arial" w:hAnsi="Arial"/>
          <w:sz w:val="22"/>
          <w:szCs w:val="22"/>
        </w:rPr>
        <w:t xml:space="preserve">Critically, the trust meta-layer operates on a second, simultaneous update process that is independent of whether the content was accepted. Even when T_ext(source) suppresses content incorporation, the source's reliability is still being evaluated:</w:t>
      </w:r>
    </w:p>
    <w:p>
      <w:pPr>
        <w:shd w:fill="F0F4F8" w:val="clear"/>
        <w:spacing w:after="60" w:before="60"/>
        <w:ind w:left="560" w:right="560"/>
      </w:pPr>
      <w:r>
        <w:rPr>
          <w:rFonts w:ascii="Courier New" w:cs="Courier New" w:eastAsia="Courier New" w:hAnsi="Courier New"/>
          <w:color w:val="1F3864"/>
          <w:sz w:val="20"/>
          <w:szCs w:val="20"/>
        </w:rPr>
        <w:t xml:space="preserve">T_ext_{t+1}(source) = T_ext_t(source) + beta * ValidationSignal(source, Evidence, Outcome)</w:t>
      </w:r>
    </w:p>
    <w:p>
      <w:pPr>
        <w:spacing w:after="160" w:before="80"/>
      </w:pPr>
      <w:r>
        <w:rPr>
          <w:rFonts w:ascii="Arial" w:cs="Arial" w:eastAsia="Arial" w:hAnsi="Arial"/>
          <w:sz w:val="22"/>
          <w:szCs w:val="22"/>
        </w:rPr>
        <w:t xml:space="preserve">where ValidationSignal is positive when the source's evidence proves accurate and negative when it proves inaccurate. This means that discarded information does not simply disappear from the system. It updates the trust model for the source. A distrusted source that turns out to be accurate gains trust over time. A trusted source that turns out to be inaccurate loses trust. The agent is simultaneously evaluating content and calibrating the meta-layer that determines how future content from this source will be weighted. Information is never entirely wasted even when it is rejected at the content level.</w:t>
      </w:r>
    </w:p>
    <w:p>
      <w:pPr>
        <w:pStyle w:val="Heading2"/>
        <w:spacing w:after="140" w:before="280"/>
      </w:pPr>
      <w:r>
        <w:rPr>
          <w:rFonts w:ascii="Arial" w:cs="Arial" w:eastAsia="Arial" w:hAnsi="Arial"/>
          <w:b/>
          <w:bCs/>
          <w:color w:val="2E5894"/>
          <w:sz w:val="26"/>
          <w:szCs w:val="26"/>
        </w:rPr>
        <w:t xml:space="preserve">4.3 Preferences as a Value Vector</w:t>
      </w:r>
    </w:p>
    <w:p>
      <w:pPr>
        <w:spacing w:after="160" w:before="80"/>
      </w:pPr>
      <w:r>
        <w:rPr>
          <w:rFonts w:ascii="Arial" w:cs="Arial" w:eastAsia="Arial" w:hAnsi="Arial"/>
          <w:sz w:val="22"/>
          <w:szCs w:val="22"/>
        </w:rPr>
        <w:t xml:space="preserve">Preferences are modeled as a weighted value function over world states:</w:t>
      </w:r>
    </w:p>
    <w:p>
      <w:pPr>
        <w:shd w:fill="F0F4F8" w:val="clear"/>
        <w:spacing w:after="60" w:before="60"/>
        <w:ind w:left="560" w:right="560"/>
      </w:pPr>
      <w:r>
        <w:rPr>
          <w:rFonts w:ascii="Courier New" w:cs="Courier New" w:eastAsia="Courier New" w:hAnsi="Courier New"/>
          <w:color w:val="1F3864"/>
          <w:sz w:val="20"/>
          <w:szCs w:val="20"/>
        </w:rPr>
        <w:t xml:space="preserve">P = {p_1, p_2, ..., p_n}</w:t>
      </w:r>
    </w:p>
    <w:p>
      <w:pPr>
        <w:shd w:fill="F0F4F8" w:val="clear"/>
        <w:spacing w:after="60" w:before="60"/>
        <w:ind w:left="560" w:right="560"/>
      </w:pPr>
      <w:r>
        <w:rPr>
          <w:rFonts w:ascii="Courier New" w:cs="Courier New" w:eastAsia="Courier New" w:hAnsi="Courier New"/>
          <w:color w:val="1F3864"/>
          <w:sz w:val="20"/>
          <w:szCs w:val="20"/>
        </w:rPr>
        <w:t xml:space="preserve">U(s) = sum_i p_i * V_i(s)</w:t>
      </w:r>
    </w:p>
    <w:p>
      <w:pPr>
        <w:spacing w:after="160" w:before="80"/>
      </w:pPr>
      <w:r>
        <w:rPr>
          <w:rFonts w:ascii="Arial" w:cs="Arial" w:eastAsia="Arial" w:hAnsi="Arial"/>
          <w:sz w:val="22"/>
          <w:szCs w:val="22"/>
        </w:rPr>
        <w:t xml:space="preserve">where V_i(s) measures how much state s satisfies preference i. Preferences exist on a spectrum from surface-level contingent wants to identity-constitutive commitments. Identity-level preferences carry implicit utility constraints that resist priority override regardless of softmax compression, explaining why some behaviors are maintained under extreme priority pressure that would readily override surface preferences.</w:t>
      </w:r>
    </w:p>
    <w:p>
      <w:pPr>
        <w:pStyle w:val="Heading2"/>
        <w:spacing w:after="140" w:before="280"/>
      </w:pPr>
      <w:r>
        <w:rPr>
          <w:rFonts w:ascii="Arial" w:cs="Arial" w:eastAsia="Arial" w:hAnsi="Arial"/>
          <w:b/>
          <w:bCs/>
          <w:color w:val="2E5894"/>
          <w:sz w:val="26"/>
          <w:szCs w:val="26"/>
        </w:rPr>
        <w:t xml:space="preserve">4.4 Priority Ordering as a Softmax Modifier</w:t>
      </w:r>
    </w:p>
    <w:p>
      <w:pPr>
        <w:spacing w:after="160" w:before="80"/>
      </w:pPr>
      <w:r>
        <w:rPr>
          <w:rFonts w:ascii="Arial" w:cs="Arial" w:eastAsia="Arial" w:hAnsi="Arial"/>
          <w:sz w:val="22"/>
          <w:szCs w:val="22"/>
        </w:rPr>
        <w:t xml:space="preserve">Priority ordering is implemented as a softmax weight modifier on the preference vector:</w:t>
      </w:r>
    </w:p>
    <w:p>
      <w:pPr>
        <w:shd w:fill="F0F4F8" w:val="clear"/>
        <w:spacing w:after="60" w:before="60"/>
        <w:ind w:left="560" w:right="560"/>
      </w:pPr>
      <w:r>
        <w:rPr>
          <w:rFonts w:ascii="Courier New" w:cs="Courier New" w:eastAsia="Courier New" w:hAnsi="Courier New"/>
          <w:color w:val="1F3864"/>
          <w:sz w:val="20"/>
          <w:szCs w:val="20"/>
        </w:rPr>
        <w:t xml:space="preserve">p_i' = p_i * exp(beta * rank_i)</w:t>
      </w:r>
    </w:p>
    <w:p>
      <w:pPr>
        <w:spacing w:after="160" w:before="80"/>
      </w:pPr>
      <w:r>
        <w:rPr>
          <w:rFonts w:ascii="Arial" w:cs="Arial" w:eastAsia="Arial" w:hAnsi="Arial"/>
          <w:sz w:val="22"/>
          <w:szCs w:val="22"/>
        </w:rPr>
        <w:t xml:space="preserve">where rank_i is the preference's current position in the priority ordering and beta is the priority sensitivity parameter. Higher ranked preferences receive exponentially greater influence over behavioral output. Lower ranked preferences do not disappear: they continue to exist and influence behavior at the margin, outweighed by but not eliminated by higher-ranked preferences.</w:t>
      </w:r>
    </w:p>
    <w:p>
      <w:pPr>
        <w:pStyle w:val="Heading2"/>
        <w:spacing w:after="140" w:before="280"/>
      </w:pPr>
      <w:r>
        <w:rPr>
          <w:rFonts w:ascii="Arial" w:cs="Arial" w:eastAsia="Arial" w:hAnsi="Arial"/>
          <w:b/>
          <w:bCs/>
          <w:color w:val="2E5894"/>
          <w:sz w:val="26"/>
          <w:szCs w:val="26"/>
        </w:rPr>
        <w:t xml:space="preserve">4.5 Trust as a Meta-Layer: External and Internal</w:t>
      </w:r>
    </w:p>
    <w:p>
      <w:pPr>
        <w:spacing w:after="160" w:before="80"/>
      </w:pPr>
      <w:r>
        <w:rPr>
          <w:rFonts w:ascii="Arial" w:cs="Arial" w:eastAsia="Arial" w:hAnsi="Arial"/>
          <w:sz w:val="22"/>
          <w:szCs w:val="22"/>
        </w:rPr>
        <w:t xml:space="preserve">Trust operates as a meta-layer on the belief state through two mechanisms that must be formalized separately because they produce different effects on behavior.</w:t>
      </w:r>
    </w:p>
    <w:p>
      <w:pPr>
        <w:pStyle w:val="Heading3"/>
        <w:spacing w:after="100" w:before="200"/>
      </w:pPr>
      <w:r>
        <w:rPr>
          <w:rFonts w:ascii="Arial" w:cs="Arial" w:eastAsia="Arial" w:hAnsi="Arial"/>
          <w:b/>
          <w:bCs/>
          <w:color w:val="2E5894"/>
          <w:sz w:val="24"/>
          <w:szCs w:val="24"/>
        </w:rPr>
        <w:t xml:space="preserve">4.5.1 External Trust</w:t>
      </w:r>
    </w:p>
    <w:p>
      <w:pPr>
        <w:spacing w:after="160" w:before="80"/>
      </w:pPr>
      <w:r>
        <w:rPr>
          <w:rFonts w:ascii="Arial" w:cs="Arial" w:eastAsia="Arial" w:hAnsi="Arial"/>
          <w:sz w:val="22"/>
          <w:szCs w:val="22"/>
        </w:rPr>
        <w:t xml:space="preserve">External trust T_ext is a mapping from information sources to reliability weights ranging from 0 to 1:</w:t>
      </w:r>
    </w:p>
    <w:p>
      <w:pPr>
        <w:shd w:fill="F0F4F8" w:val="clear"/>
        <w:spacing w:after="60" w:before="60"/>
        <w:ind w:left="560" w:right="560"/>
      </w:pPr>
      <w:r>
        <w:rPr>
          <w:rFonts w:ascii="Courier New" w:cs="Courier New" w:eastAsia="Courier New" w:hAnsi="Courier New"/>
          <w:color w:val="1F3864"/>
          <w:sz w:val="20"/>
          <w:szCs w:val="20"/>
        </w:rPr>
        <w:t xml:space="preserve">T_ext : Sources -&gt; [0, 1]</w:t>
      </w:r>
    </w:p>
    <w:p>
      <w:pPr>
        <w:spacing w:after="160" w:before="80"/>
      </w:pPr>
      <w:r>
        <w:rPr>
          <w:rFonts w:ascii="Arial" w:cs="Arial" w:eastAsia="Arial" w:hAnsi="Arial"/>
          <w:sz w:val="22"/>
          <w:szCs w:val="22"/>
        </w:rPr>
        <w:t xml:space="preserve">External trust modifies the knowledge update equation through the T_ext(source) term. It is itself continuously updated through the ValidationSignal equation. The two properties of external trust that are most important for behavioral analysis are:</w:t>
      </w:r>
    </w:p>
    <w:p>
      <w:pPr>
        <w:pStyle w:val="ListParagraph"/>
        <w:numPr>
          <w:ilvl w:val="0"/>
          <w:numId w:val="2"/>
        </w:numPr>
        <w:spacing w:after="40" w:before="40"/>
      </w:pPr>
      <w:r>
        <w:rPr>
          <w:rFonts w:ascii="Arial" w:cs="Arial" w:eastAsia="Arial" w:hAnsi="Arial"/>
          <w:sz w:val="22"/>
          <w:szCs w:val="22"/>
        </w:rPr>
        <w:t xml:space="preserve">Content filtering: high trust sources have high alpha multipliers for content incorporation; low trust sources have low multipliers, suppressing content regardless of the evidence's epistemic quality.</w:t>
      </w:r>
    </w:p>
    <w:p>
      <w:pPr>
        <w:pStyle w:val="ListParagraph"/>
        <w:numPr>
          <w:ilvl w:val="0"/>
          <w:numId w:val="2"/>
        </w:numPr>
        <w:spacing w:after="40" w:before="40"/>
      </w:pPr>
      <w:r>
        <w:rPr>
          <w:rFonts w:ascii="Arial" w:cs="Arial" w:eastAsia="Arial" w:hAnsi="Arial"/>
          <w:sz w:val="22"/>
          <w:szCs w:val="22"/>
        </w:rPr>
        <w:t xml:space="preserve">Meta-layer updating: incoming information always updates T_ext(source) regardless of whether the content was incorporated into K. The agent evaluates source reliability even when rejecting source content. A disbelieved source that turns out to be accurate becomes more trusted. A trusted source that turns out to be inaccurate becomes less trusted. The trust model is always learning even when the content model is not.</w:t>
      </w:r>
    </w:p>
    <w:p>
      <w:pPr>
        <w:spacing w:after="80" w:before="80"/>
      </w:pPr>
      <w:r>
        <w:t xml:space="preserve"/>
      </w:r>
    </w:p>
    <w:p>
      <w:pPr>
        <w:spacing w:after="160" w:before="80"/>
      </w:pPr>
      <w:r>
        <w:rPr>
          <w:rFonts w:ascii="Arial" w:cs="Arial" w:eastAsia="Arial" w:hAnsi="Arial"/>
          <w:sz w:val="22"/>
          <w:szCs w:val="22"/>
        </w:rPr>
        <w:t xml:space="preserve">The implication for epistemic extraction analysis is significant. Flooding the information environment with low-quality content from many sources does not simply add noise. It degrades the trust model's ability to discriminate between reliable and unreliable sources by saturating the ValidationSignal mechanism. When everything is potentially false, the trust model cannot calibrate because the feedback signal that would allow discrimination between accurate and inaccurate sources is overwhelmed. This is the Liar's Dividend operating at the trust meta-layer: it does not corrupt specific knowledge content. It corrupts the discriminative mechanism that allows the agent to determine what to believe.</w:t>
      </w:r>
    </w:p>
    <w:p>
      <w:pPr>
        <w:pStyle w:val="Heading3"/>
        <w:spacing w:after="100" w:before="200"/>
      </w:pPr>
      <w:r>
        <w:rPr>
          <w:rFonts w:ascii="Arial" w:cs="Arial" w:eastAsia="Arial" w:hAnsi="Arial"/>
          <w:b/>
          <w:bCs/>
          <w:color w:val="2E5894"/>
          <w:sz w:val="24"/>
          <w:szCs w:val="24"/>
        </w:rPr>
        <w:t xml:space="preserve">4.5.2 Internal Trust</w:t>
      </w:r>
    </w:p>
    <w:p>
      <w:pPr>
        <w:spacing w:after="160" w:before="80"/>
      </w:pPr>
      <w:r>
        <w:rPr>
          <w:rFonts w:ascii="Arial" w:cs="Arial" w:eastAsia="Arial" w:hAnsi="Arial"/>
          <w:sz w:val="22"/>
          <w:szCs w:val="22"/>
        </w:rPr>
        <w:t xml:space="preserve">Internal trust T_int is self-knowledge about the reliability and stability of one's own future belief states across contexts:</w:t>
      </w:r>
    </w:p>
    <w:p>
      <w:pPr>
        <w:shd w:fill="F0F4F8" w:val="clear"/>
        <w:spacing w:after="60" w:before="60"/>
        <w:ind w:left="560" w:right="560"/>
      </w:pPr>
      <w:r>
        <w:rPr>
          <w:rFonts w:ascii="Courier New" w:cs="Courier New" w:eastAsia="Courier New" w:hAnsi="Courier New"/>
          <w:color w:val="1F3864"/>
          <w:sz w:val="20"/>
          <w:szCs w:val="20"/>
        </w:rPr>
        <w:t xml:space="preserve">T_int : (Self, Context) -&gt; Stability_weight [0, 1]</w:t>
      </w:r>
    </w:p>
    <w:p>
      <w:pPr>
        <w:spacing w:after="160" w:before="80"/>
      </w:pPr>
      <w:r>
        <w:rPr>
          <w:rFonts w:ascii="Arial" w:cs="Arial" w:eastAsia="Arial" w:hAnsi="Arial"/>
          <w:sz w:val="22"/>
          <w:szCs w:val="22"/>
        </w:rPr>
        <w:t xml:space="preserve">T_int(self, context) represents the agent's assessed probability that their current Priority ordering will remain stable when a given context is entered or when a given preference becomes obtainable. High internal trust means the agent believes their stated priorities will continue to govern their behavior when the relevant opportunity or pressure arises. Low internal trust means the agent has accurate self-knowledge that their priority stack is likely to reorganize in that context regardless of their current preferences.</w:t>
      </w:r>
    </w:p>
    <w:p>
      <w:pPr>
        <w:spacing w:after="160" w:before="80"/>
      </w:pPr>
      <w:r>
        <w:rPr>
          <w:rFonts w:ascii="Arial" w:cs="Arial" w:eastAsia="Arial" w:hAnsi="Arial"/>
          <w:sz w:val="22"/>
          <w:szCs w:val="22"/>
        </w:rPr>
        <w:t xml:space="preserve">This is the mechanism the base model was missing for explaining pre-commitment behavior. An agent who knows their priorities will shift enters behavioral choices in advance of the context that would trigger the shift. The person in recovery from addiction who avoids bars is not irrationally restricting themselves. They have an accurate internal trust model that their Priority stack will reorganize toward substance-seeking in that context, overriding their current preference for sobriety. The avoidance is the rational behavioral output of accurate self-knowledge about their own belief state dynamics.</w:t>
      </w:r>
    </w:p>
    <w:p>
      <w:pPr>
        <w:spacing w:after="160" w:before="80"/>
      </w:pPr>
      <w:r>
        <w:rPr>
          <w:rFonts w:ascii="Arial" w:cs="Arial" w:eastAsia="Arial" w:hAnsi="Arial"/>
          <w:sz w:val="22"/>
          <w:szCs w:val="22"/>
        </w:rPr>
        <w:t xml:space="preserve">Internal trust also explains the inverse case: an agent may know that a preference is obtainable and yet accurately predict that their priorities will not shift to pursue it even when it becomes available. This is not weakness or contradiction. It is accurate self-modeling of the conditions under which priority reordering occurs for this specific agent. Some people correctly know that their priorities will not change in the presence of an available preference. Some people incorrectly believe this. The accuracy of the self-model is what distinguishes effective self-management from its failure.</w:t>
      </w:r>
    </w:p>
    <w:p>
      <w:pPr>
        <w:spacing w:after="160" w:before="80"/>
      </w:pPr>
      <w:r>
        <w:rPr>
          <w:rFonts w:ascii="Arial" w:cs="Arial" w:eastAsia="Arial" w:hAnsi="Arial"/>
          <w:sz w:val="22"/>
          <w:szCs w:val="22"/>
        </w:rPr>
        <w:t xml:space="preserve">The formal effect of internal trust on behavioral output is a pre-commitment modifier:</w:t>
      </w:r>
    </w:p>
    <w:p>
      <w:pPr>
        <w:shd w:fill="F0F4F8" w:val="clear"/>
        <w:spacing w:after="60" w:before="60"/>
        <w:ind w:left="560" w:right="560"/>
      </w:pPr>
      <w:r>
        <w:rPr>
          <w:rFonts w:ascii="Courier New" w:cs="Courier New" w:eastAsia="Courier New" w:hAnsi="Courier New"/>
          <w:color w:val="1F3864"/>
          <w:sz w:val="20"/>
          <w:szCs w:val="20"/>
        </w:rPr>
        <w:t xml:space="preserve">a_t = argmax_{a in A} [U(a | K_t, P_t, Pr_t) + lambda * T_int(self, context_a) * Stability_value(Pr_t)]</w:t>
      </w:r>
    </w:p>
    <w:p>
      <w:pPr>
        <w:spacing w:after="160" w:before="80"/>
      </w:pPr>
      <w:r>
        <w:rPr>
          <w:rFonts w:ascii="Arial" w:cs="Arial" w:eastAsia="Arial" w:hAnsi="Arial"/>
          <w:sz w:val="22"/>
          <w:szCs w:val="22"/>
        </w:rPr>
        <w:t xml:space="preserve">where lambda is the pre-commitment weight and Stability_value(Pr_t) represents the value the agent places on maintaining their current Priority ordering in the future. When T_int is high, the agent trusts that their priorities will remain stable and the pre-commitment modifier contributes little to action selection: no special action is required to maintain the current priority structure. When T_int is low for a specific context, the pre-commitment modifier rises, and the agent selects actions that reduce future exposure to the context that would trigger the unwanted priority reordering. The agent is acting now to constrain their own future belief state.</w:t>
      </w:r>
    </w:p>
    <w:p>
      <w:pPr>
        <w:pStyle w:val="Heading2"/>
        <w:spacing w:after="140" w:before="280"/>
      </w:pPr>
      <w:r>
        <w:rPr>
          <w:rFonts w:ascii="Arial" w:cs="Arial" w:eastAsia="Arial" w:hAnsi="Arial"/>
          <w:b/>
          <w:bCs/>
          <w:color w:val="2E5894"/>
          <w:sz w:val="26"/>
          <w:szCs w:val="26"/>
        </w:rPr>
        <w:t xml:space="preserve">4.6 Emotion as a Dynamic Priority Modifier</w:t>
      </w:r>
    </w:p>
    <w:p>
      <w:pPr>
        <w:spacing w:after="160" w:before="80"/>
      </w:pPr>
      <w:r>
        <w:rPr>
          <w:rFonts w:ascii="Arial" w:cs="Arial" w:eastAsia="Arial" w:hAnsi="Arial"/>
          <w:sz w:val="22"/>
          <w:szCs w:val="22"/>
        </w:rPr>
        <w:t xml:space="preserve">Emotions are fast priority reordering signals: evolved mechanisms for rapidly restructuring the Priority stack in response to contextually significant events without requiring full deliberative processing. Define the emotional state vector:</w:t>
      </w:r>
    </w:p>
    <w:p>
      <w:pPr>
        <w:shd w:fill="F0F4F8" w:val="clear"/>
        <w:spacing w:after="60" w:before="60"/>
        <w:ind w:left="560" w:right="560"/>
      </w:pPr>
      <w:r>
        <w:rPr>
          <w:rFonts w:ascii="Courier New" w:cs="Courier New" w:eastAsia="Courier New" w:hAnsi="Courier New"/>
          <w:color w:val="1F3864"/>
          <w:sz w:val="20"/>
          <w:szCs w:val="20"/>
        </w:rPr>
        <w:t xml:space="preserve">E_t = {fear, anger, grief, attachment, pleasure, withdrawal, ...}</w:t>
      </w:r>
    </w:p>
    <w:p>
      <w:pPr>
        <w:spacing w:after="160" w:before="80"/>
      </w:pPr>
      <w:r>
        <w:rPr>
          <w:rFonts w:ascii="Arial" w:cs="Arial" w:eastAsia="Arial" w:hAnsi="Arial"/>
          <w:sz w:val="22"/>
          <w:szCs w:val="22"/>
        </w:rPr>
        <w:t xml:space="preserve">Emotion modifies the Priority ordering:</w:t>
      </w:r>
    </w:p>
    <w:p>
      <w:pPr>
        <w:shd w:fill="F0F4F8" w:val="clear"/>
        <w:spacing w:after="60" w:before="60"/>
        <w:ind w:left="560" w:right="560"/>
      </w:pPr>
      <w:r>
        <w:rPr>
          <w:rFonts w:ascii="Courier New" w:cs="Courier New" w:eastAsia="Courier New" w:hAnsi="Courier New"/>
          <w:color w:val="1F3864"/>
          <w:sz w:val="20"/>
          <w:szCs w:val="20"/>
        </w:rPr>
        <w:t xml:space="preserve">Pr_{t+1} = Pr_t + gamma * E_t</w:t>
      </w:r>
    </w:p>
    <w:p>
      <w:pPr>
        <w:spacing w:after="160" w:before="80"/>
      </w:pPr>
      <w:r>
        <w:rPr>
          <w:rFonts w:ascii="Arial" w:cs="Arial" w:eastAsia="Arial" w:hAnsi="Arial"/>
          <w:sz w:val="22"/>
          <w:szCs w:val="22"/>
        </w:rPr>
        <w:t xml:space="preserve">where gamma is the emotion intensity weight. Emotional behavior is priority-reordering behavior. The reasoning system remains intact and produces the correct behavioral output given the updated belief state. Emotion is the fast channel through which Priority reordering occurs without deliberative processing. The internal trust component T_int interacts with emotion here in a critical way: agents with accurate internal trust models can predict which emotional states will trigger which priority reorderings, enabling pre-commitment behaviors that prevent the emotional trigger rather than fighting the priority reordering after it has occurred.</w:t>
      </w:r>
    </w:p>
    <w:p>
      <w:pPr>
        <w:pStyle w:val="Heading2"/>
        <w:spacing w:after="140" w:before="280"/>
      </w:pPr>
      <w:r>
        <w:rPr>
          <w:rFonts w:ascii="Arial" w:cs="Arial" w:eastAsia="Arial" w:hAnsi="Arial"/>
          <w:b/>
          <w:bCs/>
          <w:color w:val="2E5894"/>
          <w:sz w:val="26"/>
          <w:szCs w:val="26"/>
        </w:rPr>
        <w:t xml:space="preserve">4.7 Full Behavioral Output Function</w:t>
      </w:r>
    </w:p>
    <w:p>
      <w:pPr>
        <w:spacing w:after="160" w:before="80"/>
      </w:pPr>
      <w:r>
        <w:rPr>
          <w:rFonts w:ascii="Arial" w:cs="Arial" w:eastAsia="Arial" w:hAnsi="Arial"/>
          <w:sz w:val="22"/>
          <w:szCs w:val="22"/>
        </w:rPr>
        <w:t xml:space="preserve">The complete behavioral output function incorporating all components is:</w:t>
      </w:r>
    </w:p>
    <w:p>
      <w:pPr>
        <w:shd w:fill="F0F4F8" w:val="clear"/>
        <w:spacing w:after="60" w:before="60"/>
        <w:ind w:left="560" w:right="560"/>
      </w:pPr>
      <w:r>
        <w:rPr>
          <w:rFonts w:ascii="Courier New" w:cs="Courier New" w:eastAsia="Courier New" w:hAnsi="Courier New"/>
          <w:color w:val="1F3864"/>
          <w:sz w:val="20"/>
          <w:szCs w:val="20"/>
        </w:rPr>
        <w:t xml:space="preserve">a_t = argmax_{a in A} [sum_i (p_i' * ExpectedValue_i(a | K_t)) + lambda * T_int * Stability_value(Pr_t)]</w:t>
      </w:r>
    </w:p>
    <w:p>
      <w:pPr>
        <w:spacing w:after="160" w:before="80"/>
      </w:pPr>
      <w:r>
        <w:rPr>
          <w:rFonts w:ascii="Arial" w:cs="Arial" w:eastAsia="Arial" w:hAnsi="Arial"/>
          <w:sz w:val="22"/>
          <w:szCs w:val="22"/>
        </w:rPr>
        <w:t xml:space="preserve">where p_i' are the priority-modified softmax preference weights, ExpectedValue_i(a | K_t) is the knowledge-based prediction of how much action a will satisfy preference i, and the second term is the pre-commitment modifier from internal trust. Knowledge predicts outcomes. Preferences value outcomes. Priorities determine which valuations dominate. External trust determines what information reaches the knowledge prediction. Internal trust adds a forward-looking self-modeling term that accounts for the agent's own predicted belief state dynamics.</w:t>
      </w:r>
    </w:p>
    <w:p>
      <w:pPr>
        <w:pStyle w:val="Heading2"/>
        <w:spacing w:after="140" w:before="280"/>
      </w:pPr>
      <w:r>
        <w:rPr>
          <w:rFonts w:ascii="Arial" w:cs="Arial" w:eastAsia="Arial" w:hAnsi="Arial"/>
          <w:b/>
          <w:bCs/>
          <w:color w:val="2E5894"/>
          <w:sz w:val="26"/>
          <w:szCs w:val="26"/>
        </w:rPr>
        <w:t xml:space="preserve">4.8 Complete System Dynamics</w:t>
      </w:r>
    </w:p>
    <w:p>
      <w:pPr>
        <w:spacing w:after="160" w:before="80"/>
      </w:pPr>
      <w:r>
        <w:rPr>
          <w:rFonts w:ascii="Arial" w:cs="Arial" w:eastAsia="Arial" w:hAnsi="Arial"/>
          <w:sz w:val="22"/>
          <w:szCs w:val="22"/>
        </w:rPr>
        <w:t xml:space="preserve">The full KPP system dynamics including trust:</w:t>
      </w:r>
    </w:p>
    <w:p>
      <w:pPr>
        <w:shd w:fill="F0F4F8" w:val="clear"/>
        <w:spacing w:after="60" w:before="60"/>
        <w:ind w:left="560" w:right="560"/>
      </w:pPr>
      <w:r>
        <w:rPr>
          <w:rFonts w:ascii="Courier New" w:cs="Courier New" w:eastAsia="Courier New" w:hAnsi="Courier New"/>
          <w:color w:val="1F3864"/>
          <w:sz w:val="20"/>
          <w:szCs w:val="20"/>
        </w:rPr>
        <w:t xml:space="preserve">K_{t+1}      = K_t + T_ext(source) * alpha(P_t,Pr_t) * Evidence_t * (1-w_k)   [trust-weighted knowledge update]</w:t>
      </w:r>
    </w:p>
    <w:p>
      <w:pPr>
        <w:shd w:fill="F0F4F8" w:val="clear"/>
        <w:spacing w:after="60" w:before="60"/>
        <w:ind w:left="560" w:right="560"/>
      </w:pPr>
      <w:r>
        <w:rPr>
          <w:rFonts w:ascii="Courier New" w:cs="Courier New" w:eastAsia="Courier New" w:hAnsi="Courier New"/>
          <w:color w:val="1F3864"/>
          <w:sz w:val="20"/>
          <w:szCs w:val="20"/>
        </w:rPr>
        <w:t xml:space="preserve">T_ext_{t+1}  = T_ext_t + beta * ValidationSignal(source, Evidence, Outcome)     [external trust update]</w:t>
      </w:r>
    </w:p>
    <w:p>
      <w:pPr>
        <w:shd w:fill="F0F4F8" w:val="clear"/>
        <w:spacing w:after="60" w:before="60"/>
        <w:ind w:left="560" w:right="560"/>
      </w:pPr>
      <w:r>
        <w:rPr>
          <w:rFonts w:ascii="Courier New" w:cs="Courier New" w:eastAsia="Courier New" w:hAnsi="Courier New"/>
          <w:color w:val="1F3864"/>
          <w:sz w:val="20"/>
          <w:szCs w:val="20"/>
        </w:rPr>
        <w:t xml:space="preserve">T_int_{t+1}  = T_int_t + eta * (PredictedShift - ActualShift)                  [internal trust calibration]</w:t>
      </w:r>
    </w:p>
    <w:p>
      <w:pPr>
        <w:shd w:fill="F0F4F8" w:val="clear"/>
        <w:spacing w:after="60" w:before="60"/>
        <w:ind w:left="560" w:right="560"/>
      </w:pPr>
      <w:r>
        <w:rPr>
          <w:rFonts w:ascii="Courier New" w:cs="Courier New" w:eastAsia="Courier New" w:hAnsi="Courier New"/>
          <w:color w:val="1F3864"/>
          <w:sz w:val="20"/>
          <w:szCs w:val="20"/>
        </w:rPr>
        <w:t xml:space="preserve">P_{t+1}      = P_t + delta * ExperienceFeedback_t                              [preference evolution]</w:t>
      </w:r>
    </w:p>
    <w:p>
      <w:pPr>
        <w:shd w:fill="F0F4F8" w:val="clear"/>
        <w:spacing w:after="60" w:before="60"/>
        <w:ind w:left="560" w:right="560"/>
      </w:pPr>
      <w:r>
        <w:rPr>
          <w:rFonts w:ascii="Courier New" w:cs="Courier New" w:eastAsia="Courier New" w:hAnsi="Courier New"/>
          <w:color w:val="1F3864"/>
          <w:sz w:val="20"/>
          <w:szCs w:val="20"/>
        </w:rPr>
        <w:t xml:space="preserve">Pr_{t+1}     = Pr_t + gamma * E_t + context_t                                  [priority reordering]</w:t>
      </w:r>
    </w:p>
    <w:p>
      <w:pPr>
        <w:shd w:fill="F0F4F8" w:val="clear"/>
        <w:spacing w:after="60" w:before="60"/>
        <w:ind w:left="560" w:right="560"/>
      </w:pPr>
      <w:r>
        <w:rPr>
          <w:rFonts w:ascii="Courier New" w:cs="Courier New" w:eastAsia="Courier New" w:hAnsi="Courier New"/>
          <w:color w:val="1F3864"/>
          <w:sz w:val="20"/>
          <w:szCs w:val="20"/>
        </w:rPr>
        <w:t xml:space="preserve">a_t          = decision(K_t, P_t, Pr_t, T_t)                                   [behavioral output]</w:t>
      </w:r>
    </w:p>
    <w:p>
      <w:pPr>
        <w:shd w:fill="F0F4F8" w:val="clear"/>
        <w:spacing w:after="60" w:before="60"/>
        <w:ind w:left="560" w:right="560"/>
      </w:pPr>
      <w:r>
        <w:rPr>
          <w:rFonts w:ascii="Courier New" w:cs="Courier New" w:eastAsia="Courier New" w:hAnsi="Courier New"/>
          <w:color w:val="1F3864"/>
          <w:sz w:val="20"/>
          <w:szCs w:val="20"/>
        </w:rPr>
        <w:t xml:space="preserve">Outcome_t    = environment(a_t)  --&gt;  updates K, P, Pr, T via feedback          [bidirectional feedback]</w:t>
      </w:r>
    </w:p>
    <w:p>
      <w:pPr>
        <w:spacing w:after="80" w:before="80"/>
      </w:pPr>
      <w:r>
        <w:t xml:space="preserve"/>
      </w:r>
    </w:p>
    <w:p>
      <w:pPr>
        <w:spacing w:after="160" w:before="80"/>
      </w:pPr>
      <w:r>
        <w:rPr>
          <w:rFonts w:ascii="Arial" w:cs="Arial" w:eastAsia="Arial" w:hAnsi="Arial"/>
          <w:sz w:val="22"/>
          <w:szCs w:val="22"/>
        </w:rPr>
        <w:t xml:space="preserve">The internal trust update equation T_int_{t+1} = T_int_t + eta * (PredictedShift - ActualShift) deserves particular attention. The agent predicted whether their Priority ordering would shift in the given context. The actual shift either confirmed or disconfirmed that prediction. The difference updates the internal trust model: if the agent predicted no shift and their priorities shifted, T_int decreases for that context. If the agent predicted a shift and maintained their priorities, T_int increases. The agent is continuously calibrating their self-model against their own behavioral outcomes, exactly as they calibrate their external trust model against external source reliability.</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5. Seven Refinements to the Base Model</w:t>
      </w:r>
    </w:p>
    <w:p>
      <w:pPr>
        <w:spacing w:after="160" w:before="80"/>
      </w:pPr>
      <w:r>
        <w:rPr>
          <w:rFonts w:ascii="Arial" w:cs="Arial" w:eastAsia="Arial" w:hAnsi="Arial"/>
          <w:sz w:val="22"/>
          <w:szCs w:val="22"/>
        </w:rPr>
        <w:t xml:space="preserve">The base three-component model with trust meta-layer is analytically powerful in its simplicity. The following seven refinements articulate properties implied by the architecture that require explicit statement for precise diagnostic and predictive application.</w:t>
      </w:r>
    </w:p>
    <w:p>
      <w:pPr>
        <w:pStyle w:val="Heading2"/>
        <w:spacing w:after="140" w:before="280"/>
      </w:pPr>
      <w:r>
        <w:rPr>
          <w:rFonts w:ascii="Arial" w:cs="Arial" w:eastAsia="Arial" w:hAnsi="Arial"/>
          <w:b/>
          <w:bCs/>
          <w:color w:val="2E5894"/>
          <w:sz w:val="26"/>
          <w:szCs w:val="26"/>
        </w:rPr>
        <w:t xml:space="preserve">5.1 Attention as the Input Filter</w:t>
      </w:r>
    </w:p>
    <w:p>
      <w:pPr>
        <w:spacing w:after="160" w:before="80"/>
      </w:pPr>
      <w:r>
        <w:rPr>
          <w:rFonts w:ascii="Arial" w:cs="Arial" w:eastAsia="Arial" w:hAnsi="Arial"/>
          <w:sz w:val="22"/>
          <w:szCs w:val="22"/>
        </w:rPr>
        <w:t xml:space="preserve">Attention is the gate that determines which information reaches the active Knowledge updating process. Attention is governed by the current Priority and Preference configuration through the alpha(P_t, Pr_t) term in the update equation. This produces the attention-weighted learning rate: evidence relevant to currently dominant priorities receives more processing than evidence irrelevant to active preferences regardless of that evidence's epistemic quality. Two agents in the same environment develop substantially different Knowledge configurations over time because their attention filters are processing different subsets of the same available information.</w:t>
      </w:r>
    </w:p>
    <w:p>
      <w:pPr>
        <w:pStyle w:val="Heading2"/>
        <w:spacing w:after="140" w:before="280"/>
      </w:pPr>
      <w:r>
        <w:rPr>
          <w:rFonts w:ascii="Arial" w:cs="Arial" w:eastAsia="Arial" w:hAnsi="Arial"/>
          <w:b/>
          <w:bCs/>
          <w:color w:val="2E5894"/>
          <w:sz w:val="26"/>
          <w:szCs w:val="26"/>
        </w:rPr>
        <w:t xml:space="preserve">5.2 Knowledge Confidence Weighting</w:t>
      </w:r>
    </w:p>
    <w:p>
      <w:pPr>
        <w:spacing w:after="160" w:before="80"/>
      </w:pPr>
      <w:r>
        <w:rPr>
          <w:rFonts w:ascii="Arial" w:cs="Arial" w:eastAsia="Arial" w:hAnsi="Arial"/>
          <w:sz w:val="22"/>
          <w:szCs w:val="22"/>
        </w:rPr>
        <w:t xml:space="preserve">Every knowledge element carries confidence weight w_k determining how much contradictory evidence is required to update it. High-confidence knowledge formed through repeated direct experience, strong social transmission, or deep emotional significance is highly resistant to revision. This is implemented through the (1-w_k) term. High confidence knowledge can only be updated by sustained counter-evidence at sufficient volume through sufficiently authoritative channels to overcome both the confidence weighting and the trust filter simultaneously.</w:t>
      </w:r>
    </w:p>
    <w:p>
      <w:pPr>
        <w:pStyle w:val="Heading2"/>
        <w:spacing w:after="140" w:before="280"/>
      </w:pPr>
      <w:r>
        <w:rPr>
          <w:rFonts w:ascii="Arial" w:cs="Arial" w:eastAsia="Arial" w:hAnsi="Arial"/>
          <w:b/>
          <w:bCs/>
          <w:color w:val="2E5894"/>
          <w:sz w:val="26"/>
          <w:szCs w:val="26"/>
        </w:rPr>
        <w:t xml:space="preserve">5.3 External Trust as a Dual-Channel Filter</w:t>
      </w:r>
    </w:p>
    <w:p>
      <w:pPr>
        <w:spacing w:after="160" w:before="80"/>
      </w:pPr>
      <w:r>
        <w:rPr>
          <w:rFonts w:ascii="Arial" w:cs="Arial" w:eastAsia="Arial" w:hAnsi="Arial"/>
          <w:sz w:val="22"/>
          <w:szCs w:val="22"/>
        </w:rPr>
        <w:t xml:space="preserve">Incoming information processes through two simultaneous channels. The content channel incorporates the information into K weighted by T_ext(source) * alpha * (1-w_k). The trust channel updates the reliability model of the source regardless of whether the content was accepted. These channels are independent. Information rejected at the content level still updates the trust meta-layer. The trust model is always learning even when the content model is not incorporating new material. This means that sustained exposure to a source, even a distrusted source, continuously updates the agent's model of that source's reliability and may gradually shift the trust weight in either direction depending on how the source's claims compare to observable outcomes.</w:t>
      </w:r>
    </w:p>
    <w:p>
      <w:pPr>
        <w:pStyle w:val="Heading2"/>
        <w:spacing w:after="140" w:before="280"/>
      </w:pPr>
      <w:r>
        <w:rPr>
          <w:rFonts w:ascii="Arial" w:cs="Arial" w:eastAsia="Arial" w:hAnsi="Arial"/>
          <w:b/>
          <w:bCs/>
          <w:color w:val="2E5894"/>
          <w:sz w:val="26"/>
          <w:szCs w:val="26"/>
        </w:rPr>
        <w:t xml:space="preserve">5.4 Internal Trust as Self-Knowledge of Belief State Stability</w:t>
      </w:r>
    </w:p>
    <w:p>
      <w:pPr>
        <w:spacing w:after="160" w:before="80"/>
      </w:pPr>
      <w:r>
        <w:rPr>
          <w:rFonts w:ascii="Arial" w:cs="Arial" w:eastAsia="Arial" w:hAnsi="Arial"/>
          <w:sz w:val="22"/>
          <w:szCs w:val="22"/>
        </w:rPr>
        <w:t xml:space="preserve">Internal trust T_int is the agent's model of the reliability of their own future belief states across contexts. It formalizes the self-knowledge that one's own priority stack may not remain stable when a preference becomes obtainable or when specific emotional or contextual triggers are encountered. This is not a failure of willpower or rationality. It is accurate self-modeling. An agent with high internal trust for a given context correctly predicts their priorities will remain stable there. An agent with low internal trust for a given context correctly predicts their priorities will reorganize, enabling pre-commitment behaviors that prevent or manage the reorganization before it occurs rather than fighting it after.</w:t>
      </w:r>
    </w:p>
    <w:p>
      <w:pPr>
        <w:spacing w:after="160" w:before="80"/>
      </w:pPr>
      <w:r>
        <w:rPr>
          <w:rFonts w:ascii="Arial" w:cs="Arial" w:eastAsia="Arial" w:hAnsi="Arial"/>
          <w:sz w:val="22"/>
          <w:szCs w:val="22"/>
        </w:rPr>
        <w:t xml:space="preserve">Internal trust is itself continuously calibrated by comparing predicted to actual Priority stability across contexts. Agents who accurately predict their own priority shifts maintain well-calibrated internal trust models. Agents who consistently underestimate or overestimate their own Priority stability in specific contexts have poorly calibrated internal trust that produces systematically poor pre-commitment decisions.</w:t>
      </w:r>
    </w:p>
    <w:p>
      <w:pPr>
        <w:pStyle w:val="Heading2"/>
        <w:spacing w:after="140" w:before="280"/>
      </w:pPr>
      <w:r>
        <w:rPr>
          <w:rFonts w:ascii="Arial" w:cs="Arial" w:eastAsia="Arial" w:hAnsi="Arial"/>
          <w:b/>
          <w:bCs/>
          <w:color w:val="2E5894"/>
          <w:sz w:val="26"/>
          <w:szCs w:val="26"/>
        </w:rPr>
        <w:t xml:space="preserve">5.5 Identity-Level Versus Surface Preferences</w:t>
      </w:r>
    </w:p>
    <w:p>
      <w:pPr>
        <w:spacing w:after="160" w:before="80"/>
      </w:pPr>
      <w:r>
        <w:rPr>
          <w:rFonts w:ascii="Arial" w:cs="Arial" w:eastAsia="Arial" w:hAnsi="Arial"/>
          <w:sz w:val="22"/>
          <w:szCs w:val="22"/>
        </w:rPr>
        <w:t xml:space="preserve">Preferences exist on a spectrum from surface-level contingent wants to identity-constitutive commitments. Identity-level preferences carry implicit utility constraints that resist both priority override and knowledge-based revision. They interact with internal trust in a specific way: the accurate self-knowledge that certain preferences are identity-level rather than surface-level produces appropriately high confidence that those preferences will resist priority reordering even in high-pressure contexts. This is what distinguishes principled commitment from rigidity: the agent has an accurate internal trust model that correctly identifies which preferences are robust to priority pressure.</w:t>
      </w:r>
    </w:p>
    <w:p>
      <w:pPr>
        <w:pStyle w:val="Heading2"/>
        <w:spacing w:after="140" w:before="280"/>
      </w:pPr>
      <w:r>
        <w:rPr>
          <w:rFonts w:ascii="Arial" w:cs="Arial" w:eastAsia="Arial" w:hAnsi="Arial"/>
          <w:b/>
          <w:bCs/>
          <w:color w:val="2E5894"/>
          <w:sz w:val="26"/>
          <w:szCs w:val="26"/>
        </w:rPr>
        <w:t xml:space="preserve">5.6 Social Transmission of Knowledge</w:t>
      </w:r>
    </w:p>
    <w:p>
      <w:pPr>
        <w:spacing w:after="160" w:before="80"/>
      </w:pPr>
      <w:r>
        <w:rPr>
          <w:rFonts w:ascii="Arial" w:cs="Arial" w:eastAsia="Arial" w:hAnsi="Arial"/>
          <w:sz w:val="22"/>
          <w:szCs w:val="22"/>
        </w:rPr>
        <w:t xml:space="preserve">A substantial portion of any agent's Knowledge component is socially transmitted with distinctive update properties. Socially transmitted knowledge encodes collective experience exceeding any individual's direct observational capacity. It carries higher baseline confidence weighting because it is reinforced by the social authority of the transmission source, and it is slower to update because changing it requires updating the transmission network rather than just the individual. The external trust dimension adds precision here: the trust weight T_ext applied to socially transmitted knowledge reflects trust in the transmission network, not just the original source. Interventions targeting socially transmitted knowledge must engage the transmission network and the trust relationships within it.</w:t>
      </w:r>
    </w:p>
    <w:p>
      <w:pPr>
        <w:pStyle w:val="Heading2"/>
        <w:spacing w:after="140" w:before="280"/>
      </w:pPr>
      <w:r>
        <w:rPr>
          <w:rFonts w:ascii="Arial" w:cs="Arial" w:eastAsia="Arial" w:hAnsi="Arial"/>
          <w:b/>
          <w:bCs/>
          <w:color w:val="2E5894"/>
          <w:sz w:val="26"/>
          <w:szCs w:val="26"/>
        </w:rPr>
        <w:t xml:space="preserve">5.7 Stated Versus Operative Belief States</w:t>
      </w:r>
    </w:p>
    <w:p>
      <w:pPr>
        <w:spacing w:after="160" w:before="80"/>
      </w:pPr>
      <w:r>
        <w:rPr>
          <w:rFonts w:ascii="Arial" w:cs="Arial" w:eastAsia="Arial" w:hAnsi="Arial"/>
          <w:sz w:val="22"/>
          <w:szCs w:val="22"/>
        </w:rPr>
        <w:t xml:space="preserve">Agents frequently report belief states that differ from the belief states actually producing their behavior. The stated belief state is what the agent consciously articulates. The operative belief state is the one whose logical output matches the observed behavioral pattern. Trust adds a specific dimension to this distinction: agents may have accurate internal trust models that their stated priorities are unreliable in certain contexts, which is itself the accurate belief state producing pre-commitment behavior. The stated priority and the operative priority can differ precisely because the agent's internal trust model correctly identifies the stated priority as unstable. Always work from the operative belief state inferred from behavior. When stated and operative diverge, the divergence is the most informative data point in the analysis.</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6. The Rational Output Principle and Its Defense</w:t>
      </w:r>
    </w:p>
    <w:p>
      <w:pPr>
        <w:spacing w:after="160" w:before="80"/>
      </w:pPr>
      <w:r>
        <w:rPr>
          <w:rFonts w:ascii="Arial" w:cs="Arial" w:eastAsia="Arial" w:hAnsi="Arial"/>
          <w:sz w:val="22"/>
          <w:szCs w:val="22"/>
        </w:rPr>
        <w:t xml:space="preserve">The Rational Output Principle states that every behavior is the correct logical output of the operative belief state that produced it. This applies without exception. There are no irrational behaviors. There are only behaviors produced by belief states the observer cannot fully see.</w:t>
      </w:r>
    </w:p>
    <w:p>
      <w:pPr>
        <w:spacing w:after="160" w:before="80"/>
      </w:pPr>
      <w:r>
        <w:rPr>
          <w:rFonts w:ascii="Arial" w:cs="Arial" w:eastAsia="Arial" w:hAnsi="Arial"/>
          <w:sz w:val="22"/>
          <w:szCs w:val="22"/>
        </w:rPr>
        <w:t xml:space="preserve">The claim is about the computational relationship between belief state and behavioral output, not about the accuracy of belief states or the quality of outcomes. Cognitive biases describe systematic patterns in how belief states are constructed and updated. A belief state built through confirmation bias is still a belief state. The behavior it produces is the correct output of that state. Bounded rationality describes constraints on belief state completeness, not a failure of the reasoning process operating on the belief state. Neurological impairment affects the computational architecture in severe cases but does not characterize normally functioning agents making behavioral choices.</w:t>
      </w:r>
    </w:p>
    <w:p>
      <w:pPr>
        <w:pBdr>
          <w:left w:val="single" w:color="2E5894" w:sz="4" w:space="12"/>
        </w:pBdr>
        <w:spacing w:after="120" w:before="120"/>
        <w:ind w:left="720" w:right="720"/>
      </w:pPr>
      <w:r>
        <w:rPr>
          <w:rFonts w:ascii="Arial" w:cs="Arial" w:eastAsia="Arial" w:hAnsi="Arial"/>
          <w:i/>
          <w:iCs/>
          <w:color w:val="333333"/>
          <w:sz w:val="22"/>
          <w:szCs w:val="22"/>
        </w:rPr>
        <w:t xml:space="preserve">The apparent probabilistic nature of observed behavior reflects observer uncertainty about the complete belief state, not genuine indeterminacy in the output function. Weakening the deterministic claim to accommodate this measurement noise would sacrifice the model's most important diagnostic implication: unexpected behavior always reveals something about the belief state rather than representing random deviation.</w:t>
      </w:r>
    </w:p>
    <w:p>
      <w:pPr>
        <w:spacing w:after="160" w:before="80"/>
      </w:pPr>
      <w:r>
        <w:rPr>
          <w:rFonts w:ascii="Arial" w:cs="Arial" w:eastAsia="Arial" w:hAnsi="Arial"/>
          <w:sz w:val="22"/>
          <w:szCs w:val="22"/>
        </w:rPr>
        <w:t xml:space="preserve">Trust adds precision to the defense of this principle. What looks like inconsistency, the agent who states one priority and acts on another, is frequently the rational behavioral output of an accurate internal trust model. The agent knows their stated priority is unstable in this context. Their pre-commitment behavior or their priority shift when the context is entered are both the correct outputs of an accurate self-model. The inconsistency between stated and observed behavior is not irrationality. It is the observable effect of a well-calibrated internal trust model operating as designed.</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7. System Dynamics</w:t>
      </w:r>
    </w:p>
    <w:p>
      <w:pPr>
        <w:pStyle w:val="Heading2"/>
        <w:spacing w:after="140" w:before="280"/>
      </w:pPr>
      <w:r>
        <w:rPr>
          <w:rFonts w:ascii="Arial" w:cs="Arial" w:eastAsia="Arial" w:hAnsi="Arial"/>
          <w:b/>
          <w:bCs/>
          <w:color w:val="2E5894"/>
          <w:sz w:val="26"/>
          <w:szCs w:val="26"/>
        </w:rPr>
        <w:t xml:space="preserve">7.1 Priority Reordering as the Primary Change Mechanism</w:t>
      </w:r>
    </w:p>
    <w:p>
      <w:pPr>
        <w:spacing w:after="160" w:before="80"/>
      </w:pPr>
      <w:r>
        <w:rPr>
          <w:rFonts w:ascii="Arial" w:cs="Arial" w:eastAsia="Arial" w:hAnsi="Arial"/>
          <w:sz w:val="22"/>
          <w:szCs w:val="22"/>
        </w:rPr>
        <w:t xml:space="preserve">Behavioral change occurs through three mechanisms on different timescales: Knowledge updating (fastest), Priority reordering (fast and context-triggered), and Preference change (slowest). Priority reordering is most important for understanding rapid behavioral change because it produces dramatic behavioral differences without any change in Knowledge or Preferences. The emotion mechanism provides the fast channel for priority reordering in response to environmental and relational triggers. Internal trust provides the meta-cognitive layer that allows agents to anticipate and manage their own priority reorderings before they occur.</w:t>
      </w:r>
    </w:p>
    <w:p>
      <w:pPr>
        <w:pStyle w:val="Heading2"/>
        <w:spacing w:after="140" w:before="280"/>
      </w:pPr>
      <w:r>
        <w:rPr>
          <w:rFonts w:ascii="Arial" w:cs="Arial" w:eastAsia="Arial" w:hAnsi="Arial"/>
          <w:b/>
          <w:bCs/>
          <w:color w:val="2E5894"/>
          <w:sz w:val="26"/>
          <w:szCs w:val="26"/>
        </w:rPr>
        <w:t xml:space="preserve">7.2 The Innovation Mechanism</w:t>
      </w:r>
    </w:p>
    <w:p>
      <w:pPr>
        <w:spacing w:after="160" w:before="80"/>
      </w:pPr>
      <w:r>
        <w:rPr>
          <w:rFonts w:ascii="Arial" w:cs="Arial" w:eastAsia="Arial" w:hAnsi="Arial"/>
          <w:sz w:val="22"/>
          <w:szCs w:val="22"/>
        </w:rPr>
        <w:t xml:space="preserve">Innovation requires three simultaneous conditions: Knowledge richness providing sufficient connection density for novel configurations to emerge, Preference freedom allowing the attention filter to weight connections according to its own structure rather than externally imposed frames, and Priority availability above survival providing cognitive bandwidth for non-instrumental associative processing. Internal trust adds a fourth condition: sufficient confidence in one's own judgment to pursue novel configurations without requiring external validation before acting. Agents with low internal trust wait for trusted external sources to confirm configurations before pursuing them, constraining innovation to directions already authorized by existing trusted sources and preventing the independent generation of genuinely novel configurations.</w:t>
      </w:r>
    </w:p>
    <w:p>
      <w:pPr>
        <w:pStyle w:val="Heading2"/>
        <w:spacing w:after="140" w:before="280"/>
      </w:pPr>
      <w:r>
        <w:rPr>
          <w:rFonts w:ascii="Arial" w:cs="Arial" w:eastAsia="Arial" w:hAnsi="Arial"/>
          <w:b/>
          <w:bCs/>
          <w:color w:val="2E5894"/>
          <w:sz w:val="26"/>
          <w:szCs w:val="26"/>
        </w:rPr>
        <w:t xml:space="preserve">7.3 The Extraction Circuit Connection</w:t>
      </w:r>
    </w:p>
    <w:p>
      <w:pPr>
        <w:spacing w:after="160" w:before="80"/>
      </w:pPr>
      <w:r>
        <w:rPr>
          <w:rFonts w:ascii="Arial" w:cs="Arial" w:eastAsia="Arial" w:hAnsi="Arial"/>
          <w:sz w:val="22"/>
          <w:szCs w:val="22"/>
        </w:rPr>
        <w:t xml:space="preserve">Extraction circuits engineer belief state conditions at every level of the architecture. Knowledge engineering shapes what information reaches the attention filter. External trust degradation floods the information environment to corrupt source discrimination, preventing the calibration that would allow agents to identify reliable information channels. Priority lock maintains survival-dominant priority conditions through engineered scarcity and stress. Preference suppression prevents certain preferences from developing, simultaneously reducing the alpha term for evidence relevant to those preferences.</w:t>
      </w:r>
    </w:p>
    <w:p>
      <w:pPr>
        <w:spacing w:after="160" w:before="80"/>
      </w:pPr>
      <w:r>
        <w:rPr>
          <w:rFonts w:ascii="Arial" w:cs="Arial" w:eastAsia="Arial" w:hAnsi="Arial"/>
          <w:sz w:val="22"/>
          <w:szCs w:val="22"/>
        </w:rPr>
        <w:t xml:space="preserve">Internal trust degradation is a distinct extraction mechanism that the previous formulation did not capture. By creating conditions where agents' self-predictions are frequently wrong, the circuit undermines self-knowledge and makes pre-commitment behaviors based on accurate self-modeling impossible. An agent who does not trust their own judgment becomes dependent on external trusted sources for behavioral guidance, which makes them more susceptible to the external trust manipulation mechanisms the circuit also employs. The two forms of trust degradation are mutually reinforcing: degrading external trust sources creates pressure toward reliance on internal trust, while degrading internal trust creates pressure toward reliance on external trust sources. Degrading both simultaneously leaves the agent with no reliable trust basis for behavioral guidance.</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8. Applications</w:t>
      </w:r>
    </w:p>
    <w:p>
      <w:pPr>
        <w:pStyle w:val="Heading2"/>
        <w:spacing w:after="140" w:before="280"/>
      </w:pPr>
      <w:r>
        <w:rPr>
          <w:rFonts w:ascii="Arial" w:cs="Arial" w:eastAsia="Arial" w:hAnsi="Arial"/>
          <w:b/>
          <w:bCs/>
          <w:color w:val="2E5894"/>
          <w:sz w:val="26"/>
          <w:szCs w:val="26"/>
        </w:rPr>
        <w:t xml:space="preserve">8.1 Addiction</w:t>
      </w:r>
    </w:p>
    <w:p>
      <w:pPr>
        <w:spacing w:after="160" w:before="80"/>
      </w:pPr>
      <w:r>
        <w:rPr>
          <w:rFonts w:ascii="Arial" w:cs="Arial" w:eastAsia="Arial" w:hAnsi="Arial"/>
          <w:sz w:val="22"/>
          <w:szCs w:val="22"/>
        </w:rPr>
        <w:t xml:space="preserve">The trust meta-layer adds precision to the addiction analysis. The drug dealer who never uses demonstrates both high external trust calibration (he has accurate knowledge of which sources to trust about enforcement risk) and high internal trust calibration (he accurately models that his own priority stack will remain stable with respect to product use). His pre-commitment behaviors, managing his customer base, maintaining environmental conditions that prevent product exposure in high-vulnerability contexts, reflect accurate internal trust modeling about the specific dimensions of his own priority stack vulnerability.</w:t>
      </w:r>
    </w:p>
    <w:p>
      <w:pPr>
        <w:spacing w:after="160" w:before="80"/>
      </w:pPr>
      <w:r>
        <w:rPr>
          <w:rFonts w:ascii="Arial" w:cs="Arial" w:eastAsia="Arial" w:hAnsi="Arial"/>
          <w:sz w:val="22"/>
          <w:szCs w:val="22"/>
        </w:rPr>
        <w:t xml:space="preserve">The individual whose relationship produced a priority reordering toward substance use had incomplete internal trust calibration specifically regarding emotional vulnerability. His internal trust model was well-calibrated for economic and enforcement risk dimensions but not for the relational vulnerability dimension. He did not predict accurately that relationship-generated emotional states would produce the priority reordering that occurred. The failure was not in his reasoning but in the completeness of his self-model. Effective recovery programs explicitly address this gap by building more complete internal trust models: helping individuals identify specifically which contexts and emotional states trigger their particular priority reorderings so that pre-commitment decisions can be made with accurate self-knowledge rather than with self-models that are accurate in some dimensions and inaccurate in others.</w:t>
      </w:r>
    </w:p>
    <w:p>
      <w:pPr>
        <w:pStyle w:val="Heading2"/>
        <w:spacing w:after="140" w:before="280"/>
      </w:pPr>
      <w:r>
        <w:rPr>
          <w:rFonts w:ascii="Arial" w:cs="Arial" w:eastAsia="Arial" w:hAnsi="Arial"/>
          <w:b/>
          <w:bCs/>
          <w:color w:val="2E5894"/>
          <w:sz w:val="26"/>
          <w:szCs w:val="26"/>
        </w:rPr>
        <w:t xml:space="preserve">8.2 Policy Design</w:t>
      </w:r>
    </w:p>
    <w:p>
      <w:pPr>
        <w:spacing w:after="160" w:before="80"/>
      </w:pPr>
      <w:r>
        <w:rPr>
          <w:rFonts w:ascii="Arial" w:cs="Arial" w:eastAsia="Arial" w:hAnsi="Arial"/>
          <w:sz w:val="22"/>
          <w:szCs w:val="22"/>
        </w:rPr>
        <w:t xml:space="preserve">Policy designed on the irrationality assumption fails because it delivers consequence information to Knowledge systems where those consequences are often already known and correctly subordinated by the Priority producing the target behavior. The trust meta-layer adds a further precision: even accurate consequence information delivered through a source that the target population distrusts will not update Knowledge regardless of its epistemic quality. It will instead update T_ext for that source, which may or may not shift in the direction the policy designer intends. Effective policy must address both what information is delivered and through which trust channels it is delivered, because the T_ext filter operates before content reaches the Knowledge component.</w:t>
      </w:r>
    </w:p>
    <w:p>
      <w:pPr>
        <w:pStyle w:val="Heading2"/>
        <w:spacing w:after="140" w:before="280"/>
      </w:pPr>
      <w:r>
        <w:rPr>
          <w:rFonts w:ascii="Arial" w:cs="Arial" w:eastAsia="Arial" w:hAnsi="Arial"/>
          <w:b/>
          <w:bCs/>
          <w:color w:val="2E5894"/>
          <w:sz w:val="26"/>
          <w:szCs w:val="26"/>
        </w:rPr>
        <w:t xml:space="preserve">8.3 Community Epistemology and Trust Networks</w:t>
      </w:r>
    </w:p>
    <w:p>
      <w:pPr>
        <w:spacing w:after="160" w:before="80"/>
      </w:pPr>
      <w:r>
        <w:rPr>
          <w:rFonts w:ascii="Arial" w:cs="Arial" w:eastAsia="Arial" w:hAnsi="Arial"/>
          <w:sz w:val="22"/>
          <w:szCs w:val="22"/>
        </w:rPr>
        <w:t xml:space="preserve">The social transmission of knowledge operates through trust networks within communities. The trust weights T_ext assigned to community knowledge sources reflect not just the accuracy of individual sources but the reliability of the transmission network as a whole. Communities that have navigated specific institutional environments for extended periods develop not just accurate operational knowledge about those environments but also well-calibrated external trust models: knowledge about which sources within the community have historically been accurate about which domains. This meta-knowledge about source reliability is itself a community asset that is degraded when the extraction circuit attacks the epistemic commons. Destroying trust in community knowledge sources is an attack on the T_ext network, which degrades K even when the content of community knowledge remains accurate, because low T_ext suppresses the alpha term that would allow accurate community knowledge to update the Knowledge component.</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9. Diagnostic Application</w:t>
      </w:r>
    </w:p>
    <w:p>
      <w:pPr>
        <w:pStyle w:val="Heading2"/>
        <w:spacing w:after="140" w:before="280"/>
      </w:pPr>
      <w:r>
        <w:rPr>
          <w:rFonts w:ascii="Arial" w:cs="Arial" w:eastAsia="Arial" w:hAnsi="Arial"/>
          <w:b/>
          <w:bCs/>
          <w:color w:val="2E5894"/>
          <w:sz w:val="26"/>
          <w:szCs w:val="26"/>
        </w:rPr>
        <w:t xml:space="preserve">9.1 The Diagnostic Sequence</w:t>
      </w:r>
    </w:p>
    <w:p>
      <w:pPr>
        <w:pStyle w:val="ListParagraph"/>
        <w:numPr>
          <w:ilvl w:val="0"/>
          <w:numId w:val="3"/>
        </w:numPr>
        <w:spacing w:after="40" w:before="40"/>
      </w:pPr>
      <w:r>
        <w:rPr>
          <w:rFonts w:ascii="Arial" w:cs="Arial" w:eastAsia="Arial" w:hAnsi="Arial"/>
          <w:sz w:val="22"/>
          <w:szCs w:val="22"/>
        </w:rPr>
        <w:t xml:space="preserve">Observe the behavioral pattern without evaluative language and without reference to stated intentions.</w:t>
      </w:r>
    </w:p>
    <w:p>
      <w:pPr>
        <w:pStyle w:val="ListParagraph"/>
        <w:numPr>
          <w:ilvl w:val="0"/>
          <w:numId w:val="3"/>
        </w:numPr>
        <w:spacing w:after="40" w:before="40"/>
      </w:pPr>
      <w:r>
        <w:rPr>
          <w:rFonts w:ascii="Arial" w:cs="Arial" w:eastAsia="Arial" w:hAnsi="Arial"/>
          <w:sz w:val="22"/>
          <w:szCs w:val="22"/>
        </w:rPr>
        <w:t xml:space="preserve">Infer the operative Knowledge configuration: what must the agent know and model for this behavior to be the correct rational output?</w:t>
      </w:r>
    </w:p>
    <w:p>
      <w:pPr>
        <w:pStyle w:val="ListParagraph"/>
        <w:numPr>
          <w:ilvl w:val="0"/>
          <w:numId w:val="3"/>
        </w:numPr>
        <w:spacing w:after="40" w:before="40"/>
      </w:pPr>
      <w:r>
        <w:rPr>
          <w:rFonts w:ascii="Arial" w:cs="Arial" w:eastAsia="Arial" w:hAnsi="Arial"/>
          <w:sz w:val="22"/>
          <w:szCs w:val="22"/>
        </w:rPr>
        <w:t xml:space="preserve">Infer the operative Preference configuration: what does the pattern reveal about what the agent is oriented toward and away from?</w:t>
      </w:r>
    </w:p>
    <w:p>
      <w:pPr>
        <w:pStyle w:val="ListParagraph"/>
        <w:numPr>
          <w:ilvl w:val="0"/>
          <w:numId w:val="3"/>
        </w:numPr>
        <w:spacing w:after="40" w:before="40"/>
      </w:pPr>
      <w:r>
        <w:rPr>
          <w:rFonts w:ascii="Arial" w:cs="Arial" w:eastAsia="Arial" w:hAnsi="Arial"/>
          <w:sz w:val="22"/>
          <w:szCs w:val="22"/>
        </w:rPr>
        <w:t xml:space="preserve">Infer the operative Priority ordering: when Preferences conflict, which consistently produces behavioral output?</w:t>
      </w:r>
    </w:p>
    <w:p>
      <w:pPr>
        <w:pStyle w:val="ListParagraph"/>
        <w:numPr>
          <w:ilvl w:val="0"/>
          <w:numId w:val="3"/>
        </w:numPr>
        <w:spacing w:after="40" w:before="40"/>
      </w:pPr>
      <w:r>
        <w:rPr>
          <w:rFonts w:ascii="Arial" w:cs="Arial" w:eastAsia="Arial" w:hAnsi="Arial"/>
          <w:sz w:val="22"/>
          <w:szCs w:val="22"/>
        </w:rPr>
        <w:t xml:space="preserve">Assess the external trust configuration: through which sources is the agent's Knowledge being shaped? Which sources have high T_ext weights and which are being filtered? Is the information environment producing trust degradation that prevents source discrimination?</w:t>
      </w:r>
    </w:p>
    <w:p>
      <w:pPr>
        <w:pStyle w:val="ListParagraph"/>
        <w:numPr>
          <w:ilvl w:val="0"/>
          <w:numId w:val="3"/>
        </w:numPr>
        <w:spacing w:after="40" w:before="40"/>
      </w:pPr>
      <w:r>
        <w:rPr>
          <w:rFonts w:ascii="Arial" w:cs="Arial" w:eastAsia="Arial" w:hAnsi="Arial"/>
          <w:sz w:val="22"/>
          <w:szCs w:val="22"/>
        </w:rPr>
        <w:t xml:space="preserve">Assess the internal trust configuration: does the agent have accurate self-knowledge about their own belief state stability? Is there evidence of well-calibrated pre-commitment behavior, or evidence of overconfidence or underconfidence about their own Priority stability in specific contexts?</w:t>
      </w:r>
    </w:p>
    <w:p>
      <w:pPr>
        <w:pStyle w:val="ListParagraph"/>
        <w:numPr>
          <w:ilvl w:val="0"/>
          <w:numId w:val="3"/>
        </w:numPr>
        <w:spacing w:after="40" w:before="40"/>
      </w:pPr>
      <w:r>
        <w:rPr>
          <w:rFonts w:ascii="Arial" w:cs="Arial" w:eastAsia="Arial" w:hAnsi="Arial"/>
          <w:sz w:val="22"/>
          <w:szCs w:val="22"/>
        </w:rPr>
        <w:t xml:space="preserve">Identify divergences between stated and operative belief states. Determine whether divergences reflect inaccurate self-reporting or accurate internal trust modeling of unstable stated priorities.</w:t>
      </w:r>
    </w:p>
    <w:p>
      <w:pPr>
        <w:pStyle w:val="ListParagraph"/>
        <w:numPr>
          <w:ilvl w:val="0"/>
          <w:numId w:val="3"/>
        </w:numPr>
        <w:spacing w:after="40" w:before="40"/>
      </w:pPr>
      <w:r>
        <w:rPr>
          <w:rFonts w:ascii="Arial" w:cs="Arial" w:eastAsia="Arial" w:hAnsi="Arial"/>
          <w:sz w:val="22"/>
          <w:szCs w:val="22"/>
        </w:rPr>
        <w:t xml:space="preserve">Identify which component is the most accessible lever for change and design the intervention to engage that lever specifically.</w:t>
      </w:r>
    </w:p>
    <w:p>
      <w:pPr>
        <w:pStyle w:val="Heading2"/>
        <w:spacing w:after="140" w:before="280"/>
      </w:pPr>
      <w:r>
        <w:rPr>
          <w:rFonts w:ascii="Arial" w:cs="Arial" w:eastAsia="Arial" w:hAnsi="Arial"/>
          <w:b/>
          <w:bCs/>
          <w:color w:val="2E5894"/>
          <w:sz w:val="26"/>
          <w:szCs w:val="26"/>
        </w:rPr>
        <w:t xml:space="preserve">9.2 Change Mechanism Reference</w:t>
      </w:r>
    </w:p>
    <w:p>
      <w:pPr>
        <w:spacing w:after="80" w:before="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900"/>
        <w:gridCol w:w="13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Target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Intervention 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Durability</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Low-confidence Knowledge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Knowledge update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information via high-T_ext sources</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High-confidence Knowledge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update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Sustained counter-evidence at volume through authoritative trusted sources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External trust network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T_ext recalibration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Validation feedback showing source accuracy or inaccuracy over time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Moderate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trust accuracy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T_int recalibration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experience comparing predicted to actual priority stability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Priority ordering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Priority reordering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Change emotional or contextual conditions driving priority structure</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Pre-commitment behavior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T_int application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accurate self-models of priority vulnerability by context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Surface Preference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Preference change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Sustained new experience in the relevant domain</w:t>
            </w:r>
          </w:p>
        </w:tc>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Moderate</w:t>
            </w:r>
          </w:p>
        </w:tc>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Moderate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Identity-level Preference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Preference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expansion events plus sustained new experience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slow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after="80" w:before="80"/>
      </w:pPr>
      <w:r>
        <w:t xml:space="preserve"/>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10. Integration With the Agency Calculus Framework</w:t>
      </w:r>
    </w:p>
    <w:p>
      <w:pPr>
        <w:spacing w:after="160" w:before="80"/>
      </w:pPr>
      <w:r>
        <w:rPr>
          <w:rFonts w:ascii="Arial" w:cs="Arial" w:eastAsia="Arial" w:hAnsi="Arial"/>
          <w:sz w:val="22"/>
          <w:szCs w:val="22"/>
        </w:rPr>
        <w:t xml:space="preserve">The KPP Architecture with trust meta-layer connects to the Agency Calculus formal system at every level with increased precision.</w:t>
      </w:r>
    </w:p>
    <w:p>
      <w:pPr>
        <w:spacing w:after="160" w:before="80"/>
      </w:pPr>
      <w:r>
        <w:rPr>
          <w:rFonts w:ascii="Arial" w:cs="Arial" w:eastAsia="Arial" w:hAnsi="Arial"/>
          <w:sz w:val="22"/>
          <w:szCs w:val="22"/>
        </w:rPr>
        <w:t xml:space="preserve">The JAM equation optimizes log(min(human_agency, institutional_agency, environmental_integrity, epistemic_health)). Human agency at the individual level is defined operationally as the degree to which the full KPP system including trust operates freely: Knowledge richness, well-calibrated T_ext enabling discrimination between reliable and unreliable sources, Preference freedom, Priority availability above survival, and accurate T_int enabling effective self-management. An agent with degraded external trust cannot distinguish reliable from unreliable information. An agent with degraded internal trust cannot make effective pre-commitment decisions. Both trust dimensions are components of the epistemic_health term in the JAM equation.</w:t>
      </w:r>
    </w:p>
    <w:p>
      <w:pPr>
        <w:spacing w:after="160" w:before="80"/>
      </w:pPr>
      <w:r>
        <w:rPr>
          <w:rFonts w:ascii="Arial" w:cs="Arial" w:eastAsia="Arial" w:hAnsi="Arial"/>
          <w:sz w:val="22"/>
          <w:szCs w:val="22"/>
        </w:rPr>
        <w:t xml:space="preserve">The EV (Epistemic Vulnerability) index formalized in the Agency Calculus diagnostic lens operates directly on the T_ext component. When the information environment floods with synthetic and unreliable content, the ValidationSignal mechanism that calibrates T_ext becomes saturated. The agent cannot distinguish accurate from inaccurate sources because every source is generating some accurate and some inaccurate content in proportions that overwhelm the discrimination capacity. This is the mechanism through which the Liar's Dividend operates at the individual belief state level: it does not corrupt specific content. It corrupts the trust calibration mechanism that determines what content gets incorporated.</w:t>
      </w:r>
    </w:p>
    <w:p>
      <w:pPr>
        <w:spacing w:after="160" w:before="80"/>
      </w:pPr>
      <w:r>
        <w:rPr>
          <w:rFonts w:ascii="Arial" w:cs="Arial" w:eastAsia="Arial" w:hAnsi="Arial"/>
          <w:sz w:val="22"/>
          <w:szCs w:val="22"/>
        </w:rPr>
        <w:t xml:space="preserve">The dA/dt system connects as before through E(t) enriching K, expanding P, and reducing survival Priority dominance. The trust dimension adds that E(t) also includes trust-building flows: institutional transparency, source validation mechanisms, and community epistemological health that maintain the calibration capacity of T_ext. X(t) includes trust-destroying flows: information flooding, source credibility attacks, and the internal trust degradation produced by creating conditions where agents' self-predictions are systematically wrong.</w:t>
      </w:r>
    </w:p>
    <w:p>
      <w:pPr>
        <w:spacing w:after="160" w:before="80"/>
      </w:pPr>
      <w:r>
        <w:rPr>
          <w:rFonts w:ascii="Arial" w:cs="Arial" w:eastAsia="Arial" w:hAnsi="Arial"/>
          <w:sz w:val="22"/>
          <w:szCs w:val="22"/>
        </w:rPr>
        <w:t xml:space="preserve">The G(t) generational extraction multiplier now includes a trust inheritance dimension. Offspring agents initialize with T_ext configurations shaped by the community trust networks they are born into: if those networks have been degraded by extraction, the initialization T_ext values are already miscalibrated. And T_int initializes through early experience of whether one's self-predictions about one's own behavior prove accurate, which is shaped by the stability or instability of the environment the extraction has produced. Both trust dimensions are degraded before the individual reaches the developmental stage where they could consciously recalibrate them.</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11. Conclusion</w:t>
      </w:r>
    </w:p>
    <w:p>
      <w:pPr>
        <w:spacing w:after="160" w:before="80"/>
      </w:pPr>
      <w:r>
        <w:rPr>
          <w:rFonts w:ascii="Arial" w:cs="Arial" w:eastAsia="Arial" w:hAnsi="Arial"/>
          <w:sz w:val="22"/>
          <w:szCs w:val="22"/>
        </w:rPr>
        <w:t xml:space="preserve">The Knowledge-Preference-Priority Architecture with Trust meta-layer provides a complete, formally precise, and universally applicable model of human decision-making derived from first principles within the Agency Calculus framework. The architecture eliminates irrationality as an explanatory category. Every behavior is the correct logical output of the operative belief state that produced it.</w:t>
      </w:r>
    </w:p>
    <w:p>
      <w:pPr>
        <w:spacing w:after="160" w:before="80"/>
      </w:pPr>
      <w:r>
        <w:rPr>
          <w:rFonts w:ascii="Arial" w:cs="Arial" w:eastAsia="Arial" w:hAnsi="Arial"/>
          <w:sz w:val="22"/>
          <w:szCs w:val="22"/>
        </w:rPr>
        <w:t xml:space="preserve">The trust meta-layer is the version 3 addition that closes the most significant gap in prior formulations. External trust as a dual-channel filter explains both source-weighted content incorporation and the continuous calibration of source reliability even from rejected information. Internal trust as self-knowledge of belief state stability explains pre-commitment behavior, the gap between stated and operative priorities, and the conditions under which agents can and cannot effectively manage their own future belief state dynamics. Both dimensions of trust are critical targets for extraction circuit analysis and for effective intervention design.</w:t>
      </w:r>
    </w:p>
    <w:p>
      <w:pPr>
        <w:spacing w:after="160" w:before="80"/>
      </w:pPr>
      <w:r>
        <w:rPr>
          <w:rFonts w:ascii="Arial" w:cs="Arial" w:eastAsia="Arial" w:hAnsi="Arial"/>
          <w:sz w:val="22"/>
          <w:szCs w:val="22"/>
        </w:rPr>
        <w:t xml:space="preserve">The complete formal system is now directly implementable in agent-based simulation environments. Each agent maintains B_t = (K_t, P_t, Pr_t, T_t). The full system dynamics with trust-augmented knowledge update, dual trust calibration equations, softmax priority modifier, emotion-driven priority reordering, and pre-commitment behavioral modifier provide a complete computational architecture for simulating how populations of agents with varying belief state configurations produce the macro-level agency dynamics the Agency Calculus system tracks at the JAM equation level.</w:t>
      </w:r>
    </w:p>
    <w:p>
      <w:pPr>
        <w:spacing w:after="160" w:before="80"/>
      </w:pPr>
      <w:r>
        <w:rPr>
          <w:rFonts w:ascii="Arial" w:cs="Arial" w:eastAsia="Arial" w:hAnsi="Arial"/>
          <w:sz w:val="22"/>
          <w:szCs w:val="22"/>
        </w:rPr>
        <w:t xml:space="preserve">The model's most important implication remains unchanged from its first formulation. The conditions that enable the KPP system to run freely, with rich knowledge, calibrated trust, free preferences, and priority bandwidth above survival, are the same conditions required for human dignity, effective democratic participation, and genuine innovation. Extraction operates by degrading these conditions at the belief state level. The defense of agency is the defense of the conditions under which the belief state architecture can form accurately, update accurately, trust accurately, and produce behavioral outputs that genuinely reflect the agent's own knowledge, preferences, and priorities rather than those engineered by the systems extracting from them.</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color w:val="1F3864"/>
          <w:sz w:val="32"/>
          <w:szCs w:val="32"/>
        </w:rPr>
        <w:t xml:space="preserve">References</w:t>
      </w:r>
    </w:p>
    <w:p>
      <w:pPr>
        <w:spacing w:after="160" w:before="80"/>
      </w:pPr>
      <w:r>
        <w:rPr>
          <w:rFonts w:ascii="Arial" w:cs="Arial" w:eastAsia="Arial" w:hAnsi="Arial"/>
          <w:sz w:val="22"/>
          <w:szCs w:val="22"/>
        </w:rPr>
        <w:t xml:space="preserve">Bratman, M. (1987). Intention, Plans, and Practical Reason. Harvard University Press. [Convergent independent development of intention component; cited as validation.]</w:t>
      </w:r>
    </w:p>
    <w:p>
      <w:pPr>
        <w:spacing w:after="160" w:before="80"/>
      </w:pPr>
      <w:r>
        <w:rPr>
          <w:rFonts w:ascii="Arial" w:cs="Arial" w:eastAsia="Arial" w:hAnsi="Arial"/>
          <w:sz w:val="22"/>
          <w:szCs w:val="22"/>
        </w:rPr>
        <w:t xml:space="preserve">Cassam, Q. (2023). Epistemic health, epistemic immunity and epistemic inoculation. PMC/NIH. [Convergent independent development of community epistemic health; cited as validation.]</w:t>
      </w:r>
    </w:p>
    <w:p>
      <w:pPr>
        <w:spacing w:after="160" w:before="80"/>
      </w:pPr>
      <w:r>
        <w:rPr>
          <w:rFonts w:ascii="Arial" w:cs="Arial" w:eastAsia="Arial" w:hAnsi="Arial"/>
          <w:sz w:val="22"/>
          <w:szCs w:val="22"/>
        </w:rPr>
        <w:t xml:space="preserve">Chesney, R., &amp; Citron, D.K. (2019). Deep fakes: A looming challenge for privacy, democracy, and national security. California Law Review, 107(6). [Primary source for the Liar's Dividend mechanism; connects to T_ext degradation analysis.]</w:t>
      </w:r>
    </w:p>
    <w:p>
      <w:pPr>
        <w:spacing w:after="160" w:before="80"/>
      </w:pPr>
      <w:r>
        <w:rPr>
          <w:rFonts w:ascii="Arial" w:cs="Arial" w:eastAsia="Arial" w:hAnsi="Arial"/>
          <w:sz w:val="22"/>
          <w:szCs w:val="22"/>
        </w:rPr>
        <w:t xml:space="preserve">Fricker, M. (2007). Epistemic Injustice: Power and the Ethics of Knowing. Oxford University Press. [Convergent independent analysis of knowledge-level agency extraction; cited as validation.]</w:t>
      </w:r>
    </w:p>
    <w:p>
      <w:pPr>
        <w:spacing w:after="160" w:before="80"/>
      </w:pPr>
      <w:r>
        <w:rPr>
          <w:rFonts w:ascii="Arial" w:cs="Arial" w:eastAsia="Arial" w:hAnsi="Arial"/>
          <w:sz w:val="22"/>
          <w:szCs w:val="22"/>
        </w:rPr>
        <w:t xml:space="preserve">Mullainathan, S., &amp; Shafir, E. (2013). Scarcity: Why Having Too Little Means So Much. Times Books. [Convergent independent validation of survival-priority dominance under scarcity; cited as validation.]</w:t>
      </w:r>
    </w:p>
    <w:p>
      <w:pPr>
        <w:spacing w:after="160" w:before="80"/>
      </w:pPr>
      <w:r>
        <w:rPr>
          <w:rFonts w:ascii="Arial" w:cs="Arial" w:eastAsia="Arial" w:hAnsi="Arial"/>
          <w:sz w:val="22"/>
          <w:szCs w:val="22"/>
        </w:rPr>
        <w:t xml:space="preserve">Robbins, C. (2024-2026). Agency Calculus: Agentic Foundations for a Stable Political Philosophy. Agency Calculus Working Paper Series.</w:t>
      </w:r>
    </w:p>
    <w:p>
      <w:pPr>
        <w:spacing w:after="160" w:before="80"/>
      </w:pPr>
      <w:r>
        <w:rPr>
          <w:rFonts w:ascii="Arial" w:cs="Arial" w:eastAsia="Arial" w:hAnsi="Arial"/>
          <w:sz w:val="22"/>
          <w:szCs w:val="22"/>
        </w:rPr>
        <w:t xml:space="preserve">Robbins, C. (2024-2026). Agency Calculus: Structural AI Alignment Through Floor Optimization. Agency Calculus Working Paper Series.</w:t>
      </w:r>
    </w:p>
    <w:p>
      <w:pPr>
        <w:spacing w:after="160" w:before="80"/>
      </w:pPr>
      <w:r>
        <w:rPr>
          <w:rFonts w:ascii="Arial" w:cs="Arial" w:eastAsia="Arial" w:hAnsi="Arial"/>
          <w:sz w:val="22"/>
          <w:szCs w:val="22"/>
        </w:rPr>
        <w:t xml:space="preserve">Robbins, C. (2024-2026). The Agency Calculus Paradigm: An Integrated Structural Lens for Systemic Diagnostics. Agency Calculus Working Paper Series.</w:t>
      </w:r>
    </w:p>
    <w:p>
      <w:pPr>
        <w:spacing w:after="160" w:before="80"/>
      </w:pPr>
      <w:r>
        <w:rPr>
          <w:rFonts w:ascii="Arial" w:cs="Arial" w:eastAsia="Arial" w:hAnsi="Arial"/>
          <w:sz w:val="22"/>
          <w:szCs w:val="22"/>
        </w:rPr>
        <w:t xml:space="preserve">Robbins, C. (2024-2026). The Agency Calculus Paradigm: An Exhaustive Empirical Audit of Ten Systemic Disruptions. Agency Calculus Working Paper Series.</w:t>
      </w:r>
    </w:p>
    <w:p>
      <w:pPr>
        <w:spacing w:after="160" w:before="80"/>
      </w:pPr>
      <w:r>
        <w:rPr>
          <w:rFonts w:ascii="Arial" w:cs="Arial" w:eastAsia="Arial" w:hAnsi="Arial"/>
          <w:sz w:val="22"/>
          <w:szCs w:val="22"/>
        </w:rPr>
        <w:t xml:space="preserve">Roozenbeek, J., et al. (2024). Epistemic vulnerability: Theory and measurement at the system level. Political Communication, 41(5). [Convergent independent operationalization of epistemic trust degradation at population level; cited as validation.]</w:t>
      </w:r>
    </w:p>
    <w:p>
      <w:pPr>
        <w:spacing w:after="160" w:before="80"/>
      </w:pPr>
      <w:r>
        <w:rPr>
          <w:rFonts w:ascii="Arial" w:cs="Arial" w:eastAsia="Arial" w:hAnsi="Arial"/>
          <w:sz w:val="22"/>
          <w:szCs w:val="22"/>
        </w:rPr>
        <w:t xml:space="preserve">Sutton, R., &amp; Barto, A. (2018). Reinforcement Learning: An Introduction. MIT Press. [Convergent independent development of value-function behavioral selection; cited as validation.]</w:t>
      </w:r>
    </w:p>
    <w:p>
      <w:pPr>
        <w:spacing w:after="160" w:before="80"/>
      </w:pPr>
      <w:r>
        <w:rPr>
          <w:rFonts w:ascii="Arial" w:cs="Arial" w:eastAsia="Arial" w:hAnsi="Arial"/>
          <w:sz w:val="22"/>
          <w:szCs w:val="22"/>
        </w:rPr>
        <w:t xml:space="preserve">Tainter, J. (1988). The Collapse of Complex Societies. Cambridge University Press.</w:t>
      </w:r>
    </w:p>
    <w:p>
      <w:pPr>
        <w:spacing w:after="160" w:before="80"/>
      </w:pPr>
      <w:r>
        <w:rPr>
          <w:rFonts w:ascii="Arial" w:cs="Arial" w:eastAsia="Arial" w:hAnsi="Arial"/>
          <w:sz w:val="22"/>
          <w:szCs w:val="22"/>
        </w:rPr>
        <w:t xml:space="preserve">Turchin, P. (2023). End Times: Elites, Counter-Elites, and the Path of Political Disintegration. Penguin Press.</w:t>
      </w:r>
    </w:p>
    <w:p>
      <w:pPr>
        <w:spacing w:after="160" w:before="80"/>
      </w:pPr>
      <w:r>
        <w:rPr>
          <w:rFonts w:ascii="Arial" w:cs="Arial" w:eastAsia="Arial" w:hAnsi="Arial"/>
          <w:sz w:val="22"/>
          <w:szCs w:val="22"/>
        </w:rPr>
        <w:t xml:space="preserve">Wooldridge, M., &amp; Jennings, N. (1995). Intelligent agents: Theory and practice. Knowledge Engineering Review, 10(2). [Convergent independent development of BDI architecture; cited as validation.]</w:t>
      </w:r>
    </w:p>
    <w:p>
      <w:pPr>
        <w:spacing w:after="80" w:before="80"/>
      </w:pPr>
      <w:r>
        <w:t xml:space="preserve"/>
      </w:r>
    </w:p>
    <w:p>
      <w:pPr>
        <w:pBdr>
          <w:bottom w:val="single" w:color="CCCCCC" w:sz="4" w:space="1"/>
        </w:pBdr>
        <w:spacing w:after="160" w:before="160"/>
      </w:pPr>
      <w:r>
        <w:t xml:space="preserve"/>
      </w:r>
    </w:p>
    <w:p>
      <w:pPr>
        <w:spacing w:after="80" w:before="80"/>
      </w:pPr>
      <w:r>
        <w:t xml:space="preserve"/>
      </w:r>
    </w:p>
    <w:p>
      <w:pPr>
        <w:spacing w:after="80" w:before="0"/>
        <w:jc w:val="center"/>
      </w:pPr>
      <w:r>
        <w:rPr>
          <w:rFonts w:ascii="Arial" w:cs="Arial" w:eastAsia="Arial" w:hAnsi="Arial"/>
          <w:b/>
          <w:bCs/>
          <w:color w:val="333333"/>
          <w:sz w:val="20"/>
          <w:szCs w:val="20"/>
        </w:rPr>
        <w:t xml:space="preserve">K.C.M. Robbins</w:t>
      </w:r>
    </w:p>
    <w:p>
      <w:pPr>
        <w:spacing w:after="80" w:before="0"/>
        <w:jc w:val="center"/>
      </w:pPr>
      <w:r>
        <w:rPr>
          <w:rFonts w:ascii="Arial" w:cs="Arial" w:eastAsia="Arial" w:hAnsi="Arial"/>
          <w:color w:val="666666"/>
          <w:sz w:val="20"/>
          <w:szCs w:val="20"/>
        </w:rPr>
        <w:t xml:space="preserve">Agency Calculus Research Program</w:t>
      </w:r>
    </w:p>
    <w:p>
      <w:pPr>
        <w:spacing w:after="0" w:before="0"/>
        <w:jc w:val="center"/>
      </w:pPr>
      <w:r>
        <w:rPr>
          <w:rFonts w:ascii="Arial" w:cs="Arial" w:eastAsia="Arial" w:hAnsi="Arial"/>
          <w:color w:val="666666"/>
          <w:sz w:val="20"/>
          <w:szCs w:val="20"/>
        </w:rPr>
        <w:t xml:space="preserve">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Agency Calculus Research Program  |  K.C.M. Robbins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89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8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2026-04-13T02:38:20.827Z</dcterms:created>
  <dcterms:modified xsi:type="dcterms:W3CDTF">2026-04-13T02:38:20.828Z</dcterms:modified>
</cp:coreProperties>
</file>

<file path=docProps/custom.xml><?xml version="1.0" encoding="utf-8"?>
<Properties xmlns="http://schemas.openxmlformats.org/officeDocument/2006/custom-properties" xmlns:vt="http://schemas.openxmlformats.org/officeDocument/2006/docPropsVTypes"/>
</file>