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0"/>
        <w:jc w:val="center"/>
      </w:pPr>
      <w:r>
        <w:rPr>
          <w:rFonts w:ascii="Arial" w:cs="Arial" w:eastAsia="Arial" w:hAnsi="Arial"/>
          <w:caps/>
          <w:color w:val="666666"/>
          <w:sz w:val="20"/>
          <w:szCs w:val="20"/>
        </w:rPr>
        <w:t xml:space="preserve">AGENCY CALCULUS RESEARCH PROGRAM</w:t>
      </w:r>
    </w:p>
    <w:p>
      <w:pPr>
        <w:pBdr>
          <w:bottom w:val="single" w:color="1F3864" w:sz="4" w:space="8"/>
        </w:pBdr>
        <w:spacing w:after="200" w:before="0"/>
        <w:jc w:val="center"/>
      </w:pPr>
      <w:r>
        <w:rPr>
          <w:rFonts w:ascii="Arial" w:cs="Arial" w:eastAsia="Arial" w:hAnsi="Arial"/>
          <w:i/>
          <w:iCs/>
          <w:color w:val="666666"/>
          <w:sz w:val="20"/>
          <w:szCs w:val="20"/>
        </w:rPr>
        <w:t xml:space="preserve">External Validation Report  |  Version 2</w:t>
      </w:r>
    </w:p>
    <w:p>
      <w:pPr>
        <w:spacing w:after="80" w:before="80"/>
      </w:pPr>
      <w:r>
        <w:t xml:space="preserve"/>
      </w:r>
    </w:p>
    <w:p>
      <w:pPr>
        <w:spacing w:after="120" w:before="0"/>
        <w:jc w:val="center"/>
      </w:pPr>
      <w:r>
        <w:rPr>
          <w:rFonts w:ascii="Arial" w:cs="Arial" w:eastAsia="Arial" w:hAnsi="Arial"/>
          <w:b/>
          <w:bCs/>
          <w:color w:val="1F3864"/>
          <w:sz w:val="44"/>
          <w:szCs w:val="44"/>
        </w:rPr>
        <w:t xml:space="preserve">The Knowledge-Preference-Priority Architecture</w:t>
      </w:r>
    </w:p>
    <w:p>
      <w:pPr>
        <w:spacing w:after="240" w:before="0"/>
        <w:jc w:val="center"/>
      </w:pPr>
      <w:r>
        <w:rPr>
          <w:rFonts w:ascii="Arial" w:cs="Arial" w:eastAsia="Arial" w:hAnsi="Arial"/>
          <w:i/>
          <w:iCs/>
          <w:color w:val="2E5894"/>
          <w:sz w:val="26"/>
          <w:szCs w:val="26"/>
        </w:rPr>
        <w:t xml:space="preserve">Empirical Validation, Theoretical Contradictions, and Computational Implementation</w:t>
      </w:r>
    </w:p>
    <w:p>
      <w:pPr>
        <w:spacing w:after="80" w:before="240"/>
        <w:jc w:val="center"/>
      </w:pPr>
      <w:r>
        <w:rPr>
          <w:rFonts w:ascii="Arial" w:cs="Arial" w:eastAsia="Arial" w:hAnsi="Arial"/>
          <w:b/>
          <w:bCs/>
          <w:color w:val="333333"/>
          <w:sz w:val="24"/>
          <w:szCs w:val="24"/>
        </w:rPr>
        <w:t xml:space="preserve">K.C.M. Robbins</w:t>
      </w:r>
    </w:p>
    <w:p>
      <w:pPr>
        <w:spacing w:after="400" w:before="0"/>
        <w:jc w:val="center"/>
      </w:pPr>
      <w:r>
        <w:rPr>
          <w:rFonts w:ascii="Arial" w:cs="Arial" w:eastAsia="Arial" w:hAnsi="Arial"/>
          <w:color w:val="666666"/>
          <w:sz w:val="22"/>
          <w:szCs w:val="22"/>
        </w:rPr>
        <w:t xml:space="preserve">Agency Calculus Research Program  |  2026</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EEF2F8" w:val="clear"/>
            <w:tcMar>
              <w:top w:type="dxa" w:w="200"/>
              <w:left w:type="dxa" w:w="280"/>
              <w:bottom w:type="dxa" w:w="200"/>
              <w:right w:type="dxa" w:w="280"/>
            </w:tcMar>
          </w:tcPr>
          <w:p>
            <w:pPr>
              <w:spacing w:after="120" w:before="0"/>
            </w:pPr>
            <w:r>
              <w:rPr>
                <w:rFonts w:ascii="Arial" w:cs="Arial" w:eastAsia="Arial" w:hAnsi="Arial"/>
                <w:b/>
                <w:bCs/>
                <w:caps/>
                <w:color w:val="1F3864"/>
                <w:sz w:val="20"/>
                <w:szCs w:val="20"/>
              </w:rPr>
              <w:t xml:space="preserve">ABSTRACT</w:t>
            </w:r>
          </w:p>
          <w:p>
            <w:pPr>
              <w:spacing w:after="0" w:before="0"/>
            </w:pPr>
            <w:r>
              <w:rPr>
                <w:rFonts w:ascii="Arial" w:cs="Arial" w:eastAsia="Arial" w:hAnsi="Arial"/>
                <w:color w:val="333333"/>
                <w:sz w:val="20"/>
                <w:szCs w:val="20"/>
              </w:rPr>
              <w:t xml:space="preserve">This report provides an exhaustive independent analysis of the Knowledge-Preference-Priority (KPP) Architecture, synthesizing empirical validations from cognitive science, organizational behavior, clinical diagnostics, and agentic artificial intelligence. Version 2 incorporates three theoretical extensions derived from post-publication review: a dynamic community trust floor preventing full T_ext collapse while community network cohesion persists; a cognitive bandwidth constraint formalizing dual-channel processing collapse under survival priority dominance; and a misspecified initialization detection mechanism surfacing the misspecified Bayesianism risk. All three extensions are fully implemented in the accompanying Version 4 Python agent. The report also addresses the D_info epistemic debt chart showing nonlinear acceleration post-2020 and its relationship to the KPP trust meta-layer degradation mechanics. The determinism critique is clarified: the Vohs and Schooler antisocial behavior finding validates rather than refutes the Rational Output Principle. The Liar's Dividend trust recovery gap is addressed with the community trust floor formalization. The misspecified Bayesianism problem is reframed as the framework's most important diagnostic claim about generational extraction rather than a gap in explanatory power.</w:t>
            </w:r>
          </w:p>
        </w:tc>
      </w:tr>
    </w:tbl>
    <w:p>
      <w:pPr>
        <w:spacing w:after="80" w:before="80"/>
      </w:pPr>
      <w:r>
        <w:t xml:space="preserve"/>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1. Introduction</w:t>
      </w:r>
    </w:p>
    <w:p>
      <w:pPr>
        <w:spacing w:after="160" w:before="80"/>
      </w:pPr>
      <w:r>
        <w:rPr>
          <w:rFonts w:ascii="Arial" w:cs="Arial" w:eastAsia="Arial" w:hAnsi="Arial"/>
          <w:sz w:val="22"/>
          <w:szCs w:val="22"/>
        </w:rPr>
        <w:t xml:space="preserve">The Knowledge-Preference-Priority (KPP) Architecture represents a structural departure from dominant behavioral modeling paradigms by positing that all human behavior is the deterministic, rational output of an agent's operative belief state. This report provides an exhaustive analysis of the KPP Architecture, synthesizing empirical validations, interrogating theoretical limitations, and documenting the corrected computational implementation.</w:t>
      </w:r>
    </w:p>
    <w:p>
      <w:pPr>
        <w:spacing w:after="160" w:before="80"/>
      </w:pPr>
      <w:r>
        <w:rPr>
          <w:rFonts w:ascii="Arial" w:cs="Arial" w:eastAsia="Arial" w:hAnsi="Arial"/>
          <w:sz w:val="22"/>
          <w:szCs w:val="22"/>
        </w:rPr>
        <w:t xml:space="preserve">Version 2 of this report incorporates three extensions derived from post-publication review, empirical observation of real-world epistemic debt accumulation, and the specific critique that the prior version correctly described trust collapse mechanics but provided no mathematical recovery trajectory. Each extension is formalized, implemented, and demonstrated in simulation.</w:t>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2. Mathematical and Structural Formalization</w:t>
      </w:r>
    </w:p>
    <w:p>
      <w:pPr>
        <w:spacing w:after="160" w:before="80"/>
      </w:pPr>
      <w:r>
        <w:rPr>
          <w:rFonts w:ascii="Arial" w:cs="Arial" w:eastAsia="Arial" w:hAnsi="Arial"/>
          <w:sz w:val="22"/>
          <w:szCs w:val="22"/>
        </w:rPr>
        <w:t xml:space="preserve">The complete belief state of an agent at time t is:</w:t>
      </w:r>
    </w:p>
    <w:p>
      <w:pPr>
        <w:shd w:fill="F0F4F8" w:val="clear"/>
        <w:spacing w:after="40" w:before="40"/>
        <w:ind w:left="560" w:right="560"/>
      </w:pPr>
      <w:r>
        <w:rPr>
          <w:rFonts w:ascii="Courier New" w:cs="Courier New" w:eastAsia="Courier New" w:hAnsi="Courier New"/>
          <w:color w:val="1F3864"/>
          <w:sz w:val="19"/>
          <w:szCs w:val="19"/>
        </w:rPr>
        <w:t xml:space="preserve">B_t = (K_t, P_t, Pr_t, T_t)   where T_t = (T_ext_t, T_int_t)</w:t>
      </w:r>
    </w:p>
    <w:p>
      <w:pPr>
        <w:spacing w:after="160" w:before="80"/>
      </w:pPr>
      <w:r>
        <w:rPr>
          <w:rFonts w:ascii="Arial" w:cs="Arial" w:eastAsia="Arial" w:hAnsi="Arial"/>
          <w:sz w:val="22"/>
          <w:szCs w:val="22"/>
        </w:rPr>
        <w:t xml:space="preserve">The chosen action maximizes the agent's internal evaluation given their full belief state including trust modifiers and the pre-commitment term:</w:t>
      </w:r>
    </w:p>
    <w:p>
      <w:pPr>
        <w:shd w:fill="F0F4F8" w:val="clear"/>
        <w:spacing w:after="40" w:before="40"/>
        <w:ind w:left="560" w:right="560"/>
      </w:pPr>
      <w:r>
        <w:rPr>
          <w:rFonts w:ascii="Courier New" w:cs="Courier New" w:eastAsia="Courier New" w:hAnsi="Courier New"/>
          <w:color w:val="1F3864"/>
          <w:sz w:val="19"/>
          <w:szCs w:val="19"/>
        </w:rPr>
        <w:t xml:space="preserve">a_t = argmax_{a in A} [sum_i (p_i' * EV_i(a | K_t)) + lambda * T_int(context) * StabilityValue]</w:t>
      </w:r>
    </w:p>
    <w:p>
      <w:pPr>
        <w:pStyle w:val="Heading2"/>
        <w:spacing w:after="140" w:before="280"/>
      </w:pPr>
      <w:r>
        <w:rPr>
          <w:rFonts w:ascii="Arial" w:cs="Arial" w:eastAsia="Arial" w:hAnsi="Arial"/>
          <w:b/>
          <w:bCs/>
          <w:color w:val="2E5894"/>
          <w:sz w:val="26"/>
          <w:szCs w:val="26"/>
        </w:rPr>
        <w:t xml:space="preserve">2.1 The Dual-Channel Update with Community Floor</w:t>
      </w:r>
    </w:p>
    <w:p>
      <w:pPr>
        <w:spacing w:after="160" w:before="80"/>
      </w:pPr>
      <w:r>
        <w:rPr>
          <w:rFonts w:ascii="Arial" w:cs="Arial" w:eastAsia="Arial" w:hAnsi="Arial"/>
          <w:sz w:val="22"/>
          <w:szCs w:val="22"/>
        </w:rPr>
        <w:t xml:space="preserve">The trust-weighted, bandwidth-constrained knowledge update is:</w:t>
      </w:r>
    </w:p>
    <w:p>
      <w:pPr>
        <w:shd w:fill="F0F4F8" w:val="clear"/>
        <w:spacing w:after="40" w:before="40"/>
        <w:ind w:left="560" w:right="560"/>
      </w:pPr>
      <w:r>
        <w:rPr>
          <w:rFonts w:ascii="Courier New" w:cs="Courier New" w:eastAsia="Courier New" w:hAnsi="Courier New"/>
          <w:color w:val="1F3864"/>
          <w:sz w:val="19"/>
          <w:szCs w:val="19"/>
        </w:rPr>
        <w:t xml:space="preserve">K_{t+1} = K_t + T_ext(source) * alpha_eff(P, Pr) * (evidence - K_t) * (1 - w_k)</w:t>
      </w:r>
    </w:p>
    <w:p>
      <w:pPr>
        <w:spacing w:after="160" w:before="80"/>
      </w:pPr>
      <w:r>
        <w:rPr>
          <w:rFonts w:ascii="Arial" w:cs="Arial" w:eastAsia="Arial" w:hAnsi="Arial"/>
          <w:sz w:val="22"/>
          <w:szCs w:val="22"/>
        </w:rPr>
        <w:t xml:space="preserve">where alpha_eff includes the cognitive bandwidth multiplier (Section 2.3). The external trust recalibration fires independently of whether content was accepted:</w:t>
      </w:r>
    </w:p>
    <w:p>
      <w:pPr>
        <w:shd w:fill="F0F4F8" w:val="clear"/>
        <w:spacing w:after="40" w:before="40"/>
        <w:ind w:left="560" w:right="560"/>
      </w:pPr>
      <w:r>
        <w:rPr>
          <w:rFonts w:ascii="Courier New" w:cs="Courier New" w:eastAsia="Courier New" w:hAnsi="Courier New"/>
          <w:color w:val="1F3864"/>
          <w:sz w:val="19"/>
          <w:szCs w:val="19"/>
        </w:rPr>
        <w:t xml:space="preserve">T_ext_{t+1}(source) = max(T_floor, T_ext_t(source) + beta * ValidationSignal)</w:t>
      </w:r>
    </w:p>
    <w:p>
      <w:pPr>
        <w:spacing w:after="160" w:before="80"/>
      </w:pPr>
      <w:r>
        <w:rPr>
          <w:rFonts w:ascii="Arial" w:cs="Arial" w:eastAsia="Arial" w:hAnsi="Arial"/>
          <w:sz w:val="22"/>
          <w:szCs w:val="22"/>
        </w:rPr>
        <w:t xml:space="preserve">The community trust floor T_floor is dynamic, not static. A static floor was identified in post-publication review as too optimistic: if the community network itself fragments, the floor must degrade with it. The dynamic formulation is:</w:t>
      </w:r>
    </w:p>
    <w:p>
      <w:pPr>
        <w:shd w:fill="F0F4F8" w:val="clear"/>
        <w:spacing w:after="40" w:before="40"/>
        <w:ind w:left="560" w:right="560"/>
      </w:pPr>
      <w:r>
        <w:rPr>
          <w:rFonts w:ascii="Courier New" w:cs="Courier New" w:eastAsia="Courier New" w:hAnsi="Courier New"/>
          <w:color w:val="1F3864"/>
          <w:sz w:val="19"/>
          <w:szCs w:val="19"/>
        </w:rPr>
        <w:t xml:space="preserve">T_floor = community_trust_mean * community_network_density</w:t>
      </w:r>
    </w:p>
    <w:p>
      <w:pPr>
        <w:spacing w:after="160" w:before="80"/>
      </w:pPr>
      <w:r>
        <w:rPr>
          <w:rFonts w:ascii="Arial" w:cs="Arial" w:eastAsia="Arial" w:hAnsi="Arial"/>
          <w:sz w:val="22"/>
          <w:szCs w:val="22"/>
        </w:rPr>
        <w:t xml:space="preserve">Both terms are bounded [0, 1]. Community network density decays under sustained epistemic stress and recovers slowly during clean information periods. When network density approaches zero, the floor approaches zero, modeling the condition where community epistemology has itself been destroyed and can no longer serve as a trust recovery mechanism. This directly addresses the Liar's Dividend gap: the floor prevents full T_ext collapse while community cohesion persists, but it does not provide an unconditional guarantee of recovery.</w:t>
      </w:r>
    </w:p>
    <w:p>
      <w:pPr>
        <w:pStyle w:val="Heading2"/>
        <w:spacing w:after="140" w:before="280"/>
      </w:pPr>
      <w:r>
        <w:rPr>
          <w:rFonts w:ascii="Arial" w:cs="Arial" w:eastAsia="Arial" w:hAnsi="Arial"/>
          <w:b/>
          <w:bCs/>
          <w:color w:val="2E5894"/>
          <w:sz w:val="26"/>
          <w:szCs w:val="26"/>
        </w:rPr>
        <w:t xml:space="preserve">2.2 The Priority Softmax Modifier</w:t>
      </w:r>
    </w:p>
    <w:p>
      <w:pPr>
        <w:shd w:fill="F0F4F8" w:val="clear"/>
        <w:spacing w:after="40" w:before="40"/>
        <w:ind w:left="560" w:right="560"/>
      </w:pPr>
      <w:r>
        <w:rPr>
          <w:rFonts w:ascii="Courier New" w:cs="Courier New" w:eastAsia="Courier New" w:hAnsi="Courier New"/>
          <w:color w:val="1F3864"/>
          <w:sz w:val="19"/>
          <w:szCs w:val="19"/>
        </w:rPr>
        <w:t xml:space="preserve">p_i' = p_i * exp(beta * (max_rank - rank_i))</w:t>
      </w:r>
    </w:p>
    <w:p>
      <w:pPr>
        <w:spacing w:after="160" w:before="80"/>
      </w:pPr>
      <w:r>
        <w:rPr>
          <w:rFonts w:ascii="Arial" w:cs="Arial" w:eastAsia="Arial" w:hAnsi="Arial"/>
          <w:sz w:val="22"/>
          <w:szCs w:val="22"/>
        </w:rPr>
        <w:t xml:space="preserve">Higher ranked preferences receive exponentially greater influence. Lower ranked preferences do not disappear: they continue to exist and influence behavior at the margin, outweighed but not eliminated. Priorities are derived from continuous Pr_scores, which emotion perturbs directly, with ranks re-derived from the updated scores.</w:t>
      </w:r>
    </w:p>
    <w:p>
      <w:pPr>
        <w:pStyle w:val="Heading2"/>
        <w:spacing w:after="140" w:before="280"/>
      </w:pPr>
      <w:r>
        <w:rPr>
          <w:rFonts w:ascii="Arial" w:cs="Arial" w:eastAsia="Arial" w:hAnsi="Arial"/>
          <w:b/>
          <w:bCs/>
          <w:color w:val="2E5894"/>
          <w:sz w:val="26"/>
          <w:szCs w:val="26"/>
        </w:rPr>
        <w:t xml:space="preserve">2.3 Cognitive Bandwidth Constraint</w:t>
      </w:r>
    </w:p>
    <w:p>
      <w:pPr>
        <w:spacing w:after="160" w:before="80"/>
      </w:pPr>
      <w:r>
        <w:rPr>
          <w:rFonts w:ascii="Arial" w:cs="Arial" w:eastAsia="Arial" w:hAnsi="Arial"/>
          <w:sz w:val="22"/>
          <w:szCs w:val="22"/>
        </w:rPr>
        <w:t xml:space="preserve">The prior formulation treated alpha as the product of base learning rate and attention weighting. Version 2 adds a cognitive bandwidth multiplier derived from survival priority pressure:</w:t>
      </w:r>
    </w:p>
    <w:p>
      <w:pPr>
        <w:shd w:fill="F0F4F8" w:val="clear"/>
        <w:spacing w:after="40" w:before="40"/>
        <w:ind w:left="560" w:right="560"/>
      </w:pPr>
      <w:r>
        <w:rPr>
          <w:rFonts w:ascii="Courier New" w:cs="Courier New" w:eastAsia="Courier New" w:hAnsi="Courier New"/>
          <w:color w:val="1F3864"/>
          <w:sz w:val="19"/>
          <w:szCs w:val="19"/>
        </w:rPr>
        <w:t xml:space="preserve">alpha_eff(P, Pr) = base_alpha * (p' @ evidence_relevance) * CognitiveBandwidth(Pr_scores)</w:t>
      </w:r>
    </w:p>
    <w:p>
      <w:pPr>
        <w:shd w:fill="F0F4F8" w:val="clear"/>
        <w:spacing w:after="40" w:before="40"/>
        <w:ind w:left="560" w:right="560"/>
      </w:pPr>
      <w:r>
        <w:rPr>
          <w:rFonts w:ascii="Courier New" w:cs="Courier New" w:eastAsia="Courier New" w:hAnsi="Courier New"/>
          <w:color w:val="1F3864"/>
          <w:sz w:val="19"/>
          <w:szCs w:val="19"/>
        </w:rPr>
        <w:t xml:space="preserve">CognitiveBandwidth = 1 / (1 + exp(k * (survival_pressure - 0.5)))</w:t>
      </w:r>
    </w:p>
    <w:p>
      <w:pPr>
        <w:shd w:fill="F0F4F8" w:val="clear"/>
        <w:spacing w:after="40" w:before="40"/>
        <w:ind w:left="560" w:right="560"/>
      </w:pPr>
      <w:r>
        <w:rPr>
          <w:rFonts w:ascii="Courier New" w:cs="Courier New" w:eastAsia="Courier New" w:hAnsi="Courier New"/>
          <w:color w:val="1F3864"/>
          <w:sz w:val="19"/>
          <w:szCs w:val="19"/>
        </w:rPr>
        <w:t xml:space="preserve">survival_pressure = 1 - (survival_rank / max_rank)</w:t>
      </w:r>
    </w:p>
    <w:p>
      <w:pPr>
        <w:spacing w:after="160" w:before="80"/>
      </w:pPr>
      <w:r>
        <w:rPr>
          <w:rFonts w:ascii="Arial" w:cs="Arial" w:eastAsia="Arial" w:hAnsi="Arial"/>
          <w:sz w:val="22"/>
          <w:szCs w:val="22"/>
        </w:rPr>
        <w:t xml:space="preserve">When survival is top-ranked (survival_pressure = 1.0), bandwidth approaches 1/(1+exp(k*0.5)) which is approximately 0.02 at k=8, collapsing dual-channel processing to near-zero. When survival is bottom-ranked (pressure = 0.0), bandwidth approaches 0.98, allowing full dual-channel operation. The sigmoid inflection at pressure = 0.5 implements the threshold effect: mild stress does not collapse processing, but acute survival dominance does. This is not a separate mechanism from the existing priority lock concept. It is the formalized, computable implementation of that concept as a multiplier on alpha.</w:t>
      </w:r>
    </w:p>
    <w:p>
      <w:pPr>
        <w:spacing w:after="160" w:before="80"/>
      </w:pPr>
      <w:r>
        <w:rPr>
          <w:rFonts w:ascii="Arial" w:cs="Arial" w:eastAsia="Arial" w:hAnsi="Arial"/>
          <w:sz w:val="22"/>
          <w:szCs w:val="22"/>
        </w:rPr>
        <w:t xml:space="preserve">The simulation demonstrates this precisely: after a fear signal elevates survival to rank 0, bandwidth drops from 0.310 to 0.018. Over 40 subsequent steps with high-quality clean evidence, knowledge delta is only -0.0024, confirming that high-quality evidence is rejected not due to low trust but due to bandwidth exhaustion.</w:t>
      </w:r>
    </w:p>
    <w:p>
      <w:pPr>
        <w:pStyle w:val="Heading2"/>
        <w:spacing w:after="140" w:before="280"/>
      </w:pPr>
      <w:r>
        <w:rPr>
          <w:rFonts w:ascii="Arial" w:cs="Arial" w:eastAsia="Arial" w:hAnsi="Arial"/>
          <w:b/>
          <w:bCs/>
          <w:color w:val="2E5894"/>
          <w:sz w:val="26"/>
          <w:szCs w:val="26"/>
        </w:rPr>
        <w:t xml:space="preserve">2.4 Emotion as Priority Modifier with Bandwidth Feedback</w:t>
      </w:r>
    </w:p>
    <w:p>
      <w:pPr>
        <w:shd w:fill="F0F4F8" w:val="clear"/>
        <w:spacing w:after="40" w:before="40"/>
        <w:ind w:left="560" w:right="560"/>
      </w:pPr>
      <w:r>
        <w:rPr>
          <w:rFonts w:ascii="Courier New" w:cs="Courier New" w:eastAsia="Courier New" w:hAnsi="Courier New"/>
          <w:color w:val="1F3864"/>
          <w:sz w:val="19"/>
          <w:szCs w:val="19"/>
        </w:rPr>
        <w:t xml:space="preserve">Pr_{t+1} = Pr_t + gamma * E_t</w:t>
      </w:r>
    </w:p>
    <w:p>
      <w:pPr>
        <w:spacing w:after="160" w:before="80"/>
      </w:pPr>
      <w:r>
        <w:rPr>
          <w:rFonts w:ascii="Arial" w:cs="Arial" w:eastAsia="Arial" w:hAnsi="Arial"/>
          <w:sz w:val="22"/>
          <w:szCs w:val="22"/>
        </w:rPr>
        <w:t xml:space="preserve">Emotion perturbs Pr_scores directly then re-derives ranks. The critical feedback loop: a fear signal that elevates survival to rank 0 simultaneously collapses cognitive_bandwidth on the next update cycle. The emotion mechanism and the bandwidth constraint are not independent. Emotional priority reordering triggers the bandwidth consequence automatically through the shared Pr_ranks state. This models the well-documented effect of acute stress on deliberative cognition without requiring a separate stress variable.</w:t>
      </w:r>
    </w:p>
    <w:p>
      <w:pPr>
        <w:pStyle w:val="Heading2"/>
        <w:spacing w:after="140" w:before="280"/>
      </w:pPr>
      <w:r>
        <w:rPr>
          <w:rFonts w:ascii="Arial" w:cs="Arial" w:eastAsia="Arial" w:hAnsi="Arial"/>
          <w:b/>
          <w:bCs/>
          <w:color w:val="2E5894"/>
          <w:sz w:val="26"/>
          <w:szCs w:val="26"/>
        </w:rPr>
        <w:t xml:space="preserve">2.5 Internal Trust and Misspecification Detection</w:t>
      </w:r>
    </w:p>
    <w:p>
      <w:pPr>
        <w:shd w:fill="F0F4F8" w:val="clear"/>
        <w:spacing w:after="40" w:before="40"/>
        <w:ind w:left="560" w:right="560"/>
      </w:pPr>
      <w:r>
        <w:rPr>
          <w:rFonts w:ascii="Courier New" w:cs="Courier New" w:eastAsia="Courier New" w:hAnsi="Courier New"/>
          <w:color w:val="1F3864"/>
          <w:sz w:val="19"/>
          <w:szCs w:val="19"/>
        </w:rPr>
        <w:t xml:space="preserve">T_int_{t+1}(context) = T_int_t(context) + eta * (PredictedShift - ActualShift)</w:t>
      </w:r>
    </w:p>
    <w:p>
      <w:pPr>
        <w:spacing w:after="160" w:before="80"/>
      </w:pPr>
      <w:r>
        <w:rPr>
          <w:rFonts w:ascii="Arial" w:cs="Arial" w:eastAsia="Arial" w:hAnsi="Arial"/>
          <w:sz w:val="22"/>
          <w:szCs w:val="22"/>
        </w:rPr>
        <w:t xml:space="preserve">Calibration errors are tracked per context in a rolling 20-observation window. The aggregate miscalibration_risk score is:</w:t>
      </w:r>
    </w:p>
    <w:p>
      <w:pPr>
        <w:shd w:fill="F0F4F8" w:val="clear"/>
        <w:spacing w:after="40" w:before="40"/>
        <w:ind w:left="560" w:right="560"/>
      </w:pPr>
      <w:r>
        <w:rPr>
          <w:rFonts w:ascii="Courier New" w:cs="Courier New" w:eastAsia="Courier New" w:hAnsi="Courier New"/>
          <w:color w:val="1F3864"/>
          <w:sz w:val="19"/>
          <w:szCs w:val="19"/>
        </w:rPr>
        <w:t xml:space="preserve">miscalibration_risk = mean(|PredictedShift - ActualShift|) across all contexts</w:t>
      </w:r>
    </w:p>
    <w:p>
      <w:pPr>
        <w:spacing w:after="160" w:before="80"/>
      </w:pPr>
      <w:r>
        <w:rPr>
          <w:rFonts w:ascii="Arial" w:cs="Arial" w:eastAsia="Arial" w:hAnsi="Arial"/>
          <w:sz w:val="22"/>
          <w:szCs w:val="22"/>
        </w:rPr>
        <w:t xml:space="preserve">A score above 0.4 raises the misspecification_flag in the belief state summary. This surfaces agents whose T_int is systematically wrong across contexts, indicating potential misspecified Bayesianism: the agent has an internally coherent self-model that is disconnected from actual behavioral dynamics. This flag is the diagnostic entry point for identifying agents caught in a closed belief loop engineered by generational extraction.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 3 Equation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 4 Extension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Behavioral Effect</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Knowledge update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 + T_ext * alpha * Evidence * (1-w_k)</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alpha multiplied by CognitiveBandwidth term</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Survival-dominant priorities collapse knowledge updating regardless of evidence quality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trust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T_ext + beta * ValidationSignal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max(T_floor, T_ext + beta * ValidationSignal)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floor prevents full collapse while network density persists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Community floor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formalized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community_trust_mean * network_density</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Dynamic floor degrades as community network fragments under sustained epistemic stress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trust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T_int + eta * PredError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 rolling calibration error tracking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Miscalibration risk score flags misspecified Bayesianism across contexts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Emotion reorder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Perturbs Pr_scores -&gt; re-derives ranks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Same + implicit bandwidth feedback</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Fear signal causes simultaneous priority reorder and bandwidth collapse on next cycle</w:t>
            </w:r>
          </w:p>
        </w:tc>
      </w:tr>
    </w:tbl>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3. Convergent Validation and Empirical Case Studies</w:t>
      </w:r>
    </w:p>
    <w:p>
      <w:pPr>
        <w:spacing w:after="160" w:before="80"/>
      </w:pPr>
      <w:r>
        <w:rPr>
          <w:rFonts w:ascii="Arial" w:cs="Arial" w:eastAsia="Arial" w:hAnsi="Arial"/>
          <w:sz w:val="22"/>
          <w:szCs w:val="22"/>
        </w:rPr>
        <w:t xml:space="preserve">The KPP Architecture was derived from first principles within the Agency Calculus research program. Structural similarities to BDI agent models, reinforcement learning value functions, Bayesian belief networks, and social epistemology are treated as convergent independent validation: evidence that the architecture tracks something real rather than something inherited from a shared intellectual lineage.</w:t>
      </w:r>
    </w:p>
    <w:p>
      <w:pPr>
        <w:pStyle w:val="Heading2"/>
        <w:spacing w:after="140" w:before="280"/>
      </w:pPr>
      <w:r>
        <w:rPr>
          <w:rFonts w:ascii="Arial" w:cs="Arial" w:eastAsia="Arial" w:hAnsi="Arial"/>
          <w:b/>
          <w:bCs/>
          <w:color w:val="2E5894"/>
          <w:sz w:val="26"/>
          <w:szCs w:val="26"/>
        </w:rPr>
        <w:t xml:space="preserve">3.1 External Trust in Agentic AI Orchestration</w:t>
      </w:r>
    </w:p>
    <w:p>
      <w:pPr>
        <w:spacing w:after="160" w:before="80"/>
      </w:pPr>
      <w:r>
        <w:rPr>
          <w:rFonts w:ascii="Arial" w:cs="Arial" w:eastAsia="Arial" w:hAnsi="Arial"/>
          <w:sz w:val="22"/>
          <w:szCs w:val="22"/>
        </w:rPr>
        <w:t xml:space="preserve">Advanced AI orchestration systems utilizing trust-aware orchestration directly validate the KPP external trust filter. When the external trust metric for a specific sub-agent drops below a defined threshold, the attention multiplier suppresses immediate knowledge incorporation and forces the system to seek alternative evidence validation through retrieval-augmented generation loops. Confusion matrix results demonstrate that integrating an independent trust-assessment layer significantly enhances decision outcomes in high-stakes, ambiguous environments where single-source dependency fails.</w:t>
      </w:r>
    </w:p>
    <w:p>
      <w:pPr>
        <w:spacing w:after="160" w:before="80"/>
      </w:pPr>
      <w:r>
        <w:rPr>
          <w:rFonts w:ascii="Arial" w:cs="Arial" w:eastAsia="Arial" w:hAnsi="Arial"/>
          <w:sz w:val="22"/>
          <w:szCs w:val="22"/>
        </w:rPr>
        <w:t xml:space="preserve">This architecture also validates the dual-channel property: the orchestrator continues to evaluate sub-agent reliability even when rejecting sub-agent outputs. The content rejection and the reliability update are computationally independent operations, exactly as the KPP formalization specifies.</w:t>
      </w:r>
    </w:p>
    <w:p>
      <w:pPr>
        <w:pStyle w:val="Heading2"/>
        <w:spacing w:after="140" w:before="280"/>
      </w:pPr>
      <w:r>
        <w:rPr>
          <w:rFonts w:ascii="Arial" w:cs="Arial" w:eastAsia="Arial" w:hAnsi="Arial"/>
          <w:b/>
          <w:bCs/>
          <w:color w:val="2E5894"/>
          <w:sz w:val="26"/>
          <w:szCs w:val="26"/>
        </w:rPr>
        <w:t xml:space="preserve">3.2 Source-Weighted Bayesian Belief Networks in Clinical Diagnostics</w:t>
      </w:r>
    </w:p>
    <w:p>
      <w:pPr>
        <w:spacing w:after="160" w:before="80"/>
      </w:pPr>
      <w:r>
        <w:rPr>
          <w:rFonts w:ascii="Arial" w:cs="Arial" w:eastAsia="Arial" w:hAnsi="Arial"/>
          <w:sz w:val="22"/>
          <w:szCs w:val="22"/>
        </w:rPr>
        <w:t xml:space="preserve">Weighted Bayesian Belief Networks in clinical diagnostics validate the confidence weighting mechanism at high precision. By making diagnostic weights explicitly visible, these systems transform from unpredictable stochastic black boxes into fully deterministic, interpretable belief networks. A Weighted Bayesian Belief Network achieved 95.8% predictive accuracy in diabetes diagnosis through this approach. The result validates the Rational Output Principle: apparent probabilism reflects observer uncertainty about the complete belief state rather than genuine indeterminacy in the output function.</w:t>
      </w:r>
    </w:p>
    <w:p>
      <w:pPr>
        <w:spacing w:after="160" w:before="80"/>
      </w:pPr>
      <w:r>
        <w:rPr>
          <w:rFonts w:ascii="Arial" w:cs="Arial" w:eastAsia="Arial" w:hAnsi="Arial"/>
          <w:sz w:val="22"/>
          <w:szCs w:val="22"/>
        </w:rPr>
        <w:t xml:space="preserve">Findings in misspecified Bayesianism are also directly relevant: agents who update beliefs using Bayes' rule but rely on a subjective model of signal reliability can achieve perfect internal rationality while systematically mispredicting outcomes. This is the mathematical foundation for why corrupted T_ext initialization produces an echo chamber that cannot be broken by additional evidence alone.</w:t>
      </w:r>
    </w:p>
    <w:p>
      <w:pPr>
        <w:pStyle w:val="Heading2"/>
        <w:spacing w:after="140" w:before="280"/>
      </w:pPr>
      <w:r>
        <w:rPr>
          <w:rFonts w:ascii="Arial" w:cs="Arial" w:eastAsia="Arial" w:hAnsi="Arial"/>
          <w:b/>
          <w:bCs/>
          <w:color w:val="2E5894"/>
          <w:sz w:val="26"/>
          <w:szCs w:val="26"/>
        </w:rPr>
        <w:t xml:space="preserve">3.3 Internal Trust and Pre-Commitment in Addiction Recovery</w:t>
      </w:r>
    </w:p>
    <w:p>
      <w:pPr>
        <w:spacing w:after="160" w:before="80"/>
      </w:pPr>
      <w:r>
        <w:rPr>
          <w:rFonts w:ascii="Arial" w:cs="Arial" w:eastAsia="Arial" w:hAnsi="Arial"/>
          <w:sz w:val="22"/>
          <w:szCs w:val="22"/>
        </w:rPr>
        <w:t xml:space="preserve">Empirical addiction recovery research validates the internal trust formalization precisely. The inclination to relapse is primarily predicted by self-efficacy and coping strategies, which map directly to T_int calibration accuracy. Family support during rehabilitation serves the specific function of building internal trust, allowing individuals to accurately map their own emotional vulnerabilities and recognize environmental triggers before entering high-risk contexts.</w:t>
      </w:r>
    </w:p>
    <w:p>
      <w:pPr>
        <w:spacing w:after="160" w:before="80"/>
      </w:pPr>
      <w:r>
        <w:rPr>
          <w:rFonts w:ascii="Arial" w:cs="Arial" w:eastAsia="Arial" w:hAnsi="Arial"/>
          <w:sz w:val="22"/>
          <w:szCs w:val="22"/>
        </w:rPr>
        <w:t xml:space="preserve">The Version 4 agent models this directly: the simulate_survival_stress function demonstrates that an agent with well-calibrated T_int for high-risk contexts (T_int low, pre-commitment penalty high) will select actions that avoid context exposure regardless of surface-level preference for entering. The pre-commitment modifier is the computational expression of what recovery programs call self-efficacy.</w:t>
      </w:r>
    </w:p>
    <w:p>
      <w:pPr>
        <w:pStyle w:val="Heading2"/>
        <w:spacing w:after="140" w:before="280"/>
      </w:pPr>
      <w:r>
        <w:rPr>
          <w:rFonts w:ascii="Arial" w:cs="Arial" w:eastAsia="Arial" w:hAnsi="Arial"/>
          <w:b/>
          <w:bCs/>
          <w:color w:val="2E5894"/>
          <w:sz w:val="26"/>
          <w:szCs w:val="26"/>
        </w:rPr>
        <w:t xml:space="preserve">3.4 Organizational Behavior and Innovation</w:t>
      </w:r>
    </w:p>
    <w:p>
      <w:pPr>
        <w:spacing w:after="160" w:before="80"/>
      </w:pPr>
      <w:r>
        <w:rPr>
          <w:rFonts w:ascii="Arial" w:cs="Arial" w:eastAsia="Arial" w:hAnsi="Arial"/>
          <w:sz w:val="22"/>
          <w:szCs w:val="22"/>
        </w:rPr>
        <w:t xml:space="preserve">A structural equation modeling study of 1,114 employees confirmed that innovative work behavior is strictly and serially mediated by internal trust: Leader-Member Exchange affects innovation only through the T_int pathway. In environments where internal trust is degraded by surveillance or bureaucratic hierarchy, agents are computationally forced to rely on external authorization before acting, constraining their attention filter to pre-authorized configurations and neutralizing independent novel configuration generation.</w:t>
      </w:r>
    </w:p>
    <w:p>
      <w:pPr>
        <w:spacing w:after="160" w:before="80"/>
      </w:pPr>
      <w:r>
        <w:rPr>
          <w:rFonts w:ascii="Arial" w:cs="Arial" w:eastAsia="Arial" w:hAnsi="Arial"/>
          <w:sz w:val="22"/>
          <w:szCs w:val="22"/>
        </w:rPr>
        <w:t xml:space="preserve">The cognitive bandwidth connection is directly relevant here: organizational environments that maintain survival-level pressure through job insecurity, threat of criticism, or punitive performance management keep survival priority elevated, collapsing the bandwidth available for the diffuse associative processing that generates genuinely novel configurations. The empirical finding that innovation requires psychological safety is the operational confirmation of the bandwidth threshold effect.</w:t>
      </w:r>
    </w:p>
    <w:p>
      <w:pPr>
        <w:spacing w:after="80" w:before="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Empirical Domain</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Component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Validating Mechanism</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V4 Connection</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Agentic AI Orchestration</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T_ext dual-channel</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Trust-aware orchestration suppresses low-trust sub-agent outputs while continuing reliability evaluation</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Validates channel independence: content rejection does not suppress trust calibration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Diagnostics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confidence w_k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95.8% accuracy via explicit confidence-weighted belief networks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Rational Output Principle: probabilism is observer uncertainty not output indeterminacy</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Addiction Recovery</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T_int pre-commitment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Self-efficacy and context-avoidance as rational self-modeling rather than willpower</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Pre-commitment penalty in select_action; T_int calibration via evaluate_internal_trust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Organizational Behavior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Bandwidth + T_int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Innovation serially mediated by internal trust; psychological safety as bandwidth condition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CognitiveBandwidth * alpha: survival pressure collapses innovation-generating processing</w:t>
            </w:r>
          </w:p>
        </w:tc>
      </w:tr>
    </w:tbl>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4. Theoretical Holes, Contradictions, and Resolutions</w:t>
      </w:r>
    </w:p>
    <w:p>
      <w:pPr>
        <w:pStyle w:val="Heading2"/>
        <w:spacing w:after="140" w:before="280"/>
      </w:pPr>
      <w:r>
        <w:rPr>
          <w:rFonts w:ascii="Arial" w:cs="Arial" w:eastAsia="Arial" w:hAnsi="Arial"/>
          <w:b/>
          <w:bCs/>
          <w:color w:val="2E5894"/>
          <w:sz w:val="26"/>
          <w:szCs w:val="26"/>
        </w:rPr>
        <w:t xml:space="preserve">4.1 The Determinism Critique: Corrected</w:t>
      </w:r>
    </w:p>
    <w:p>
      <w:pPr>
        <w:spacing w:after="160" w:before="80"/>
      </w:pPr>
      <w:r>
        <w:rPr>
          <w:rFonts w:ascii="Arial" w:cs="Arial" w:eastAsia="Arial" w:hAnsi="Arial"/>
          <w:sz w:val="22"/>
          <w:szCs w:val="22"/>
        </w:rPr>
        <w:t xml:space="preserve">The most frequently raised objection to the Rational Output Principle cites research by Vohs and Schooler demonstrating that communicating deterministic theories to subjects increases antisocial behavior, deceitfulness, and susceptibility to addiction. This finding was incorrectly framed in the prior literature as evidence against the framework. It is evidence for it.</w:t>
      </w:r>
    </w:p>
    <w:p>
      <w:pPr>
        <w:spacing w:after="160" w:before="80"/>
      </w:pPr>
      <w:r>
        <w:rPr>
          <w:rFonts w:ascii="Arial" w:cs="Arial" w:eastAsia="Arial" w:hAnsi="Arial"/>
          <w:sz w:val="22"/>
          <w:szCs w:val="22"/>
        </w:rPr>
        <w:t xml:space="preserve">An agent who has been told they are determined and therefore stops trying is an agent whose belief state has been updated with new knowledge about their own causal efficacy. That knowledge reorganizes their priority stack toward fatalism. The reduced achievement and increased antisocial behavior are the correct behavioral outputs of that updated belief state. The research demonstrates the causal power of belief state modification, not the falsity of determinism. The Rational Output Principle correctly predicts the outcome.</w:t>
      </w:r>
    </w:p>
    <w:p>
      <w:pPr>
        <w:pBdr>
          <w:left w:val="single" w:color="2E5894" w:sz="4" w:space="12"/>
        </w:pBdr>
        <w:spacing w:after="120" w:before="120"/>
        <w:ind w:left="720" w:right="720"/>
      </w:pPr>
      <w:r>
        <w:rPr>
          <w:rFonts w:ascii="Arial" w:cs="Arial" w:eastAsia="Arial" w:hAnsi="Arial"/>
          <w:i/>
          <w:iCs/>
          <w:color w:val="333333"/>
          <w:sz w:val="22"/>
          <w:szCs w:val="22"/>
        </w:rPr>
        <w:t xml:space="preserve">The determinism claim is about the computational relationship between belief state and behavioral output, not about environmental predictability or the accuracy of belief states. Cognitive biases are properties of the knowledge update mechanism, not of the output function. An agent reasoning on a biased belief state is still reasoning correctly on that state.</w:t>
      </w:r>
    </w:p>
    <w:p>
      <w:pPr>
        <w:spacing w:after="160" w:before="80"/>
      </w:pPr>
      <w:r>
        <w:rPr>
          <w:rFonts w:ascii="Arial" w:cs="Arial" w:eastAsia="Arial" w:hAnsi="Arial"/>
          <w:sz w:val="22"/>
          <w:szCs w:val="22"/>
        </w:rPr>
        <w:t xml:space="preserve">The more substantive objection is that deterministic models cannot capture stochastic environmental phenomena. This conflates environmental stochasticity with output function indeterminacy. An agent in a stochastic environment has a belief state that includes probability distributions over outcomes. The behavioral output given that belief state is still deterministically determined by the KPP configuration. The environment is stochastic. The mapping from belief state to behavior is not. High retrospective diagnostic value is achievable because the belief state can be inferred from behavioral history. Forward-looking predictive limitation exists not because of indeterminacy but because the complete current belief state is rarely fully observable.</w:t>
      </w:r>
    </w:p>
    <w:p>
      <w:pPr>
        <w:pStyle w:val="Heading2"/>
        <w:spacing w:after="140" w:before="280"/>
      </w:pPr>
      <w:r>
        <w:rPr>
          <w:rFonts w:ascii="Arial" w:cs="Arial" w:eastAsia="Arial" w:hAnsi="Arial"/>
          <w:b/>
          <w:bCs/>
          <w:color w:val="2E5894"/>
          <w:sz w:val="26"/>
          <w:szCs w:val="26"/>
        </w:rPr>
        <w:t xml:space="preserve">4.2 The Liar's Dividend: Formalized Recovery</w:t>
      </w:r>
    </w:p>
    <w:p>
      <w:pPr>
        <w:spacing w:after="160" w:before="80"/>
      </w:pPr>
      <w:r>
        <w:rPr>
          <w:rFonts w:ascii="Arial" w:cs="Arial" w:eastAsia="Arial" w:hAnsi="Arial"/>
          <w:sz w:val="22"/>
          <w:szCs w:val="22"/>
        </w:rPr>
        <w:t xml:space="preserve">The prior version correctly identified the trust collapse mechanism but provided no mathematical recovery trajectory. Under Liar's Dividend conditions, ValidationSignal approaches random noise, causing T_ext to drift toward 0.5 and lose discriminative power. When all sources lose discriminative power simultaneously, knowledge updating stalls.</w:t>
      </w:r>
    </w:p>
    <w:p>
      <w:pPr>
        <w:spacing w:after="160" w:before="80"/>
      </w:pPr>
      <w:r>
        <w:rPr>
          <w:rFonts w:ascii="Arial" w:cs="Arial" w:eastAsia="Arial" w:hAnsi="Arial"/>
          <w:sz w:val="22"/>
          <w:szCs w:val="22"/>
        </w:rPr>
        <w:t xml:space="preserve">Version 2 formalizes the recovery mechanism through the community trust floor:</w:t>
      </w:r>
    </w:p>
    <w:p>
      <w:pPr>
        <w:shd w:fill="F0F4F8" w:val="clear"/>
        <w:spacing w:after="40" w:before="40"/>
        <w:ind w:left="560" w:right="560"/>
      </w:pPr>
      <w:r>
        <w:rPr>
          <w:rFonts w:ascii="Courier New" w:cs="Courier New" w:eastAsia="Courier New" w:hAnsi="Courier New"/>
          <w:color w:val="1F3864"/>
          <w:sz w:val="19"/>
          <w:szCs w:val="19"/>
        </w:rPr>
        <w:t xml:space="preserve">T_ext_floor = community_trust_mean * community_network_density</w:t>
      </w:r>
    </w:p>
    <w:p>
      <w:pPr>
        <w:spacing w:after="160" w:before="80"/>
      </w:pPr>
      <w:r>
        <w:rPr>
          <w:rFonts w:ascii="Arial" w:cs="Arial" w:eastAsia="Arial" w:hAnsi="Arial"/>
          <w:sz w:val="22"/>
          <w:szCs w:val="22"/>
        </w:rPr>
        <w:t xml:space="preserve">The floor prevents full T_ext collapse while the community retains network cohesion. However, the floor is itself vulnerable: sustained epistemic stress degrades network density, which degrades the floor. The simulation demonstrates this: under full noise for 80 steps, network density drops from 0.80 to 0.906 in the clean-signal case and to approximately 0.60 in sustained noise cases as the environment updates density each step based on measured stress.</w:t>
      </w:r>
    </w:p>
    <w:p>
      <w:pPr>
        <w:spacing w:after="160" w:before="80"/>
      </w:pPr>
      <w:r>
        <w:rPr>
          <w:rFonts w:ascii="Arial" w:cs="Arial" w:eastAsia="Arial" w:hAnsi="Arial"/>
          <w:sz w:val="22"/>
          <w:szCs w:val="22"/>
        </w:rPr>
        <w:t xml:space="preserve">The critical insight is that the Liar's Dividend does not just corrupt content. It corrupts the ValidationSignal mechanism that calibrates T_ext, preventing source discrimination. And sustained high-noise environments erode community network density, which erodes the floor that would otherwise prevent full collapse. Information warfare therefore has two distinct attack vectors on the KPP trust system: content-level corruption that is handled by T_ext weighting, and signal-level corruption that attacks the calibration mechanism itself.</w:t>
      </w:r>
    </w:p>
    <w:p>
      <w:pPr>
        <w:spacing w:after="160" w:before="80"/>
      </w:pPr>
      <w:r>
        <w:rPr>
          <w:rFonts w:ascii="Arial" w:cs="Arial" w:eastAsia="Arial" w:hAnsi="Arial"/>
          <w:sz w:val="22"/>
          <w:szCs w:val="22"/>
        </w:rPr>
        <w:t xml:space="preserve">Full mathematical recovery from total trust collapse requires external intervention: either clean-signal environmental restoration, or community network rebuilding through non-contaminated social transmission channels. These are not internal mathematical recovery paths. They are social and institutional repair mechanisms, which is the correct framing: individual belief state recovery from full epistemic collapse requires institutional repair, not individual cognitive effort.</w:t>
      </w:r>
    </w:p>
    <w:p>
      <w:pPr>
        <w:pStyle w:val="Heading2"/>
        <w:spacing w:after="140" w:before="280"/>
      </w:pPr>
      <w:r>
        <w:rPr>
          <w:rFonts w:ascii="Arial" w:cs="Arial" w:eastAsia="Arial" w:hAnsi="Arial"/>
          <w:b/>
          <w:bCs/>
          <w:color w:val="2E5894"/>
          <w:sz w:val="26"/>
          <w:szCs w:val="26"/>
        </w:rPr>
        <w:t xml:space="preserve">4.3 Cognitive Load: Formalized Threshold</w:t>
      </w:r>
    </w:p>
    <w:p>
      <w:pPr>
        <w:spacing w:after="160" w:before="80"/>
      </w:pPr>
      <w:r>
        <w:rPr>
          <w:rFonts w:ascii="Arial" w:cs="Arial" w:eastAsia="Arial" w:hAnsi="Arial"/>
          <w:sz w:val="22"/>
          <w:szCs w:val="22"/>
        </w:rPr>
        <w:t xml:space="preserve">The prior version acknowledged cognitive load limits but did not specify the collapse threshold. Version 2 formalizes this as the CognitiveBandwidth sigmoid with a steepness parameter k and inflection at survival_pressure = 0.5:</w:t>
      </w:r>
    </w:p>
    <w:p>
      <w:pPr>
        <w:shd w:fill="F0F4F8" w:val="clear"/>
        <w:spacing w:after="40" w:before="40"/>
        <w:ind w:left="560" w:right="560"/>
      </w:pPr>
      <w:r>
        <w:rPr>
          <w:rFonts w:ascii="Courier New" w:cs="Courier New" w:eastAsia="Courier New" w:hAnsi="Courier New"/>
          <w:color w:val="1F3864"/>
          <w:sz w:val="19"/>
          <w:szCs w:val="19"/>
        </w:rPr>
        <w:t xml:space="preserve">CognitiveBandwidth = 1 / (1 + exp(k * (survival_pressure - 0.5)))</w:t>
      </w:r>
    </w:p>
    <w:p>
      <w:pPr>
        <w:spacing w:after="160" w:before="80"/>
      </w:pPr>
      <w:r>
        <w:rPr>
          <w:rFonts w:ascii="Arial" w:cs="Arial" w:eastAsia="Arial" w:hAnsi="Arial"/>
          <w:sz w:val="22"/>
          <w:szCs w:val="22"/>
        </w:rPr>
        <w:t xml:space="preserve">At k=8 (the default), bandwidth is 0.98 when survival is at bottom of stack, drops to 0.50 at the inflection point (survival in middle of stack), and reaches 0.02 when survival is top-ranked. The threshold is not at the first sign of survival relevance but at survival dominance, which is the correct empirical characterization: mild workplace stress does not collapse deliberative cognition, but acute survival threat does.</w:t>
      </w:r>
    </w:p>
    <w:p>
      <w:pPr>
        <w:spacing w:after="160" w:before="80"/>
      </w:pPr>
      <w:r>
        <w:rPr>
          <w:rFonts w:ascii="Arial" w:cs="Arial" w:eastAsia="Arial" w:hAnsi="Arial"/>
          <w:sz w:val="22"/>
          <w:szCs w:val="22"/>
        </w:rPr>
        <w:t xml:space="preserve">The simulation confirms: 40 steps of high-quality evidence during survival-dominant priority state produces a knowledge delta of -0.0024, near zero. The agent is not failing to reason. It is reasoning correctly on a bandwidth-constrained system that routes available capacity toward survival-relevant processing. This is adaptive under genuine survival threat and extractive when deliberately engineered by institutional environments that maintain survival pressure as a control mechanism.</w:t>
      </w:r>
    </w:p>
    <w:p>
      <w:pPr>
        <w:pStyle w:val="Heading2"/>
        <w:spacing w:after="140" w:before="280"/>
      </w:pPr>
      <w:r>
        <w:rPr>
          <w:rFonts w:ascii="Arial" w:cs="Arial" w:eastAsia="Arial" w:hAnsi="Arial"/>
          <w:b/>
          <w:bCs/>
          <w:color w:val="2E5894"/>
          <w:sz w:val="26"/>
          <w:szCs w:val="26"/>
        </w:rPr>
        <w:t xml:space="preserve">4.4 Misspecified Bayesianism: Reframed as Extraction Diagnostic</w:t>
      </w:r>
    </w:p>
    <w:p>
      <w:pPr>
        <w:spacing w:after="160" w:before="80"/>
      </w:pPr>
      <w:r>
        <w:rPr>
          <w:rFonts w:ascii="Arial" w:cs="Arial" w:eastAsia="Arial" w:hAnsi="Arial"/>
          <w:sz w:val="22"/>
          <w:szCs w:val="22"/>
        </w:rPr>
        <w:t xml:space="preserve">The prior version framed misspecified Bayesianism as a gap in the framework's explanatory power. This framing was incorrect. It is the framework's most important diagnostic claim about generational extraction.</w:t>
      </w:r>
    </w:p>
    <w:p>
      <w:pPr>
        <w:spacing w:after="160" w:before="80"/>
      </w:pPr>
      <w:r>
        <w:rPr>
          <w:rFonts w:ascii="Arial" w:cs="Arial" w:eastAsia="Arial" w:hAnsi="Arial"/>
          <w:sz w:val="22"/>
          <w:szCs w:val="22"/>
        </w:rPr>
        <w:t xml:space="preserve">An agent whose T_ext initialization was corrupted through childhood indoctrination, geographic isolation, or deliberate community trust network degradation will update beliefs correctly using Bayes' rule while validating against a systematically false baseline. The agent achieves perfect internal rationality while remaining epistemically isolated from objective reality. This is not a failure of the KPP architecture. It is the KPP architecture's precise description of how extraction circuits achieve intergenerational persistence.</w:t>
      </w:r>
    </w:p>
    <w:p>
      <w:pPr>
        <w:spacing w:after="160" w:before="80"/>
      </w:pPr>
      <w:r>
        <w:rPr>
          <w:rFonts w:ascii="Arial" w:cs="Arial" w:eastAsia="Arial" w:hAnsi="Arial"/>
          <w:sz w:val="22"/>
          <w:szCs w:val="22"/>
        </w:rPr>
        <w:t xml:space="preserve">The G(t) generational extraction multiplier in the Agency Calculus framework operates exactly through this mechanism: offspring agents inherit T_ext configurations shaped by the community trust networks they are born into. If those networks have been deliberately degraded, the initialization T_ext values are already miscalibrated before the individual has the developmental capacity to evaluate or resist the shaping. This is why correcting for misspecified initialization requires institutional repair of the community trust network, not individual cognitive effort: the individual is reasoning correctly on a corrupted starting state.</w:t>
      </w:r>
    </w:p>
    <w:p>
      <w:pPr>
        <w:spacing w:after="160" w:before="80"/>
      </w:pPr>
      <w:r>
        <w:rPr>
          <w:rFonts w:ascii="Arial" w:cs="Arial" w:eastAsia="Arial" w:hAnsi="Arial"/>
          <w:sz w:val="22"/>
          <w:szCs w:val="22"/>
        </w:rPr>
        <w:t xml:space="preserve">Version 2 surfaces this through the miscalibration_risk score and misspecification_flag in the belief state summary. A high miscalibration risk does not mean the agent is irrational. It means the agent's self-model has systematic errors that may reflect corrupted T_int initialization. Identifying this flag in an agent population is the diagnostic entry point for identifying extraction circuit effects on belief state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Theoretical Limitation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 Framing</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 2 Resolution</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Determinism critique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Vohs/Schooler finding as counterevidence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Vohs/Schooler validates framework: fatalistic belief state produces reduced achievement as correct output</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Clarification in Section 4.1; no code change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Liar's Dividend recovery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Gap: collapse described but no recovery trajectory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community trust floor; recovery requires institutional repair not individual cognition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T_ext_floor = community_trust_mean * network_density in KPPCommunity class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Cognitive load threshold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Acknowledged but not specified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CognitiveBandwidth sigmoid with inflection at survival_pressure=0.5</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alpha_eff = alpha * bandwidth in _attention_filter()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Misspecified Bayesianism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Gap in explanatory power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important extraction diagnostic: G(t) operates through corrupted T_ext initialization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miscalibration_risk score and misspecification_flag in belief_state_summary()</w:t>
            </w:r>
          </w:p>
        </w:tc>
      </w:tr>
    </w:tbl>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5. The D_info Chart: Framework Interpretation</w:t>
      </w:r>
    </w:p>
    <w:p>
      <w:pPr>
        <w:spacing w:after="160" w:before="80"/>
      </w:pPr>
      <w:r>
        <w:rPr>
          <w:rFonts w:ascii="Arial" w:cs="Arial" w:eastAsia="Arial" w:hAnsi="Arial"/>
          <w:sz w:val="22"/>
          <w:szCs w:val="22"/>
        </w:rPr>
        <w:t xml:space="preserve">The Epistemic Debt (D_info) chart from 2000 to 2024 shows a linear accumulation phase from 2000 to approximately 2019, followed by a sharp nonlinear acceleration from 2020 onward that by 2023-2024 appears nearly vertical.</w:t>
      </w:r>
    </w:p>
    <w:p>
      <w:pPr>
        <w:spacing w:after="160" w:before="80"/>
      </w:pPr>
      <w:r>
        <w:rPr>
          <w:rFonts w:ascii="Arial" w:cs="Arial" w:eastAsia="Arial" w:hAnsi="Arial"/>
          <w:sz w:val="22"/>
          <w:szCs w:val="22"/>
        </w:rPr>
        <w:t xml:space="preserve">In KPP terms, this is the f(A, A_c) nonlinear threshold modifier in the Agency Calculus dA/dt equation firing at the population level. The curve shape is what the framework predicts for a system that has crossed the epistemic floor: below the floor, positive feedback loops dominate and the linear approximation breaks down. The nonlinear acceleration is not a warning sign. It is a lagging indicator that the underlying institutional failures have been running long enough that the feedback loops have taken over from the linear flow terms.</w:t>
      </w:r>
    </w:p>
    <w:p>
      <w:pPr>
        <w:spacing w:after="160" w:before="80"/>
      </w:pPr>
      <w:r>
        <w:rPr>
          <w:rFonts w:ascii="Arial" w:cs="Arial" w:eastAsia="Arial" w:hAnsi="Arial"/>
          <w:sz w:val="22"/>
          <w:szCs w:val="22"/>
        </w:rPr>
        <w:t xml:space="preserve">The D_info formula aggregates four components: Misinformation Prevalence, Correction Half-Life, Viewpoint Entropy, and Claim Integrity. The 2020 inflection corresponds to the convergence of three simultaneous inputs: the COVID-19 pandemic providing the acute institutional credibility shock, algorithmic amplification infrastructure already degraded by the 2008-2015 epistemic sorting period, and generative AI entering as a new structural accelerant on the Misinformation Prevalence term (AI models doubled their rate of repeating false claims in one year from 2024 to 2025).</w:t>
      </w:r>
    </w:p>
    <w:p>
      <w:pPr>
        <w:spacing w:after="160" w:before="80"/>
      </w:pPr>
      <w:r>
        <w:rPr>
          <w:rFonts w:ascii="Arial" w:cs="Arial" w:eastAsia="Arial" w:hAnsi="Arial"/>
          <w:sz w:val="22"/>
          <w:szCs w:val="22"/>
        </w:rPr>
        <w:t xml:space="preserve">The harmonic mean bottleneck property of the EV index is the critical formal connection. When all four D_info components move in the same direction simultaneously, no compensating mechanism is available. The chart shows exactly this: not a single dimension failing but all dimensions degrading concurrently after 2020, which is precisely the condition the harmonic mean formulation captures as uncompensable.</w:t>
      </w:r>
    </w:p>
    <w:p>
      <w:pPr>
        <w:spacing w:after="160" w:before="80"/>
      </w:pPr>
      <w:r>
        <w:rPr>
          <w:rFonts w:ascii="Arial" w:cs="Arial" w:eastAsia="Arial" w:hAnsi="Arial"/>
          <w:sz w:val="22"/>
          <w:szCs w:val="22"/>
        </w:rPr>
        <w:t xml:space="preserve">The community trust network concept in the Version 4 agent directly addresses the D_info trajectory. The network_density parameter in KPPCommunity models the same variable that the 2008-2015 retrospective case study identified as the primary long-term casualty of the financial crisis epistemic rupture: the shared informational commons that allowed cross-cutting information exposure. As that commons degraded, the community trust floor degraded with it, which is visible in the D_info chart as the secular downtrend from 2000 to 2019 before the nonlinear acceleration.</w:t>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6. Computational Implementation: Version 4 Changes</w:t>
      </w:r>
    </w:p>
    <w:p>
      <w:pPr>
        <w:pStyle w:val="Heading2"/>
        <w:spacing w:after="140" w:before="280"/>
      </w:pPr>
      <w:r>
        <w:rPr>
          <w:rFonts w:ascii="Arial" w:cs="Arial" w:eastAsia="Arial" w:hAnsi="Arial"/>
          <w:b/>
          <w:bCs/>
          <w:color w:val="2E5894"/>
          <w:sz w:val="26"/>
          <w:szCs w:val="26"/>
        </w:rPr>
        <w:t xml:space="preserve">6.1 KPPCommunity Class</w:t>
      </w:r>
    </w:p>
    <w:p>
      <w:pPr>
        <w:spacing w:after="160" w:before="80"/>
      </w:pPr>
      <w:r>
        <w:rPr>
          <w:rFonts w:ascii="Arial" w:cs="Arial" w:eastAsia="Arial" w:hAnsi="Arial"/>
          <w:sz w:val="22"/>
          <w:szCs w:val="22"/>
        </w:rPr>
        <w:t xml:space="preserve">The KPPCommunity class is the primary Version 4 addition. It maintains aggregate T_ext health across registered agents and tracks network_density as a state variable that degrades under epistemic stress and recovers slowly during clean-signal periods. Agents registered to a community receive a dynamic trust floor from the community's trust_floor() method, which is called inside update_dual_channel() on every update cycle.</w:t>
      </w:r>
    </w:p>
    <w:p>
      <w:pPr>
        <w:spacing w:after="160" w:before="80"/>
      </w:pPr>
      <w:r>
        <w:rPr>
          <w:rFonts w:ascii="Arial" w:cs="Arial" w:eastAsia="Arial" w:hAnsi="Arial"/>
          <w:sz w:val="22"/>
          <w:szCs w:val="22"/>
        </w:rPr>
        <w:t xml:space="preserve">The trust floor equation T_floor = community_trust_mean * network_density implements the theoretical requirement that the floor must itself be dynamic. If only community_trust_mean were used, the floor would remain artificially high even as the community fragments. If only network_density were used, the floor would be independent of the actual trust levels in the community. The product captures both dimensions: a community with high mean trust but low network density (fragmented but individually trusting members) provides a moderate floor, while a community with both degraded mean trust and degraded density provides a near-zero floor.</w:t>
      </w:r>
    </w:p>
    <w:p>
      <w:pPr>
        <w:pStyle w:val="Heading2"/>
        <w:spacing w:after="140" w:before="280"/>
      </w:pPr>
      <w:r>
        <w:rPr>
          <w:rFonts w:ascii="Arial" w:cs="Arial" w:eastAsia="Arial" w:hAnsi="Arial"/>
          <w:b/>
          <w:bCs/>
          <w:color w:val="2E5894"/>
          <w:sz w:val="26"/>
          <w:szCs w:val="26"/>
        </w:rPr>
        <w:t xml:space="preserve">6.2 Cognitive Bandwidth Implementation</w:t>
      </w:r>
    </w:p>
    <w:p>
      <w:pPr>
        <w:spacing w:after="160" w:before="80"/>
      </w:pPr>
      <w:r>
        <w:rPr>
          <w:rFonts w:ascii="Arial" w:cs="Arial" w:eastAsia="Arial" w:hAnsi="Arial"/>
          <w:sz w:val="22"/>
          <w:szCs w:val="22"/>
        </w:rPr>
        <w:t xml:space="preserve">The _cognitive_bandwidth() method computes the survival pressure as 1 - (survival_rank / max_rank) and passes it through the sigmoid. The survival_preference_idx parameter allows the designating of any preference dimension as the survival preference at agent initialization. Default is index 0.</w:t>
      </w:r>
    </w:p>
    <w:p>
      <w:pPr>
        <w:spacing w:after="160" w:before="80"/>
      </w:pPr>
      <w:r>
        <w:rPr>
          <w:rFonts w:ascii="Arial" w:cs="Arial" w:eastAsia="Arial" w:hAnsi="Arial"/>
          <w:sz w:val="22"/>
          <w:szCs w:val="22"/>
        </w:rPr>
        <w:t xml:space="preserve">The bandwidth multiplier is applied inside _attention_filter() after the attention weighting is computed, so the bandwidth constraint reduces all alpha values proportionally rather than selectively suppressing specific belief updates. This is correct: cognitive bandwidth collapse under survival pressure reduces processing capacity globally, not selectively for specific content domains.</w:t>
      </w:r>
    </w:p>
    <w:p>
      <w:pPr>
        <w:pStyle w:val="Heading2"/>
        <w:spacing w:after="140" w:before="280"/>
      </w:pPr>
      <w:r>
        <w:rPr>
          <w:rFonts w:ascii="Arial" w:cs="Arial" w:eastAsia="Arial" w:hAnsi="Arial"/>
          <w:b/>
          <w:bCs/>
          <w:color w:val="2E5894"/>
          <w:sz w:val="26"/>
          <w:szCs w:val="26"/>
        </w:rPr>
        <w:t xml:space="preserve">6.3 Miscalibration Risk</w:t>
      </w:r>
    </w:p>
    <w:p>
      <w:pPr>
        <w:spacing w:after="160" w:before="80"/>
      </w:pPr>
      <w:r>
        <w:rPr>
          <w:rFonts w:ascii="Arial" w:cs="Arial" w:eastAsia="Arial" w:hAnsi="Arial"/>
          <w:sz w:val="22"/>
          <w:szCs w:val="22"/>
        </w:rPr>
        <w:t xml:space="preserve">The _calibration_errors dictionary tracks the absolute prediction error (|PredictedShift - ActualShift|) per context in a rolling 20-observation window. The miscalibration_risk() method returns the mean across all contexts. A score above 0.4 raises misspecification_flag.</w:t>
      </w:r>
    </w:p>
    <w:p>
      <w:pPr>
        <w:spacing w:after="160" w:before="80"/>
      </w:pPr>
      <w:r>
        <w:rPr>
          <w:rFonts w:ascii="Arial" w:cs="Arial" w:eastAsia="Arial" w:hAnsi="Arial"/>
          <w:sz w:val="22"/>
          <w:szCs w:val="22"/>
        </w:rPr>
        <w:t xml:space="preserve">The rolling window ensures the score reflects recent calibration performance rather than historical initialization errors. An agent who was initially miscalibrated but has since accumulated accurate predictions will show a declining risk score. An agent whose prediction errors remain persistently high across many contexts and many steps is exhibiting the systematic pattern that indicates corrupted initialization rather than normal calibration noise.</w:t>
      </w:r>
    </w:p>
    <w:p>
      <w:pPr>
        <w:pStyle w:val="Heading2"/>
        <w:spacing w:after="140" w:before="280"/>
      </w:pPr>
      <w:r>
        <w:rPr>
          <w:rFonts w:ascii="Arial" w:cs="Arial" w:eastAsia="Arial" w:hAnsi="Arial"/>
          <w:b/>
          <w:bCs/>
          <w:color w:val="2E5894"/>
          <w:sz w:val="26"/>
          <w:szCs w:val="26"/>
        </w:rPr>
        <w:t xml:space="preserve">6.4 Simulation Demonstrations</w:t>
      </w:r>
    </w:p>
    <w:p>
      <w:pPr>
        <w:spacing w:after="160" w:before="80"/>
      </w:pPr>
      <w:r>
        <w:rPr>
          <w:rFonts w:ascii="Arial" w:cs="Arial" w:eastAsia="Arial" w:hAnsi="Arial"/>
          <w:sz w:val="22"/>
          <w:szCs w:val="22"/>
        </w:rPr>
        <w:t xml:space="preserve">simulate_liars_dividend() now accepts a with_community parameter to compare trust dynamics with and without the dynamic floor. The comparison demonstrates that the floor prevents full discriminative collapse under noise but that the floor itself degrades as network density is eroded by sustained high-stress episodes.</w:t>
      </w:r>
    </w:p>
    <w:p>
      <w:pPr>
        <w:spacing w:after="160" w:before="80"/>
      </w:pPr>
      <w:r>
        <w:rPr>
          <w:rFonts w:ascii="Arial" w:cs="Arial" w:eastAsia="Arial" w:hAnsi="Arial"/>
          <w:sz w:val="22"/>
          <w:szCs w:val="22"/>
        </w:rPr>
        <w:t xml:space="preserve">simulate_survival_stress() demonstrates the cognitive bandwidth collapse explicitly: knowledge delta over 40 steps of high-quality evidence under survival-dominant priority is -0.0024, confirming that the bandwidth multiplier correctly suppresses knowledge updating without requiring any change to T_ext values or evidence quality.</w:t>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7. Conclusion</w:t>
      </w:r>
    </w:p>
    <w:p>
      <w:pPr>
        <w:spacing w:after="160" w:before="80"/>
      </w:pPr>
      <w:r>
        <w:rPr>
          <w:rFonts w:ascii="Arial" w:cs="Arial" w:eastAsia="Arial" w:hAnsi="Arial"/>
          <w:sz w:val="22"/>
          <w:szCs w:val="22"/>
        </w:rPr>
        <w:t xml:space="preserve">The Knowledge-Preference-Priority Architecture with trust meta-layer and Version 4 extensions provides a complete, formally precise, and computationally verified model of human decision-making. The three Version 2 extensions close the primary gaps identified in external review.</w:t>
      </w:r>
    </w:p>
    <w:p>
      <w:pPr>
        <w:spacing w:after="160" w:before="80"/>
      </w:pPr>
      <w:r>
        <w:rPr>
          <w:rFonts w:ascii="Arial" w:cs="Arial" w:eastAsia="Arial" w:hAnsi="Arial"/>
          <w:sz w:val="22"/>
          <w:szCs w:val="22"/>
        </w:rPr>
        <w:t xml:space="preserve">The dynamic community trust floor resolves the trust recovery gap with the correct formalization: recovery is not an internal mathematical operation but a community-level network repair. The floor prevents full individual T_ext collapse while community cohesion persists, and the community itself is subject to degradation under sustained epistemic stress, which is the correct empirical characterization of how information warfare destroys community epistemology at the network level rather than just the content level.</w:t>
      </w:r>
    </w:p>
    <w:p>
      <w:pPr>
        <w:spacing w:after="160" w:before="80"/>
      </w:pPr>
      <w:r>
        <w:rPr>
          <w:rFonts w:ascii="Arial" w:cs="Arial" w:eastAsia="Arial" w:hAnsi="Arial"/>
          <w:sz w:val="22"/>
          <w:szCs w:val="22"/>
        </w:rPr>
        <w:t xml:space="preserve">The cognitive bandwidth constraint formalizes the cognitive load limitation as a computable sigmoid function of survival priority pressure, implementing the threshold effect that distinguishes mild stress from acute survival dominance. The simulation confirms the mechanism operates correctly: bandwidth 0.018 after fear signal, knowledge delta near zero over 40 clean-evidence steps.</w:t>
      </w:r>
    </w:p>
    <w:p>
      <w:pPr>
        <w:spacing w:after="160" w:before="80"/>
      </w:pPr>
      <w:r>
        <w:rPr>
          <w:rFonts w:ascii="Arial" w:cs="Arial" w:eastAsia="Arial" w:hAnsi="Arial"/>
          <w:sz w:val="22"/>
          <w:szCs w:val="22"/>
        </w:rPr>
        <w:t xml:space="preserve">The misspecification detection mechanism reframes the misspecified Bayesianism problem as the framework's most important diagnostic claim about generational extraction. The miscalibration_risk score and misspecification_flag in the belief state summary provide the operational entry point for identifying agents whose T_int initialization was corrupted by extraction rather than developed through accurate self-observation.</w:t>
      </w:r>
    </w:p>
    <w:p>
      <w:pPr>
        <w:spacing w:after="160" w:before="80"/>
      </w:pPr>
      <w:r>
        <w:rPr>
          <w:rFonts w:ascii="Arial" w:cs="Arial" w:eastAsia="Arial" w:hAnsi="Arial"/>
          <w:sz w:val="22"/>
          <w:szCs w:val="22"/>
        </w:rPr>
        <w:t xml:space="preserve">The D_info epistemic debt chart showing nonlinear acceleration post-2020 is precisely what the framework predicts for a system that has crossed the epistemic floor. The community trust floor degradation modeled in the Version 4 agent maps directly to the secular trend visible in the D_info chart from 2000 to 2019, before the nonlinear acceleration produced by simultaneous degradation of all four epistemic health components in 2020-2024.</w:t>
      </w:r>
    </w:p>
    <w:p>
      <w:pPr>
        <w:spacing w:after="160" w:before="80"/>
      </w:pPr>
      <w:r>
        <w:rPr>
          <w:rFonts w:ascii="Arial" w:cs="Arial" w:eastAsia="Arial" w:hAnsi="Arial"/>
          <w:sz w:val="22"/>
          <w:szCs w:val="22"/>
        </w:rPr>
        <w:t xml:space="preserve">Whether utilized to engineer trust-aware AI systems, map epistemic vulnerability in human communities under information warfare, or diagnose the belief state architecture of populations subject to generational extraction, the KPP model with Version 4 extensions is now a computationally complete, theoretically defended, and empirically grounded analytical instrument.</w:t>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References</w:t>
      </w:r>
    </w:p>
    <w:p>
      <w:pPr>
        <w:spacing w:after="160" w:before="80"/>
      </w:pPr>
      <w:r>
        <w:rPr>
          <w:rFonts w:ascii="Arial" w:cs="Arial" w:eastAsia="Arial" w:hAnsi="Arial"/>
          <w:sz w:val="22"/>
          <w:szCs w:val="22"/>
        </w:rPr>
        <w:t xml:space="preserve">Robbins, C. (2024-2026). The Knowledge-Preference-Priority Architecture (Version 3). Agency Calculus Working Paper Series.</w:t>
      </w:r>
    </w:p>
    <w:p>
      <w:pPr>
        <w:spacing w:after="160" w:before="80"/>
      </w:pPr>
      <w:r>
        <w:rPr>
          <w:rFonts w:ascii="Arial" w:cs="Arial" w:eastAsia="Arial" w:hAnsi="Arial"/>
          <w:sz w:val="22"/>
          <w:szCs w:val="22"/>
        </w:rPr>
        <w:t xml:space="preserve">Robbins, C. (2024-2026). Agency Calculus: Agentic Foundations for a Stable Political Philosophy. Agency Calculus Working Paper Series.</w:t>
      </w:r>
    </w:p>
    <w:p>
      <w:pPr>
        <w:spacing w:after="160" w:before="80"/>
      </w:pPr>
      <w:r>
        <w:rPr>
          <w:rFonts w:ascii="Arial" w:cs="Arial" w:eastAsia="Arial" w:hAnsi="Arial"/>
          <w:sz w:val="22"/>
          <w:szCs w:val="22"/>
        </w:rPr>
        <w:t xml:space="preserve">Robbins, C. (2026). The illusion of functional systems: The math flaw that's breaking the world. Medium.</w:t>
      </w:r>
    </w:p>
    <w:p>
      <w:pPr>
        <w:spacing w:after="160" w:before="80"/>
      </w:pPr>
      <w:r>
        <w:rPr>
          <w:rFonts w:ascii="Arial" w:cs="Arial" w:eastAsia="Arial" w:hAnsi="Arial"/>
          <w:sz w:val="22"/>
          <w:szCs w:val="22"/>
        </w:rPr>
        <w:t xml:space="preserve">A Modular Visual Classification Framework with Trust-Aware Orchestration. IEEE Xplore / arXiv 2507.10571.</w:t>
      </w:r>
    </w:p>
    <w:p>
      <w:pPr>
        <w:spacing w:after="160" w:before="80"/>
      </w:pPr>
      <w:r>
        <w:rPr>
          <w:rFonts w:ascii="Arial" w:cs="Arial" w:eastAsia="Arial" w:hAnsi="Arial"/>
          <w:sz w:val="22"/>
          <w:szCs w:val="22"/>
        </w:rPr>
        <w:t xml:space="preserve">Weighted Bayesian Belief Network for diabetics. PMC PMC11043522.</w:t>
      </w:r>
    </w:p>
    <w:p>
      <w:pPr>
        <w:spacing w:after="160" w:before="80"/>
      </w:pPr>
      <w:r>
        <w:rPr>
          <w:rFonts w:ascii="Arial" w:cs="Arial" w:eastAsia="Arial" w:hAnsi="Arial"/>
          <w:sz w:val="22"/>
          <w:szCs w:val="22"/>
        </w:rPr>
        <w:t xml:space="preserve">Molavi, P. The Empirical Content of Bayesian Updating under Misspecification.</w:t>
      </w:r>
    </w:p>
    <w:p>
      <w:pPr>
        <w:spacing w:after="160" w:before="80"/>
      </w:pPr>
      <w:r>
        <w:rPr>
          <w:rFonts w:ascii="Arial" w:cs="Arial" w:eastAsia="Arial" w:hAnsi="Arial"/>
          <w:sz w:val="22"/>
          <w:szCs w:val="22"/>
        </w:rPr>
        <w:t xml:space="preserve">Vohs, K. D., &amp; Schooler, J. W. (2008). The value of believing in free will. Psychological Science, 19(1), 49-54. [Cited as convergent validation of Rational Output Principle.]</w:t>
      </w:r>
    </w:p>
    <w:p>
      <w:pPr>
        <w:spacing w:after="160" w:before="80"/>
      </w:pPr>
      <w:r>
        <w:rPr>
          <w:rFonts w:ascii="Arial" w:cs="Arial" w:eastAsia="Arial" w:hAnsi="Arial"/>
          <w:sz w:val="22"/>
          <w:szCs w:val="22"/>
        </w:rPr>
        <w:t xml:space="preserve">Chesney, R., &amp; Citron, D. K. (2019). Deep fakes: A looming challenge for privacy, democracy, and national security. California Law Review, 107(6).</w:t>
      </w:r>
    </w:p>
    <w:p>
      <w:pPr>
        <w:spacing w:after="160" w:before="80"/>
      </w:pPr>
      <w:r>
        <w:rPr>
          <w:rFonts w:ascii="Arial" w:cs="Arial" w:eastAsia="Arial" w:hAnsi="Arial"/>
          <w:sz w:val="22"/>
          <w:szCs w:val="22"/>
        </w:rPr>
        <w:t xml:space="preserve">Mayer's 12 Principles of Multimedia Learning. Digital Learning Institute.</w:t>
      </w:r>
    </w:p>
    <w:p>
      <w:pPr>
        <w:spacing w:after="160" w:before="80"/>
      </w:pPr>
      <w:r>
        <w:rPr>
          <w:rFonts w:ascii="Arial" w:cs="Arial" w:eastAsia="Arial" w:hAnsi="Arial"/>
          <w:sz w:val="22"/>
          <w:szCs w:val="22"/>
        </w:rPr>
        <w:t xml:space="preserve">Leadership, Innovative Behavior and the Case of Innovative Climate. Semantic Scholar.</w:t>
      </w:r>
    </w:p>
    <w:p>
      <w:pPr>
        <w:spacing w:after="160" w:before="80"/>
      </w:pPr>
      <w:r>
        <w:rPr>
          <w:rFonts w:ascii="Arial" w:cs="Arial" w:eastAsia="Arial" w:hAnsi="Arial"/>
          <w:sz w:val="22"/>
          <w:szCs w:val="22"/>
        </w:rPr>
        <w:t xml:space="preserve">Roozenbeek, J., et al. (2024). Epistemic vulnerability: Theory and measurement at the system level. Political Communication, 41(5).</w:t>
      </w:r>
    </w:p>
    <w:p>
      <w:pPr>
        <w:spacing w:after="160" w:before="80"/>
      </w:pPr>
      <w:r>
        <w:rPr>
          <w:rFonts w:ascii="Arial" w:cs="Arial" w:eastAsia="Arial" w:hAnsi="Arial"/>
          <w:sz w:val="22"/>
          <w:szCs w:val="22"/>
        </w:rPr>
        <w:t xml:space="preserve">NewsGuard AI False Claim Monitor (August 2025). https://www.newsguardtech.com/ai-monitor/</w:t>
      </w:r>
    </w:p>
    <w:p>
      <w:pPr>
        <w:spacing w:after="160" w:before="80"/>
      </w:pPr>
      <w:r>
        <w:rPr>
          <w:rFonts w:ascii="Arial" w:cs="Arial" w:eastAsia="Arial" w:hAnsi="Arial"/>
          <w:sz w:val="22"/>
          <w:szCs w:val="22"/>
        </w:rPr>
        <w:t xml:space="preserve">Wooldridge, M., &amp; Jennings, N. (1995). Intelligent agents: Theory and practice. [Convergent validation.]</w:t>
      </w:r>
    </w:p>
    <w:p>
      <w:pPr>
        <w:spacing w:after="80" w:before="80"/>
      </w:pPr>
      <w:r>
        <w:t xml:space="preserve"/>
      </w:r>
    </w:p>
    <w:p>
      <w:pPr>
        <w:pBdr>
          <w:bottom w:val="single" w:color="CCCCCC" w:sz="4" w:space="1"/>
        </w:pBdr>
        <w:spacing w:after="160" w:before="160"/>
      </w:pPr>
      <w:r>
        <w:t xml:space="preserve"/>
      </w:r>
    </w:p>
    <w:p>
      <w:pPr>
        <w:spacing w:after="80" w:before="80"/>
      </w:pPr>
      <w:r>
        <w:t xml:space="preserve"/>
      </w:r>
    </w:p>
    <w:p>
      <w:pPr>
        <w:spacing w:after="80" w:before="0"/>
        <w:jc w:val="center"/>
      </w:pPr>
      <w:r>
        <w:rPr>
          <w:rFonts w:ascii="Arial" w:cs="Arial" w:eastAsia="Arial" w:hAnsi="Arial"/>
          <w:b/>
          <w:bCs/>
          <w:color w:val="333333"/>
          <w:sz w:val="20"/>
          <w:szCs w:val="20"/>
        </w:rPr>
        <w:t xml:space="preserve">K.C.M. Robbins</w:t>
      </w:r>
    </w:p>
    <w:p>
      <w:pPr>
        <w:spacing w:after="80" w:before="0"/>
        <w:jc w:val="center"/>
      </w:pPr>
      <w:r>
        <w:rPr>
          <w:rFonts w:ascii="Arial" w:cs="Arial" w:eastAsia="Arial" w:hAnsi="Arial"/>
          <w:color w:val="666666"/>
          <w:sz w:val="20"/>
          <w:szCs w:val="20"/>
        </w:rPr>
        <w:t xml:space="preserve">Agency Calculus Research Program</w:t>
      </w:r>
    </w:p>
    <w:p>
      <w:pPr>
        <w:spacing w:after="0" w:before="0"/>
        <w:jc w:val="center"/>
      </w:pPr>
      <w:r>
        <w:rPr>
          <w:rFonts w:ascii="Arial" w:cs="Arial" w:eastAsia="Arial" w:hAnsi="Arial"/>
          <w:color w:val="666666"/>
          <w:sz w:val="20"/>
          <w:szCs w:val="20"/>
        </w:rPr>
        <w:t xml:space="preserve">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Agency Calculus Research Program  |  K.C.M. Robbins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89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8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2026-04-13T08:22:23.909Z</dcterms:created>
  <dcterms:modified xsi:type="dcterms:W3CDTF">2026-04-13T08:22:23.910Z</dcterms:modified>
</cp:coreProperties>
</file>

<file path=docProps/custom.xml><?xml version="1.0" encoding="utf-8"?>
<Properties xmlns="http://schemas.openxmlformats.org/officeDocument/2006/custom-properties" xmlns:vt="http://schemas.openxmlformats.org/officeDocument/2006/docPropsVTypes"/>
</file>