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a3ougdi3ybp" w:id="0"/>
      <w:bookmarkEnd w:id="0"/>
      <w:r w:rsidDel="00000000" w:rsidR="00000000" w:rsidRPr="00000000">
        <w:rPr>
          <w:rtl w:val="0"/>
        </w:rPr>
        <w:t xml:space="preserve">Dynamics, Strategic Order, and Bottleneck Typing: A Time-Indexed Extension of the Conservation-and-Coherence Framework</w:t>
      </w:r>
    </w:p>
    <w:p w:rsidR="00000000" w:rsidDel="00000000" w:rsidP="00000000" w:rsidRDefault="00000000" w:rsidRPr="00000000" w14:paraId="00000002">
      <w:pPr>
        <w:rPr/>
      </w:pPr>
      <w:r w:rsidDel="00000000" w:rsidR="00000000" w:rsidRPr="00000000">
        <w:rPr>
          <w:b w:val="1"/>
          <w:bCs w:val="1"/>
          <w:rtl w:val="0"/>
        </w:rPr>
        <w:t xml:space="preserve">K.C.M. Robbins</w:t>
      </w:r>
      <w:r w:rsidDel="00000000" w:rsidR="00000000" w:rsidRPr="00000000">
        <w:rPr>
          <w:rtl w:val="0"/>
        </w:rPr>
        <w:t xml:space="preserve"> </w:t>
      </w:r>
      <w:r w:rsidDel="00000000" w:rsidR="00000000" w:rsidRPr="00000000">
        <w:rPr>
          <w:i w:val="1"/>
          <w:iCs w:val="1"/>
          <w:rtl w:val="0"/>
        </w:rPr>
        <w:t xml:space="preserve">Independent researcher</w:t>
      </w:r>
      <w:r w:rsidDel="00000000" w:rsidR="00000000" w:rsidRPr="00000000">
        <w:rPr>
          <w:rtl w:val="0"/>
        </w:rPr>
        <w:t xml:space="preserve"> Draft v1.0, April 2026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Third companion to "Detecting Hidden Control" and "Structural Response."</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yaycdpqqskni" w:id="1"/>
      <w:bookmarkEnd w:id="1"/>
      <w:r w:rsidDel="00000000" w:rsidR="00000000" w:rsidRPr="00000000">
        <w:rPr>
          <w:rtl w:val="0"/>
        </w:rPr>
        <w:t xml:space="preserve">Abstract</w:t>
      </w:r>
    </w:p>
    <w:p w:rsidR="00000000" w:rsidDel="00000000" w:rsidP="00000000" w:rsidRDefault="00000000" w:rsidRPr="00000000" w14:paraId="00000008">
      <w:pPr>
        <w:rPr/>
      </w:pPr>
      <w:r w:rsidDel="00000000" w:rsidR="00000000" w:rsidRPr="00000000">
        <w:rPr>
          <w:rtl w:val="0"/>
        </w:rPr>
        <w:t xml:space="preserve">The operators developed in our prior papers are silent on two properties that most institutional and platform systems exhibit as first-class features: time, and strategic order. A ratings-agency convergence that emerges over four years is different from one that appears in a snapshot. A regulator's authority over rule-setting is different from a firm's compliance within rules, and temporal precedence does not capture the distinction. We extend the framework along three axes. First, we move from joint distributions to stochastic processes, yielding time-indexed operators $H_k(t), G(i,t), R(i,t), P(i,t)$ with trend, spectral, and discontinuity diagnostics. Second, we introduce a strategic-order graph as a framework input that specifies which actor has authority over which feasible-set modifications, noting that authority structure cannot in general be inferred from behavioral data alone. Third, we introduce a bottleneck typology (spatial, economic, technological, informational, temporal) whose types interact differently with strategic order: technological bottlenecks favor leaders durably, temporal bottlenecks can reverse leader-follower positions at deadlines, informational bottlenecks shift under disclosure events. The composite contribution is action-response topology, in which the framework's intervention and pressure recommendations become posture-conditional. The Reichenbach problem reappears in a dynamic form and is addressed with time-series analogs of the static discrimination strategies. A worked example on Meta's Facebook platform in Myanmar (2012-2017) exercises the full apparatus.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2fmfw5yi7s4w" w:id="2"/>
      <w:bookmarkEnd w:id="2"/>
      <w:r w:rsidDel="00000000" w:rsidR="00000000" w:rsidRPr="00000000">
        <w:rPr>
          <w:rtl w:val="0"/>
        </w:rPr>
        <w:t xml:space="preserve">1. Introduction</w:t>
      </w:r>
    </w:p>
    <w:p w:rsidR="00000000" w:rsidDel="00000000" w:rsidP="00000000" w:rsidRDefault="00000000" w:rsidRPr="00000000" w14:paraId="0000000C">
      <w:pPr>
        <w:rPr/>
      </w:pPr>
      <w:r w:rsidDel="00000000" w:rsidR="00000000" w:rsidRPr="00000000">
        <w:rPr>
          <w:rtl w:val="0"/>
        </w:rPr>
        <w:t xml:space="preserve">The static operators of our detection and response papers assume a joint distribution over agent actions and a fixed causal model. In most systems the framework is designed to analyze, neither assumption holds. Ratings-agency coherence in the 2008 crisis built up over years. Platform engagement-optimization in Myanmar accumulated effects from 2012 through 2017 and passed through a natural-experiment disruption in 2014. Regulatory capture in pharmaceutical approval operates across decades. Treating these as snapshots loses exactly the structure that makes them institutionally distinctive.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Strategic order is a second gap. The constraint-equivalence theorem of the detection paper establishes that an actor modifying a proxy's feasible set has effective control over outcomes. It is silent on a more basic question: which actor has authority to modify which constraints. A regulator writing rules and a firm operating within them are not in a symmetric game that happens to resolve sequentially. Their strategic postures are categorically different. The leader's action space is over $\phi$ (rule modifications); the follower's action space is over $a$ within $\phi$ (compliance choices under fixed rules). The response paper's $G$ operator, defined as marginal sensitivity at a node, does not distinguish these spaces, and the argmax computation silently assumes the wrong posture half the time.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paper closes both gaps. We develop time-indexed operators on a stochastic-process substrate, introduce a strategic-order graph as a framework primitive, and type the bottleneck structure the detection paper treated uniformly. The composite is action-response topology, a refinement of the response paper's recommendations conditional on strategic posture. The worked example uses Meta's Facebook platform in Myanmar from 2012 through 2017, a case in which the platform is the leader on algorithmic constraint, users are followers whose feasible sets are modified without their awareness, civil society activists are structurally constrained warners, and the Myanmar military is a sophisticated exploiter operating within the platform-level constraint structure. Meta's internal research documented the objective mismatch, and the 2014 temporary block by Myanmar authorities provides a natural exogenous shock that the static framework's Reichenbach discrimination machinery specifies exactly.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contribution is not a replacement of the prior papers but an extension. The static operators remain the correct statement for time-averaged or stationary regimes. The dynamic operators are what the analyst reaches for when the phenomenon of interest is structural change rather than structural presence.</w:t>
      </w:r>
    </w:p>
    <w:p w:rsidR="00000000" w:rsidDel="00000000" w:rsidP="00000000" w:rsidRDefault="00000000" w:rsidRPr="00000000" w14:paraId="00000013">
      <w:pPr>
        <w:pStyle w:val="Heading2"/>
        <w:rPr/>
      </w:pPr>
      <w:bookmarkStart w:colFirst="0" w:colLast="0" w:name="_iznhrlsjdyc6" w:id="3"/>
      <w:bookmarkEnd w:id="3"/>
      <w:r w:rsidDel="00000000" w:rsidR="00000000" w:rsidRPr="00000000">
        <w:rPr>
          <w:rtl w:val="0"/>
        </w:rPr>
        <w:t xml:space="preserve">2. Stochastic-Process Setup</w:t>
      </w:r>
    </w:p>
    <w:p w:rsidR="00000000" w:rsidDel="00000000" w:rsidP="00000000" w:rsidRDefault="00000000" w:rsidRPr="00000000" w14:paraId="00000014">
      <w:pPr>
        <w:rPr/>
      </w:pPr>
      <w:r w:rsidDel="00000000" w:rsidR="00000000" w:rsidRPr="00000000">
        <w:rPr>
          <w:rtl w:val="0"/>
        </w:rPr>
        <w:t xml:space="preserve">Let ${a_i(t)}_{i \in \mathcal{A}}$ be the stochastic process of observed agent actions indexed by continuous or discrete time $t$. Let ${\phi_A^{(t)}}$ be the process of constraint maps applied by hidden or visible actors. Let ${A(t)}$ denote the hidden-controller process, possibly vector-valued. We work on a filtered probability space with filtration ${\mathcal{F}_t}$ capturing the analyst's information at time $t$; the processes above are adapted to ${\mathcal{F}_t}$.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joint distribution $P(a_1, \ldots, a_n)$ of the static framework is replaced by the collection of marginal distributions ${P_t}$ at each time, together with the full joint path distribution over ${a_i(t)}$. Operators can be defined on either, and the choice matters. Snapshot operators evaluated at a single $t$ recover the static framework. Path operators integrate over time and capture structural features that are invisible to any single snapshot.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conditioning set $Z$ of the detection paper becomes a time-varying set $Z(t)$. This is not a cosmetic change. A legitimate common cause that is itself trending (aggregate economic conditions, regulatory regime change, technological diffusion) produces false positives in static $H_2$ and false negatives in naive time-differenced $H_2$. The dynamic framework's conditioning machinery must handle non-stationary $Z(t)$ explicitly.</w:t>
      </w:r>
    </w:p>
    <w:p w:rsidR="00000000" w:rsidDel="00000000" w:rsidP="00000000" w:rsidRDefault="00000000" w:rsidRPr="00000000" w14:paraId="00000019">
      <w:pPr>
        <w:pStyle w:val="Heading2"/>
        <w:rPr/>
      </w:pPr>
      <w:bookmarkStart w:colFirst="0" w:colLast="0" w:name="_uod9q3jhnyg8" w:id="4"/>
      <w:bookmarkEnd w:id="4"/>
      <w:r w:rsidDel="00000000" w:rsidR="00000000" w:rsidRPr="00000000">
        <w:rPr>
          <w:rtl w:val="0"/>
        </w:rPr>
        <w:t xml:space="preserve">3. Time-Indexed Operators</w:t>
      </w:r>
    </w:p>
    <w:p w:rsidR="00000000" w:rsidDel="00000000" w:rsidP="00000000" w:rsidRDefault="00000000" w:rsidRPr="00000000" w14:paraId="0000001A">
      <w:pPr>
        <w:pStyle w:val="Heading3"/>
        <w:rPr/>
      </w:pPr>
      <w:bookmarkStart w:colFirst="0" w:colLast="0" w:name="_jn04tcjqamp5" w:id="5"/>
      <w:bookmarkEnd w:id="5"/>
      <w:r w:rsidDel="00000000" w:rsidR="00000000" w:rsidRPr="00000000">
        <w:rPr>
          <w:rtl w:val="0"/>
        </w:rPr>
        <w:t xml:space="preserve">3.1 Residual, Coherence, and Objective at Time $t$</w:t>
      </w:r>
    </w:p>
    <w:p w:rsidR="00000000" w:rsidDel="00000000" w:rsidP="00000000" w:rsidRDefault="00000000" w:rsidRPr="00000000" w14:paraId="0000001B">
      <w:pPr>
        <w:rPr/>
      </w:pPr>
      <w:r w:rsidDel="00000000" w:rsidR="00000000" w:rsidRPr="00000000">
        <w:rPr>
          <w:rtl w:val="0"/>
        </w:rPr>
        <w:t xml:space="preserve">The time-indexed residual is $$H_1(t) = 1 - \sum_{i \in \mathcal{A}(t)} c_i(t),$$ where the agent set $\mathcal{A}(t)$ itself may evolve as actors enter and exit the system. The time-indexed coherence is $$H_2(t) = D_{\text{KL}}!\left(P_t(a_1, \ldots, a_n) ,\middle|, \prod_i P_t(a_i)\right) - D_{\text{KL}}!\left(P_t(a_1, \ldots, a_n \mid Z(t)) ,\middle|, \prod_i P_t(a_i \mid Z(t))\right),$$ which preserves the disjunction structure of the static $H_2$: positivity at time $t$ indicates either hidden shared structure at $t$ or unmodeled legitimate common cause at $t$.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time-indexed objective mismatch is $$H_3(t) = \mathcal{D}(\hat{U}</w:t>
      </w:r>
      <w:r w:rsidDel="00000000" w:rsidR="00000000" w:rsidRPr="00000000">
        <w:rPr>
          <w:i w:val="1"/>
          <w:iCs w:val="1"/>
          <w:rtl w:val="0"/>
        </w:rPr>
        <w:t xml:space="preserve">t, U</w:t>
      </w:r>
      <w:r w:rsidDel="00000000" w:rsidR="00000000" w:rsidRPr="00000000">
        <w:rPr>
          <w:rtl w:val="0"/>
        </w:rPr>
        <w:t xml:space="preserve">{\text{stated}}(t)),$$ where both the inferred effective objective $\hat{U}</w:t>
      </w:r>
      <w:r w:rsidDel="00000000" w:rsidR="00000000" w:rsidRPr="00000000">
        <w:rPr>
          <w:i w:val="1"/>
          <w:iCs w:val="1"/>
          <w:rtl w:val="0"/>
        </w:rPr>
        <w:t xml:space="preserve">t$ and the stated objective $U</w:t>
      </w:r>
      <w:r w:rsidDel="00000000" w:rsidR="00000000" w:rsidRPr="00000000">
        <w:rPr>
          <w:rtl w:val="0"/>
        </w:rPr>
        <w:t xml:space="preserve">{\text{stated}}(t)$ may evolve. The stated objective often updates under public scrutiny or formal policy revision; the effective objective may drift under capture, organizational learning, or shifting incentive structures. The operator's value is informative both in level and in rate of change.</w:t>
      </w:r>
    </w:p>
    <w:p w:rsidR="00000000" w:rsidDel="00000000" w:rsidP="00000000" w:rsidRDefault="00000000" w:rsidRPr="00000000" w14:paraId="0000001E">
      <w:pPr>
        <w:pStyle w:val="Heading3"/>
        <w:rPr/>
      </w:pPr>
      <w:bookmarkStart w:colFirst="0" w:colLast="0" w:name="_54nuilkuy85m" w:id="6"/>
      <w:bookmarkEnd w:id="6"/>
      <w:r w:rsidDel="00000000" w:rsidR="00000000" w:rsidRPr="00000000">
        <w:rPr>
          <w:rtl w:val="0"/>
        </w:rPr>
        <w:t xml:space="preserve">3.2 Trend, Spectral Structure, and Discontinuity</w:t>
      </w:r>
    </w:p>
    <w:p w:rsidR="00000000" w:rsidDel="00000000" w:rsidP="00000000" w:rsidRDefault="00000000" w:rsidRPr="00000000" w14:paraId="0000001F">
      <w:pPr>
        <w:rPr/>
      </w:pPr>
      <w:r w:rsidDel="00000000" w:rsidR="00000000" w:rsidRPr="00000000">
        <w:rPr>
          <w:rtl w:val="0"/>
        </w:rPr>
        <w:t xml:space="preserve">Three derived quantities are diagnostic of distinct structural features.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Trend</w:t>
      </w:r>
      <w:r w:rsidDel="00000000" w:rsidR="00000000" w:rsidRPr="00000000">
        <w:rPr>
          <w:rtl w:val="0"/>
        </w:rPr>
        <w:t xml:space="preserve"> $\partial H_k / \partial t$ identifies regime change. A coherence signal that is low and stable indicates either no hidden structure or a static one that static operators already detect. A coherence signal that is trending upward identifies emerging hidden structure. A trending signal that reverses identifies structural disruption.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Spectral structure</w:t>
      </w:r>
      <w:r w:rsidDel="00000000" w:rsidR="00000000" w:rsidRPr="00000000">
        <w:rPr>
          <w:rtl w:val="0"/>
        </w:rPr>
        <w:t xml:space="preserve"> of $H_k(t)$ separates periodic, monotone, and shock-driven hidden structure. Periodic coherence (business-cycle-linked capture, election-cycle-linked regulatory oscillation) has a different discrimination profile than monotone coherence (accumulating institutional drift) or shock-responsive coherence (structure that activates on triggering events).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Discontinuities</w:t>
      </w:r>
      <w:r w:rsidDel="00000000" w:rsidR="00000000" w:rsidRPr="00000000">
        <w:rPr>
          <w:rtl w:val="0"/>
        </w:rPr>
        <w:t xml:space="preserve"> in $H_k(t)$ at identifiable times provide the cleanest discrimination against non-stationary confounders. A jump in $H_2(t)$ at the date of a regulatory personnel change, a corporate reorganization, or an exogenous policy shock is far more informative than a smooth trend of the same total magnitude, because the discontinuity is difficult to attribute to trending covariates absent an implausibly coincident jump in $Z(t)$.</w:t>
      </w:r>
    </w:p>
    <w:p w:rsidR="00000000" w:rsidDel="00000000" w:rsidP="00000000" w:rsidRDefault="00000000" w:rsidRPr="00000000" w14:paraId="00000026">
      <w:pPr>
        <w:pStyle w:val="Heading3"/>
        <w:rPr/>
      </w:pPr>
      <w:bookmarkStart w:colFirst="0" w:colLast="0" w:name="_hw7mmgjn0dj1" w:id="7"/>
      <w:bookmarkEnd w:id="7"/>
      <w:r w:rsidDel="00000000" w:rsidR="00000000" w:rsidRPr="00000000">
        <w:rPr>
          <w:rtl w:val="0"/>
        </w:rPr>
        <w:t xml:space="preserve">3.3 Operators on Response</w:t>
      </w:r>
    </w:p>
    <w:p w:rsidR="00000000" w:rsidDel="00000000" w:rsidP="00000000" w:rsidRDefault="00000000" w:rsidRPr="00000000" w14:paraId="00000027">
      <w:pPr>
        <w:rPr/>
      </w:pPr>
      <w:r w:rsidDel="00000000" w:rsidR="00000000" w:rsidRPr="00000000">
        <w:rPr>
          <w:rtl w:val="0"/>
        </w:rPr>
        <w:t xml:space="preserve">$G(i,t), R(i,t), P(i,t)$ are defined analogously to the response paper's static operators, with the intervention $\mathcal{I}_i(\delta)$ now evaluated at time $t$ and with the mechanical-reactive decomposition of $R$ now defined against the pre-intervention system state at $t$. The breakpoint threshold $\tau(i, \epsilon, t)$ becomes explicitly time-varying, and tracking $\tau(i, \epsilon, t)$ over time identifies the opening and closing of intervention windows.</w:t>
      </w:r>
    </w:p>
    <w:p w:rsidR="00000000" w:rsidDel="00000000" w:rsidP="00000000" w:rsidRDefault="00000000" w:rsidRPr="00000000" w14:paraId="00000028">
      <w:pPr>
        <w:pStyle w:val="Heading2"/>
        <w:rPr/>
      </w:pPr>
      <w:bookmarkStart w:colFirst="0" w:colLast="0" w:name="_ixxe5hc9wypk" w:id="8"/>
      <w:bookmarkEnd w:id="8"/>
      <w:r w:rsidDel="00000000" w:rsidR="00000000" w:rsidRPr="00000000">
        <w:rPr>
          <w:rtl w:val="0"/>
        </w:rPr>
        <w:t xml:space="preserve">4. Strategic-Order Structure</w:t>
      </w:r>
    </w:p>
    <w:p w:rsidR="00000000" w:rsidDel="00000000" w:rsidP="00000000" w:rsidRDefault="00000000" w:rsidRPr="00000000" w14:paraId="00000029">
      <w:pPr>
        <w:pStyle w:val="Heading3"/>
        <w:rPr/>
      </w:pPr>
      <w:bookmarkStart w:colFirst="0" w:colLast="0" w:name="_u946ibm95028" w:id="9"/>
      <w:bookmarkEnd w:id="9"/>
      <w:r w:rsidDel="00000000" w:rsidR="00000000" w:rsidRPr="00000000">
        <w:rPr>
          <w:rtl w:val="0"/>
        </w:rPr>
        <w:t xml:space="preserve">4.1 Move-Order as Framework Input</w:t>
      </w:r>
    </w:p>
    <w:p w:rsidR="00000000" w:rsidDel="00000000" w:rsidP="00000000" w:rsidRDefault="00000000" w:rsidRPr="00000000" w14:paraId="0000002A">
      <w:pPr>
        <w:rPr/>
      </w:pPr>
      <w:r w:rsidDel="00000000" w:rsidR="00000000" w:rsidRPr="00000000">
        <w:rPr>
          <w:rtl w:val="0"/>
        </w:rPr>
        <w:t xml:space="preserve">The framework takes strategic order as an input, not as something to be inferred from behavior. We state this as a scope decision rather than a modeling convenience: inferring authority structure from behavioral data alone is a harder problem than inferring leadership from temporal precedence, and the framework would have to assume an authority specification anyway to produce useful recommendations.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Define the </w:t>
      </w:r>
      <w:r w:rsidDel="00000000" w:rsidR="00000000" w:rsidRPr="00000000">
        <w:rPr>
          <w:b w:val="1"/>
          <w:bCs w:val="1"/>
          <w:rtl w:val="0"/>
        </w:rPr>
        <w:t xml:space="preserve">strategic-order graph</w:t>
      </w:r>
      <w:r w:rsidDel="00000000" w:rsidR="00000000" w:rsidRPr="00000000">
        <w:rPr>
          <w:rtl w:val="0"/>
        </w:rPr>
        <w:t xml:space="preserve"> $\Gamma$ as a directed graph over pairs $(i, s)$ where $i \in \mathcal{A}$ is an actor and $s \in \mathcal{S}$ is a sub-problem of the system. A directed edge from $(i, s)$ to $(j, s)$ indicates that actor $i$ is leader and actor $j$ is follower on sub-problem $s$. Sub-problems partition or overlap across the system; the same actor pair may have different leader-follower orderings on different sub-problems (a regulator may be leader on rule-setting and follower on enforcement-budget allocation, for example).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Authority specification is sourced from institutional design documents: statutes, corporate charters, contracts, platform terms of service, regulatory delegation agreements. When such documents are contested or under revision, the framework requires the analyst to state which specification is being used and to report operator values under alternative specifications if the contestation is live. This is an extension of the multi-model robustness protocol in the detection paper's revised §8.3.</w:t>
      </w:r>
    </w:p>
    <w:p w:rsidR="00000000" w:rsidDel="00000000" w:rsidP="00000000" w:rsidRDefault="00000000" w:rsidRPr="00000000" w14:paraId="0000002F">
      <w:pPr>
        <w:pStyle w:val="Heading3"/>
        <w:rPr/>
      </w:pPr>
      <w:bookmarkStart w:colFirst="0" w:colLast="0" w:name="_kd9k6lsjz18c" w:id="10"/>
      <w:bookmarkEnd w:id="10"/>
      <w:r w:rsidDel="00000000" w:rsidR="00000000" w:rsidRPr="00000000">
        <w:rPr>
          <w:rtl w:val="0"/>
        </w:rPr>
        <w:t xml:space="preserve">4.2 Leader and Follower Action Spaces</w:t>
      </w:r>
    </w:p>
    <w:p w:rsidR="00000000" w:rsidDel="00000000" w:rsidP="00000000" w:rsidRDefault="00000000" w:rsidRPr="00000000" w14:paraId="00000030">
      <w:pPr>
        <w:rPr/>
      </w:pPr>
      <w:r w:rsidDel="00000000" w:rsidR="00000000" w:rsidRPr="00000000">
        <w:rPr>
          <w:rtl w:val="0"/>
        </w:rPr>
        <w:t xml:space="preserve">For actor $i$ in strategic posture "leader on $s$", the action space is over choices of constraint map $\phi_i^{(s)}$. For actor $i$ in strategic posture "follower on $s$", the action space is over choices of action $a_i \in \phi_s(O_i)$ where $\phi_s$ is set by the leader. These are categorically different spaces, and this distinction is what the extension formalizes.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An actor can occupy different postures on different sub-problems simultaneously. In the Facebook / Myanmar case developed in §9, Meta is leader on algorithmic design, follower on local legal compliance, and a non-participant on Myanmar's domestic political sub-problem. Each posture shapes the operators differently.</w:t>
      </w:r>
    </w:p>
    <w:p w:rsidR="00000000" w:rsidDel="00000000" w:rsidP="00000000" w:rsidRDefault="00000000" w:rsidRPr="00000000" w14:paraId="00000033">
      <w:pPr>
        <w:pStyle w:val="Heading3"/>
        <w:rPr/>
      </w:pPr>
      <w:bookmarkStart w:colFirst="0" w:colLast="0" w:name="_11q3ai4ll3gh" w:id="11"/>
      <w:bookmarkEnd w:id="11"/>
      <w:r w:rsidDel="00000000" w:rsidR="00000000" w:rsidRPr="00000000">
        <w:rPr>
          <w:rtl w:val="0"/>
        </w:rPr>
        <w:t xml:space="preserve">4.3 Structural-Order Inversion</w:t>
      </w:r>
    </w:p>
    <w:p w:rsidR="00000000" w:rsidDel="00000000" w:rsidP="00000000" w:rsidRDefault="00000000" w:rsidRPr="00000000" w14:paraId="00000034">
      <w:pPr>
        <w:rPr/>
      </w:pPr>
      <w:r w:rsidDel="00000000" w:rsidR="00000000" w:rsidRPr="00000000">
        <w:rPr>
          <w:rtl w:val="0"/>
        </w:rPr>
        <w:t xml:space="preserve">A system exhibits </w:t>
      </w:r>
      <w:r w:rsidDel="00000000" w:rsidR="00000000" w:rsidRPr="00000000">
        <w:rPr>
          <w:b w:val="1"/>
          <w:bCs w:val="1"/>
          <w:rtl w:val="0"/>
        </w:rPr>
        <w:t xml:space="preserve">structural-order inversion</w:t>
      </w:r>
      <w:r w:rsidDel="00000000" w:rsidR="00000000" w:rsidRPr="00000000">
        <w:rPr>
          <w:rtl w:val="0"/>
        </w:rPr>
        <w:t xml:space="preserve"> on sub-problem $s$ when the strategic-order graph $\Gamma$ differs from the institutionally-stated authority structure. The stated structure may specify that actor $A$ is the leader (for example, a regulator is nominally the leader on firm oversight), while the operational $\Gamma$ has actor $B$ as the effective leader (for example, an industry-self-regulation program makes the firm the effective leader on certification decisions, with the regulator as follower). Structural-order inversion is not the same as agenda control or regulatory capture, though it is a common mechanism for both.</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Inversion is detectable by comparing the operator values computed under the stated $\Gamma$ against those computed under a contested $\Gamma$. When the contested specification produces a substantially lower $H_3$ residual and a substantially better fit to observed behavior, the contested specification is empirically favored.</w:t>
      </w:r>
    </w:p>
    <w:p w:rsidR="00000000" w:rsidDel="00000000" w:rsidP="00000000" w:rsidRDefault="00000000" w:rsidRPr="00000000" w14:paraId="00000037">
      <w:pPr>
        <w:pStyle w:val="Heading3"/>
        <w:rPr/>
      </w:pPr>
      <w:bookmarkStart w:colFirst="0" w:colLast="0" w:name="_cj3dmfxq8dv8" w:id="12"/>
      <w:bookmarkEnd w:id="12"/>
      <w:r w:rsidDel="00000000" w:rsidR="00000000" w:rsidRPr="00000000">
        <w:rPr>
          <w:rtl w:val="0"/>
        </w:rPr>
        <w:t xml:space="preserve">4.4 Contested Authority and Specification Uncertainty</w:t>
      </w:r>
    </w:p>
    <w:p w:rsidR="00000000" w:rsidDel="00000000" w:rsidP="00000000" w:rsidRDefault="00000000" w:rsidRPr="00000000" w14:paraId="00000038">
      <w:pPr>
        <w:rPr/>
      </w:pPr>
      <w:r w:rsidDel="00000000" w:rsidR="00000000" w:rsidRPr="00000000">
        <w:rPr>
          <w:rtl w:val="0"/>
        </w:rPr>
        <w:t xml:space="preserve">The inputs $\Gamma$ and $\mathcal{S}$ are not always uncontested. Industry self-regulation delegated under a nominally-regulatory program, platform terms of service disputed on conscionability grounds, and corporate authority structures under active litigation all admit multiple defensible specifications. The framework has to propagate this specification uncertainty into operator values rather than silently privilege one reading.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Let ${\Gamma_1, \ldots, \Gamma_m}$ denote a finite set of plausible strategic-order specifications, each grounded in an identifiable source (the institutional design document as written, the design as contested by litigation, the operational realization as documented by investigators, alternative readings under active regulatory proceedings). For each operator $H \in {H_1, H_2, H_3, G, R, P}$ computed on the system, the analyst reports three quantities: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1"/>
        </w:numPr>
        <w:ind w:left="720" w:hanging="360"/>
      </w:pPr>
      <w:r w:rsidDel="00000000" w:rsidR="00000000" w:rsidRPr="00000000">
        <w:rPr>
          <w:b w:val="1"/>
          <w:bCs w:val="1"/>
          <w:rtl w:val="0"/>
        </w:rPr>
        <w:t xml:space="preserve">Specification-stable signal:</w:t>
      </w:r>
      <w:r w:rsidDel="00000000" w:rsidR="00000000" w:rsidRPr="00000000">
        <w:rPr>
          <w:rtl w:val="0"/>
        </w:rPr>
        <w:t xml:space="preserve"> $$\text{Stable}</w:t>
      </w:r>
      <w:r w:rsidDel="00000000" w:rsidR="00000000" w:rsidRPr="00000000">
        <w:rPr>
          <w:i w:val="1"/>
          <w:iCs w:val="1"/>
          <w:rtl w:val="0"/>
        </w:rPr>
        <w:t xml:space="preserve">\tau(H) = \bigcap</w:t>
      </w:r>
      <w:r w:rsidDel="00000000" w:rsidR="00000000" w:rsidRPr="00000000">
        <w:rPr>
          <w:rtl w:val="0"/>
        </w:rPr>
        <w:t xml:space="preserve">{j=1}^{m} {H(\Gamma_j) &gt; \tau},$$ the set of conclusions that hold at threshold $\tau$ under every plausible specification.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b w:val="1"/>
          <w:bCs w:val="1"/>
          <w:rtl w:val="0"/>
        </w:rPr>
        <w:t xml:space="preserve">Specification sensitivity:</w:t>
      </w:r>
      <w:r w:rsidDel="00000000" w:rsidR="00000000" w:rsidRPr="00000000">
        <w:rPr>
          <w:rtl w:val="0"/>
        </w:rPr>
        <w:t xml:space="preserve"> $$\text{Sens}(H) = \text{Var}_{j}\left[H(\Gamma_j)\right],$$ the variance of the operator across the specification set.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0">
      <w:pPr>
        <w:numPr>
          <w:ilvl w:val="0"/>
          <w:numId w:val="1"/>
        </w:numPr>
        <w:ind w:left="720" w:hanging="360"/>
      </w:pPr>
      <w:r w:rsidDel="00000000" w:rsidR="00000000" w:rsidRPr="00000000">
        <w:rPr>
          <w:b w:val="1"/>
          <w:bCs w:val="1"/>
          <w:rtl w:val="0"/>
        </w:rPr>
        <w:t xml:space="preserve">Specification-conditional recommendation:</w:t>
      </w:r>
      <w:r w:rsidDel="00000000" w:rsidR="00000000" w:rsidRPr="00000000">
        <w:rPr>
          <w:rtl w:val="0"/>
        </w:rPr>
        <w:t xml:space="preserve"> for each $\Gamma_j$, the intervention argmax under §6.2 computed under that specification.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Conclusions that survive every $\Gamma_j$ are the framework's specification-robust output. Conclusions that depend on specification choice are flagged as contested and the sensitivity is reported alongside. The last item is the practically important one: specification-conditional recommendations let the analyst state to a decisionmaker, "if the authority structure is $\Gamma_a$ then intervene on node $i$; if it is $\Gamma_b$ intervene on node $j$; if the evidence is consistent with both, both should be on the table pending resolution of which specification is correct".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This protocol does not resolve contested authority. That resolution is a legal or institutional question prior to the framework's analysis. What the protocol does is prevent the framework from papering over contestation by silently adopting one specification, and give the analyst a disciplined way to report what is known versus what depends on an unresolved authority question. The Facebook-Myanmar case developed in §9 is treated as having uncontested $\Gamma$ on algorithmic design, but the broader question of whether platform terms of service constitute uncontested authority given the scale of documented harm is a live contestation that would enter the protocol if the framework were applied to the current litigation posture.</w:t>
      </w:r>
    </w:p>
    <w:p w:rsidR="00000000" w:rsidDel="00000000" w:rsidP="00000000" w:rsidRDefault="00000000" w:rsidRPr="00000000" w14:paraId="00000045">
      <w:pPr>
        <w:pStyle w:val="Heading2"/>
        <w:rPr/>
      </w:pPr>
      <w:bookmarkStart w:colFirst="0" w:colLast="0" w:name="_y30r2gr2xqy2" w:id="13"/>
      <w:bookmarkEnd w:id="13"/>
      <w:r w:rsidDel="00000000" w:rsidR="00000000" w:rsidRPr="00000000">
        <w:rPr>
          <w:rtl w:val="0"/>
        </w:rPr>
        <w:t xml:space="preserve">5. Bottleneck Typing</w:t>
      </w:r>
    </w:p>
    <w:p w:rsidR="00000000" w:rsidDel="00000000" w:rsidP="00000000" w:rsidRDefault="00000000" w:rsidRPr="00000000" w14:paraId="00000046">
      <w:pPr>
        <w:rPr/>
      </w:pPr>
      <w:r w:rsidDel="00000000" w:rsidR="00000000" w:rsidRPr="00000000">
        <w:rPr>
          <w:rtl w:val="0"/>
        </w:rPr>
        <w:t xml:space="preserve">The detection paper treats bottlenecks as structurally uniform, defined by disconnection properties of the causal graph. In real systems bottlenecks are typed, and the type interacts with strategic order to produce distinctive dynamics. We identify five types.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Spatial bottlenecks</w:t>
      </w:r>
      <w:r w:rsidDel="00000000" w:rsidR="00000000" w:rsidRPr="00000000">
        <w:rPr>
          <w:rtl w:val="0"/>
        </w:rPr>
        <w:t xml:space="preserve"> are points of physical or network connectivity whose removal disconnects the system. Examples include map chokepoints in strategic games, single-point-of-failure infrastructure, and topology-critical nodes in routing networks. Spatial bottlenecks are typically static under fixed system design, though they can be engineered or relieved through redesign.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Economic bottlenecks</w:t>
      </w:r>
      <w:r w:rsidDel="00000000" w:rsidR="00000000" w:rsidRPr="00000000">
        <w:rPr>
          <w:rtl w:val="0"/>
        </w:rPr>
        <w:t xml:space="preserve"> are points of capital, revenue, or liquidity concentration. Examples include the sale-leaseback rent structure in distressed healthcare systems, repo market liquidity windows, and ratings agencies' issuer-pays revenue dependence. Economic bottlenecks compound over time: a revenue dependence that is marginal at year one can become dominant at year ten through accumulated commitment.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Technological bottlenecks</w:t>
      </w:r>
      <w:r w:rsidDel="00000000" w:rsidR="00000000" w:rsidRPr="00000000">
        <w:rPr>
          <w:rtl w:val="0"/>
        </w:rPr>
        <w:t xml:space="preserve"> are points of tech-tree or capability concentration. Examples include the Boeing 737 MAX MCAS system (a single-point-of-failure activated by a single angle-of-attack sensor), securitization infrastructure, and platform recommendation systems. Technological bottlenecks are durable: once built, they favor the designer as structural leader for as long as the technology is in service.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Informational bottlenecks</w:t>
      </w:r>
      <w:r w:rsidDel="00000000" w:rsidR="00000000" w:rsidRPr="00000000">
        <w:rPr>
          <w:rtl w:val="0"/>
        </w:rPr>
        <w:t xml:space="preserve"> are points of knowledge asymmetry. Examples include pilot training materials that omit critical system documentation, non-disclosure of lease structure to REIT investors, and fog-of-war constraints on adversary action-space awareness. Informational bottlenecks are dynamic under disclosure events and can collapse rapidly when whistleblowers, leaks, or regulatory disclosure regimes change.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Temporal bottlenecks</w:t>
      </w:r>
      <w:r w:rsidDel="00000000" w:rsidR="00000000" w:rsidRPr="00000000">
        <w:rPr>
          <w:rtl w:val="0"/>
        </w:rPr>
        <w:t xml:space="preserve"> are deadlines or windows that constrain the feasibility space for all actors. Examples include certification timelines under competitive pressure, PE-sponsor exit deadlines, and patch-window vulnerabilities in software systems. Temporal bottlenecks can reverse strategic-order positions at the deadline: the actor with time pressure becomes structurally constrained relative to the actor who holds optionality.</w:t>
      </w:r>
    </w:p>
    <w:p w:rsidR="00000000" w:rsidDel="00000000" w:rsidP="00000000" w:rsidRDefault="00000000" w:rsidRPr="00000000" w14:paraId="00000051">
      <w:pPr>
        <w:pStyle w:val="Heading3"/>
        <w:rPr/>
      </w:pPr>
      <w:bookmarkStart w:colFirst="0" w:colLast="0" w:name="_z590buht1sa7" w:id="14"/>
      <w:bookmarkEnd w:id="14"/>
      <w:r w:rsidDel="00000000" w:rsidR="00000000" w:rsidRPr="00000000">
        <w:rPr>
          <w:rtl w:val="0"/>
        </w:rPr>
        <w:t xml:space="preserve">5.1 Why Typing Matters: Operator Profiles by Type</w:t>
      </w:r>
    </w:p>
    <w:p w:rsidR="00000000" w:rsidDel="00000000" w:rsidP="00000000" w:rsidRDefault="00000000" w:rsidRPr="00000000" w14:paraId="00000052">
      <w:pPr>
        <w:rPr/>
      </w:pPr>
      <w:r w:rsidDel="00000000" w:rsidR="00000000" w:rsidRPr="00000000">
        <w:rPr>
          <w:rtl w:val="0"/>
        </w:rPr>
        <w:t xml:space="preserve">The types are not cosmetic. Each produces a distinct $G(i, t)$ and $\tau(i, \epsilon, t)$ profile, and ignoring the typing means reading off a uniform operator and missing the temporal profile that determines whether intervention is feasible.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b w:val="1"/>
                <w:bCs w:val="1"/>
              </w:rPr>
            </w:pPr>
            <w:r w:rsidDel="00000000" w:rsidR="00000000" w:rsidRPr="00000000">
              <w:rPr>
                <w:b w:val="1"/>
                <w:bCs w:val="1"/>
                <w:rtl w:val="0"/>
              </w:rPr>
              <w:t xml:space="preserve">$G(i,t)$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b w:val="1"/>
                <w:bCs w:val="1"/>
              </w:rPr>
            </w:pPr>
            <w:r w:rsidDel="00000000" w:rsidR="00000000" w:rsidRPr="00000000">
              <w:rPr>
                <w:b w:val="1"/>
                <w:bCs w:val="1"/>
                <w:rtl w:val="0"/>
              </w:rPr>
              <w:t xml:space="preserve">$\tau(i,\epsilon,t)$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b w:val="1"/>
                <w:bCs w:val="1"/>
              </w:rPr>
            </w:pPr>
            <w:r w:rsidDel="00000000" w:rsidR="00000000" w:rsidRPr="00000000">
              <w:rPr>
                <w:b w:val="1"/>
                <w:bCs w:val="1"/>
                <w:rtl w:val="0"/>
              </w:rPr>
              <w:t xml:space="preserve">Strategic-order coupling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Spatial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High and persistent at topology-critical nodes; shifts only under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Stable; determined by system architecture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Weakly coupled; favors neither posture intrinsically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tl w:val="0"/>
              </w:rPr>
              <w:t xml:space="preserve">Economic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Accumulates over time; early intervention high-leverage, late intervention low as commitments compound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tl w:val="0"/>
              </w:rPr>
              <w:t xml:space="preserve">Decreasing as commitments accumulate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Favors whichever actor sets the commitment structure (usually leader)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Technological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High at designer node, persistent while technology in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Stable high; moves only with redesign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Strongly favors leader durably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Informational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Near-zero under concealment, sharply discontinuous at disclosure 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Drops discontinuously at disclosure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Favors whoever controls disclosure regime; reverses on leak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Grows toward deadline, collapses at or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Decreases sharply approaching deadline, undefined after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Inverts at deadline: actor with time pressure becomes constrained</w:t>
            </w:r>
          </w:p>
        </w:tc>
      </w:tr>
    </w:tbl>
    <w:p w:rsidR="00000000" w:rsidDel="00000000" w:rsidP="00000000" w:rsidRDefault="00000000" w:rsidRPr="00000000" w14:paraId="0000006C">
      <w:pPr>
        <w:pStyle w:val="Heading3"/>
        <w:rPr/>
      </w:pPr>
      <w:bookmarkStart w:colFirst="0" w:colLast="0" w:name="_3kds4t3v0p28" w:id="15"/>
      <w:bookmarkEnd w:id="15"/>
      <w:r w:rsidDel="00000000" w:rsidR="00000000" w:rsidRPr="00000000">
        <w:rPr>
          <w:rtl w:val="0"/>
        </w:rPr>
        <w:t xml:space="preserve">5.2 Composite Bottlenecks</w:t>
      </w:r>
    </w:p>
    <w:p w:rsidR="00000000" w:rsidDel="00000000" w:rsidP="00000000" w:rsidRDefault="00000000" w:rsidRPr="00000000" w14:paraId="0000006D">
      <w:pPr>
        <w:rPr/>
      </w:pPr>
      <w:r w:rsidDel="00000000" w:rsidR="00000000" w:rsidRPr="00000000">
        <w:rPr>
          <w:rtl w:val="0"/>
        </w:rPr>
        <w:t xml:space="preserve">Most real bottlenecks are composite. The MCAS subsystem in the Boeing 737 MAX is technological (single-point-of-failure hardware) </w:t>
      </w:r>
      <w:r w:rsidDel="00000000" w:rsidR="00000000" w:rsidRPr="00000000">
        <w:rPr>
          <w:i w:val="1"/>
          <w:iCs w:val="1"/>
          <w:rtl w:val="0"/>
        </w:rPr>
        <w:t xml:space="preserve">and</w:t>
      </w:r>
      <w:r w:rsidDel="00000000" w:rsidR="00000000" w:rsidRPr="00000000">
        <w:rPr>
          <w:rtl w:val="0"/>
        </w:rPr>
        <w:t xml:space="preserve"> informational (pilot training materials omitted the subsystem). The sale-leaseback rent structure in distressed healthcare systems is economic (compounding liability) </w:t>
      </w:r>
      <w:r w:rsidDel="00000000" w:rsidR="00000000" w:rsidRPr="00000000">
        <w:rPr>
          <w:i w:val="1"/>
          <w:iCs w:val="1"/>
          <w:rtl w:val="0"/>
        </w:rPr>
        <w:t xml:space="preserve">and</w:t>
      </w:r>
      <w:r w:rsidDel="00000000" w:rsidR="00000000" w:rsidRPr="00000000">
        <w:rPr>
          <w:rtl w:val="0"/>
        </w:rPr>
        <w:t xml:space="preserve"> temporal (PE-sponsor exit deadlines). Platform recommendation algorithms are technological (designed artifact) </w:t>
      </w:r>
      <w:r w:rsidDel="00000000" w:rsidR="00000000" w:rsidRPr="00000000">
        <w:rPr>
          <w:i w:val="1"/>
          <w:iCs w:val="1"/>
          <w:rtl w:val="0"/>
        </w:rPr>
        <w:t xml:space="preserve">and</w:t>
      </w:r>
      <w:r w:rsidDel="00000000" w:rsidR="00000000" w:rsidRPr="00000000">
        <w:rPr>
          <w:rtl w:val="0"/>
        </w:rPr>
        <w:t xml:space="preserve"> informational (users unaware of constraint structure).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Composite bottlenecks inherit the operator profile of whichever component type is currently binding. A technological-and-informational bottleneck behaves technologically under concealment and transitions to informational behavior at a disclosure event, at which point $G$ can jump discontinuously and the intervention window reopens. A technological-and-temporal bottleneck is durable until the deadline and loses leverage thereafter. An economic-and-temporal bottleneck compounds toward a catastrophic deadline and is the pattern most often associated with institutional collapse under capital-structure stress.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 framework's operational rule is that the analyst identifies the component types present and tracks the binding component over time. When binding components shift (disclosure event, deadline approach, redesign completion), the expected operator profile shifts and the framework's intervention recommendation shifts with it. Ignoring composition means silently applying one type's profile to a system governed by another, which is a more common failure mode than ignoring typing altogether.</w:t>
      </w:r>
    </w:p>
    <w:p w:rsidR="00000000" w:rsidDel="00000000" w:rsidP="00000000" w:rsidRDefault="00000000" w:rsidRPr="00000000" w14:paraId="00000072">
      <w:pPr>
        <w:pStyle w:val="Heading2"/>
        <w:rPr/>
      </w:pPr>
      <w:bookmarkStart w:colFirst="0" w:colLast="0" w:name="_hr6yzgwfreui" w:id="16"/>
      <w:bookmarkEnd w:id="16"/>
      <w:r w:rsidDel="00000000" w:rsidR="00000000" w:rsidRPr="00000000">
        <w:rPr>
          <w:rtl w:val="0"/>
        </w:rPr>
        <w:t xml:space="preserve">6. Action-Response Topology</w:t>
      </w:r>
    </w:p>
    <w:p w:rsidR="00000000" w:rsidDel="00000000" w:rsidP="00000000" w:rsidRDefault="00000000" w:rsidRPr="00000000" w14:paraId="00000073">
      <w:pPr>
        <w:pStyle w:val="Heading3"/>
        <w:rPr/>
      </w:pPr>
      <w:bookmarkStart w:colFirst="0" w:colLast="0" w:name="_ais09vut0daj" w:id="17"/>
      <w:bookmarkEnd w:id="17"/>
      <w:r w:rsidDel="00000000" w:rsidR="00000000" w:rsidRPr="00000000">
        <w:rPr>
          <w:rtl w:val="0"/>
        </w:rPr>
        <w:t xml:space="preserve">6.1 Posture-Conditional Operators</w:t>
      </w:r>
    </w:p>
    <w:p w:rsidR="00000000" w:rsidDel="00000000" w:rsidP="00000000" w:rsidRDefault="00000000" w:rsidRPr="00000000" w14:paraId="00000074">
      <w:pPr>
        <w:rPr/>
      </w:pPr>
      <w:r w:rsidDel="00000000" w:rsidR="00000000" w:rsidRPr="00000000">
        <w:rPr>
          <w:rtl w:val="0"/>
        </w:rPr>
        <w:t xml:space="preserve">Combining §4 and §5, the response paper's $G(i)$ and $P(i)$ decompose by strategic posture. For actor $i$ as leader on sub-problem $s$, $$G^{\text{lead}}(i, s, t) = \left.\frac{\partial}{\partial \delta} \mathbb{E}[U_s \mid \mathcal{I}</w:t>
      </w:r>
      <w:r w:rsidDel="00000000" w:rsidR="00000000" w:rsidRPr="00000000">
        <w:rPr>
          <w:i w:val="1"/>
          <w:iCs w:val="1"/>
          <w:rtl w:val="0"/>
        </w:rPr>
        <w:t xml:space="preserve">{\phi_i^{(s)}}(\delta)]\right|</w:t>
      </w:r>
      <w:r w:rsidDel="00000000" w:rsidR="00000000" w:rsidRPr="00000000">
        <w:rPr>
          <w:rtl w:val="0"/>
        </w:rPr>
        <w:t xml:space="preserve">{\delta=0}$$ measures the marginal sensitivity of the objective to the leader's modification of the constraint map. For actor $i$ as follower on sub-problem $s$, $$G^{\text{foll}}(i, s, t) = \left.\frac{\partial}{\partial \delta} \mathbb{E}[U_s \mid \mathcal{I}</w:t>
      </w:r>
      <w:r w:rsidDel="00000000" w:rsidR="00000000" w:rsidRPr="00000000">
        <w:rPr>
          <w:i w:val="1"/>
          <w:iCs w:val="1"/>
          <w:rtl w:val="0"/>
        </w:rPr>
        <w:t xml:space="preserve">{a_i}(\delta)]\right|</w:t>
      </w:r>
      <w:r w:rsidDel="00000000" w:rsidR="00000000" w:rsidRPr="00000000">
        <w:rPr>
          <w:rtl w:val="0"/>
        </w:rPr>
        <w:t xml:space="preserve">{\delta=0}$$ measures marginal sensitivity to the follower's action within the fixed constraint map.</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These are generally unequal, often by orders of magnitude. An intervention recommendation that optimizes $G^{\text{foll}}$ when the effective leverage sits at $G^{\text{lead}}$ is a structurally mistaken recommendation.</w:t>
      </w:r>
    </w:p>
    <w:p w:rsidR="00000000" w:rsidDel="00000000" w:rsidP="00000000" w:rsidRDefault="00000000" w:rsidRPr="00000000" w14:paraId="00000077">
      <w:pPr>
        <w:pStyle w:val="Heading3"/>
        <w:rPr/>
      </w:pPr>
      <w:bookmarkStart w:colFirst="0" w:colLast="0" w:name="_anwslhrqz3bv" w:id="18"/>
      <w:bookmarkEnd w:id="18"/>
      <w:r w:rsidDel="00000000" w:rsidR="00000000" w:rsidRPr="00000000">
        <w:rPr>
          <w:rtl w:val="0"/>
        </w:rPr>
        <w:t xml:space="preserve">6.2 Pressure Localization Revised</w:t>
      </w:r>
    </w:p>
    <w:p w:rsidR="00000000" w:rsidDel="00000000" w:rsidP="00000000" w:rsidRDefault="00000000" w:rsidRPr="00000000" w14:paraId="00000078">
      <w:pPr>
        <w:rPr/>
      </w:pPr>
      <w:r w:rsidDel="00000000" w:rsidR="00000000" w:rsidRPr="00000000">
        <w:rPr>
          <w:rtl w:val="0"/>
        </w:rPr>
        <w:t xml:space="preserve">The response paper's Proposition 1 is restated as a pair of posture-conditional argmaxes: $$\arg\max_{(i,s) \in \text{lead}} \frac{G_{\hat{U}}^{\text{lead}}(i, s, t) \cdot \kappa(i, s, t)}{C'</w:t>
      </w:r>
      <w:r w:rsidDel="00000000" w:rsidR="00000000" w:rsidRPr="00000000">
        <w:rPr>
          <w:i w:val="1"/>
          <w:iCs w:val="1"/>
          <w:rtl w:val="0"/>
        </w:rPr>
        <w:t xml:space="preserve">{\text{lead}}(i, s)}, \qquad \arg\max</w:t>
      </w:r>
      <w:r w:rsidDel="00000000" w:rsidR="00000000" w:rsidRPr="00000000">
        <w:rPr>
          <w:rtl w:val="0"/>
        </w:rPr>
        <w:t xml:space="preserve">{(i,s) \in \text{foll}} \frac{G_{\hat{U}}^{\text{foll}}(i, s, t) \cdot \kappa(i, s, t)}{C'_{\text{foll}}(i, s)},$$ with bottleneck centrality $\kappa$ now itself posture-conditional because which nodes are central depends on whether the action space is over constraint maps or over actions within them. The dual argmax is the framework's refined predictive content: pressure concentrates differently on the leader and follower sides, and observed concentration provides a falsifiable test of both the cost-minimization premise (from the response paper) and the strategic-order specification $\Gamma$.</w:t>
      </w:r>
    </w:p>
    <w:p w:rsidR="00000000" w:rsidDel="00000000" w:rsidP="00000000" w:rsidRDefault="00000000" w:rsidRPr="00000000" w14:paraId="00000079">
      <w:pPr>
        <w:pStyle w:val="Heading2"/>
        <w:rPr/>
      </w:pPr>
      <w:bookmarkStart w:colFirst="0" w:colLast="0" w:name="_oqpbypnun8cb" w:id="19"/>
      <w:bookmarkEnd w:id="19"/>
      <w:r w:rsidDel="00000000" w:rsidR="00000000" w:rsidRPr="00000000">
        <w:rPr>
          <w:rtl w:val="0"/>
        </w:rPr>
        <w:t xml:space="preserve">7. Predictive Response Models</w:t>
      </w:r>
    </w:p>
    <w:p w:rsidR="00000000" w:rsidDel="00000000" w:rsidP="00000000" w:rsidRDefault="00000000" w:rsidRPr="00000000" w14:paraId="0000007A">
      <w:pPr>
        <w:rPr/>
      </w:pPr>
      <w:r w:rsidDel="00000000" w:rsidR="00000000" w:rsidRPr="00000000">
        <w:rPr>
          <w:rtl w:val="0"/>
        </w:rPr>
        <w:t xml:space="preserve">When the framework is used to predict the system's reactive response rather than merely diagnose it, three regime assumptions are available.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Stackelberg regime.</w:t>
      </w:r>
      <w:r w:rsidDel="00000000" w:rsidR="00000000" w:rsidRPr="00000000">
        <w:rPr>
          <w:rtl w:val="0"/>
        </w:rPr>
        <w:t xml:space="preserve"> The leader anticipates the follower's best response and optimizes over that response. Appropriate when authority is clear, the leader is strategically sophisticated, and commitments are observable. Gives the tightest predictions.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Nash regime.</w:t>
      </w:r>
      <w:r w:rsidDel="00000000" w:rsidR="00000000" w:rsidRPr="00000000">
        <w:rPr>
          <w:rtl w:val="0"/>
        </w:rPr>
        <w:t xml:space="preserve"> Leader and follower act simultaneously without anticipation. Appropriate when the authority structure is contested, communication is limited, or the time horizon is too short for anticipation. Weaker predictions but fewer identifying assumptions.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Adaptive regime.</w:t>
      </w:r>
      <w:r w:rsidDel="00000000" w:rsidR="00000000" w:rsidRPr="00000000">
        <w:rPr>
          <w:rtl w:val="0"/>
        </w:rPr>
        <w:t xml:space="preserve"> Agents use no-regret learning or other adaptive procedures without strategic sophistication. Appropriate for large populations, short decision windows, or systems where strategic reasoning is implausible.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Regime choice is an empirical question. Observed response patterns discriminate: a system whose responses tightly track Stackelberg predictions provides evidence for leader-anticipation; a system whose responses fluctuate around simultaneous-game equilibria favors the Nash regime; and systems with learning-curve features favor the adaptive regime. The framework treats regime as a second-order specification to be adjudicated by data alongside the strategic-order graph itself.</w:t>
      </w:r>
    </w:p>
    <w:p w:rsidR="00000000" w:rsidDel="00000000" w:rsidP="00000000" w:rsidRDefault="00000000" w:rsidRPr="00000000" w14:paraId="00000083">
      <w:pPr>
        <w:pStyle w:val="Heading2"/>
        <w:rPr/>
      </w:pPr>
      <w:bookmarkStart w:colFirst="0" w:colLast="0" w:name="_n8nkyje538r4" w:id="20"/>
      <w:bookmarkEnd w:id="20"/>
      <w:r w:rsidDel="00000000" w:rsidR="00000000" w:rsidRPr="00000000">
        <w:rPr>
          <w:rtl w:val="0"/>
        </w:rPr>
        <w:t xml:space="preserve">8. The Dynamic Reichenbach Problem</w:t>
      </w:r>
    </w:p>
    <w:p w:rsidR="00000000" w:rsidDel="00000000" w:rsidP="00000000" w:rsidRDefault="00000000" w:rsidRPr="00000000" w14:paraId="00000084">
      <w:pPr>
        <w:pStyle w:val="Heading3"/>
        <w:rPr/>
      </w:pPr>
      <w:bookmarkStart w:colFirst="0" w:colLast="0" w:name="_on54dvxiajwa" w:id="21"/>
      <w:bookmarkEnd w:id="21"/>
      <w:r w:rsidDel="00000000" w:rsidR="00000000" w:rsidRPr="00000000">
        <w:rPr>
          <w:rtl w:val="0"/>
        </w:rPr>
        <w:t xml:space="preserve">8.1 New Discrimination Challenges</w:t>
      </w:r>
    </w:p>
    <w:p w:rsidR="00000000" w:rsidDel="00000000" w:rsidP="00000000" w:rsidRDefault="00000000" w:rsidRPr="00000000" w14:paraId="00000085">
      <w:pPr>
        <w:rPr/>
      </w:pPr>
      <w:r w:rsidDel="00000000" w:rsidR="00000000" w:rsidRPr="00000000">
        <w:rPr>
          <w:rtl w:val="0"/>
        </w:rPr>
        <w:t xml:space="preserve">Static Reichenbach discrimination asks: is observed coherence due to direct causation, shared environment, or shared hidden structure? The dynamic framework adds: is observed </w:t>
      </w:r>
      <w:r w:rsidDel="00000000" w:rsidR="00000000" w:rsidRPr="00000000">
        <w:rPr>
          <w:i w:val="1"/>
          <w:iCs w:val="1"/>
          <w:rtl w:val="0"/>
        </w:rPr>
        <w:t xml:space="preserve">trend</w:t>
      </w:r>
      <w:r w:rsidDel="00000000" w:rsidR="00000000" w:rsidRPr="00000000">
        <w:rPr>
          <w:rtl w:val="0"/>
        </w:rPr>
        <w:t xml:space="preserve"> in coherence due to trending hidden structure, trending $Z(t)$, or trending measurement artifact?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Each of these has a time-series analog of a static confounder. Trending $Z(t)$ is a non-stationarity confounder: a legitimate common cause that itself changes over time can induce a trend in $H_2(t)$ that has nothing to do with hidden structure. Trending measurement is an observation-regime confounder: improvements in data quality, changes in reporting standards, or shifts in what is publicly disclosed can induce trends in all operators simultaneously.</w:t>
      </w:r>
    </w:p>
    <w:p w:rsidR="00000000" w:rsidDel="00000000" w:rsidP="00000000" w:rsidRDefault="00000000" w:rsidRPr="00000000" w14:paraId="00000088">
      <w:pPr>
        <w:pStyle w:val="Heading3"/>
        <w:rPr/>
      </w:pPr>
      <w:bookmarkStart w:colFirst="0" w:colLast="0" w:name="_oix5t58ykdht" w:id="22"/>
      <w:bookmarkEnd w:id="22"/>
      <w:r w:rsidDel="00000000" w:rsidR="00000000" w:rsidRPr="00000000">
        <w:rPr>
          <w:rtl w:val="0"/>
        </w:rPr>
        <w:t xml:space="preserve">8.2 Discrimination Strategies</w:t>
      </w:r>
    </w:p>
    <w:p w:rsidR="00000000" w:rsidDel="00000000" w:rsidP="00000000" w:rsidRDefault="00000000" w:rsidRPr="00000000" w14:paraId="00000089">
      <w:pPr>
        <w:rPr/>
      </w:pPr>
      <w:r w:rsidDel="00000000" w:rsidR="00000000" w:rsidRPr="00000000">
        <w:rPr>
          <w:rtl w:val="0"/>
        </w:rPr>
        <w:t xml:space="preserve">The static strategies of the detection paper's §7 have time-series analogs.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Conditioning on observed non-stationary covariates.</w:t>
      </w:r>
      <w:r w:rsidDel="00000000" w:rsidR="00000000" w:rsidRPr="00000000">
        <w:rPr>
          <w:rtl w:val="0"/>
        </w:rPr>
        <w:t xml:space="preserve"> The dynamic analog of conditioning on $Z$ is conditioning on $Z(t)$ with explicit treatment of its time-variation. Standard tools from the non-stationary time-series literature apply: cointegration tests, structural-VAR decomposition, difference-stationary versus trend-stationary discrimination.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Temporal precedence with time-resolved data.</w:t>
      </w:r>
      <w:r w:rsidDel="00000000" w:rsidR="00000000" w:rsidRPr="00000000">
        <w:rPr>
          <w:rtl w:val="0"/>
        </w:rPr>
        <w:t xml:space="preserve"> Granger-causality and its extensions discriminate direct causation from common-cause structure when high-resolution timestamps are available. Fails when the shared signal arrives simultaneously at all proxies.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Exogenous shocks as natural experiments.</w:t>
      </w:r>
      <w:r w:rsidDel="00000000" w:rsidR="00000000" w:rsidRPr="00000000">
        <w:rPr>
          <w:rtl w:val="0"/>
        </w:rPr>
        <w:t xml:space="preserve"> The most powerful strategy for the dynamic framework. A shock $E$ at time $t_E$ that differentially affects the hypothesized hidden controller versus the modeled legitimate common causes produces a discontinuity in $H_k(t)$ at $t_E$ whose magnitude and sign are predicted by the shock's differential effect. A hidden-controller hypothesis that predicts a specific discontinuity and fits the observed one is supported by a Bayes factor proportional to the differential effect sizes, as in the static case. The worked example in §9 exploits exactly this structure at the 2014 Mandalay block.</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Structural break tests.</w:t>
      </w:r>
      <w:r w:rsidDel="00000000" w:rsidR="00000000" w:rsidRPr="00000000">
        <w:rPr>
          <w:rtl w:val="0"/>
        </w:rPr>
        <w:t xml:space="preserve"> When the hypothesized hidden structure has a known or hypothesized regime-change date (personnel turnover, policy change, technological deployment), structural break tests on $H_k(t)$ evaluate whether the break is present at the hypothesized date with the hypothesized magnitude. Chow tests, CUSUM, and Bai-Perron multiple-break procedures are the standard tools.</w:t>
      </w:r>
    </w:p>
    <w:p w:rsidR="00000000" w:rsidDel="00000000" w:rsidP="00000000" w:rsidRDefault="00000000" w:rsidRPr="00000000" w14:paraId="00000092">
      <w:pPr>
        <w:pStyle w:val="Heading2"/>
        <w:rPr/>
      </w:pPr>
      <w:bookmarkStart w:colFirst="0" w:colLast="0" w:name="_7aqgkvfwsumf" w:id="23"/>
      <w:bookmarkEnd w:id="23"/>
      <w:r w:rsidDel="00000000" w:rsidR="00000000" w:rsidRPr="00000000">
        <w:rPr>
          <w:rtl w:val="0"/>
        </w:rPr>
        <w:t xml:space="preserve">9. Worked Example: Meta, Facebook, and Myanmar, 2012-2017</w:t>
      </w:r>
    </w:p>
    <w:p w:rsidR="00000000" w:rsidDel="00000000" w:rsidP="00000000" w:rsidRDefault="00000000" w:rsidRPr="00000000" w14:paraId="00000093">
      <w:pPr>
        <w:rPr/>
      </w:pPr>
      <w:r w:rsidDel="00000000" w:rsidR="00000000" w:rsidRPr="00000000">
        <w:rPr>
          <w:rtl w:val="0"/>
        </w:rPr>
        <w:t xml:space="preserve">We apply the framework to Meta's Facebook platform in Myanmar from 2012 through 2017. The case is chosen not to re-litigate events or adjudicate culpability, which appropriately remain the province of courts and investigative bodies, but to demonstrate that every theorem in the framework suite has a clean data instantiation in a single case outside the financial sector. The analysis is structural; it does not name individual actors as legally responsible and does not claim to independently establish findings that investigative bodies have reached through their own methods.</w:t>
      </w:r>
    </w:p>
    <w:p w:rsidR="00000000" w:rsidDel="00000000" w:rsidP="00000000" w:rsidRDefault="00000000" w:rsidRPr="00000000" w14:paraId="00000094">
      <w:pPr>
        <w:pStyle w:val="Heading3"/>
        <w:rPr/>
      </w:pPr>
      <w:bookmarkStart w:colFirst="0" w:colLast="0" w:name="_gffuvabz9odn" w:id="24"/>
      <w:bookmarkEnd w:id="24"/>
      <w:r w:rsidDel="00000000" w:rsidR="00000000" w:rsidRPr="00000000">
        <w:rPr>
          <w:rtl w:val="0"/>
        </w:rPr>
        <w:t xml:space="preserve">9.1 System, Agents, and Strategic Order</w:t>
      </w:r>
    </w:p>
    <w:p w:rsidR="00000000" w:rsidDel="00000000" w:rsidP="00000000" w:rsidRDefault="00000000" w:rsidRPr="00000000" w14:paraId="00000095">
      <w:pPr>
        <w:rPr/>
      </w:pPr>
      <w:r w:rsidDel="00000000" w:rsidR="00000000" w:rsidRPr="00000000">
        <w:rPr>
          <w:rtl w:val="0"/>
        </w:rPr>
        <w:t xml:space="preserve">The system is the content-distribution process on Facebook in Myanmar. Observed agents include Facebook users in Myanmar (millions, treated as a population), civil society activists warning of harm, and the Myanmar military and affiliated actors posting and amplifying content. Meta is the platform designer, the entity whose algorithmic decisions constitute the constraint map.</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strategic-order graph has Meta as leader on the platform-design sub-problem (algorithmic ranking, recommendation systems, group features, content-moderation policies). Users are followers on this sub-problem: they choose actions (post, share, view, react) within feasible sets that the algorithm shapes. Civil society activists occupy a structurally constrained warner posture: they have access to Meta through contact channels but no authority to modify $\phi$. The Myanmar military is a sophisticated follower that operates within the algorithmic constraint structure and additionally has its own external constraint-setting authority over Myanmar's information environment outside the platform.</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This structure is fixed by Meta's terms of service, Myanmar's telecommunications law, and documented institutional relationships. There is no structural-order inversion in the §4.3 sense; Meta's authority over $\phi$ is explicit in the platform's design. What the framework surfaces is not inversion but the implications of this clear leader-follower structure for intervention design.</w:t>
      </w:r>
    </w:p>
    <w:p w:rsidR="00000000" w:rsidDel="00000000" w:rsidP="00000000" w:rsidRDefault="00000000" w:rsidRPr="00000000" w14:paraId="0000009A">
      <w:pPr>
        <w:pStyle w:val="Heading3"/>
        <w:rPr/>
      </w:pPr>
      <w:bookmarkStart w:colFirst="0" w:colLast="0" w:name="_oyp01o8h3ij3" w:id="25"/>
      <w:bookmarkEnd w:id="25"/>
      <w:r w:rsidDel="00000000" w:rsidR="00000000" w:rsidRPr="00000000">
        <w:rPr>
          <w:rtl w:val="0"/>
        </w:rPr>
        <w:t xml:space="preserve">9.2 Constraint-Equivalence in Pure Form</w:t>
      </w:r>
    </w:p>
    <w:p w:rsidR="00000000" w:rsidDel="00000000" w:rsidP="00000000" w:rsidRDefault="00000000" w:rsidRPr="00000000" w14:paraId="0000009B">
      <w:pPr>
        <w:rPr/>
      </w:pPr>
      <w:r w:rsidDel="00000000" w:rsidR="00000000" w:rsidRPr="00000000">
        <w:rPr>
          <w:rtl w:val="0"/>
        </w:rPr>
        <w:t xml:space="preserve">The detection paper's Theorem 3 (Constraint Equivalence) establishes that an actor modifying a proxy's feasible set has effective control over outcomes. Facebook's recommendation and ranking algorithms instantiate this theorem literally: the algorithm is the constraint map $\phi$, users are the proxies, their actions (viewing, sharing, reacting) are executed within the feasible set of content the algorithm surfaces, and the platform's outcomes (engagement, time-on-platform, ad revenue) are structurally determined by $\phi$ despite each user's actions being locally rational within their surfaced content.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2020 internal Meta investigation of anti-Rohingya content distribution found that over 70% of the views of a leading anti-Rohingya hate figure's video came from "chaining", being suggested to people who played a different video. This is constraint-equivalence expressed as a specific empirical claim: user-level viewership was not driven by user search or subscription but by the algorithm's suggestion layer. The constraint control coefficient $CC(\text{Meta} \to \text{user})$ for this content was approximately 0.7 by Meta's own measurement.</w:t>
      </w:r>
    </w:p>
    <w:p w:rsidR="00000000" w:rsidDel="00000000" w:rsidP="00000000" w:rsidRDefault="00000000" w:rsidRPr="00000000" w14:paraId="0000009E">
      <w:pPr>
        <w:pStyle w:val="Heading3"/>
        <w:rPr/>
      </w:pPr>
      <w:bookmarkStart w:colFirst="0" w:colLast="0" w:name="_xd7tx5k51ftp" w:id="26"/>
      <w:bookmarkEnd w:id="26"/>
      <w:r w:rsidDel="00000000" w:rsidR="00000000" w:rsidRPr="00000000">
        <w:rPr>
          <w:rtl w:val="0"/>
        </w:rPr>
        <w:t xml:space="preserve">9.3 Dynamic $H_2(t)$ and the 2014 Natural Experiment</w:t>
      </w:r>
    </w:p>
    <w:p w:rsidR="00000000" w:rsidDel="00000000" w:rsidP="00000000" w:rsidRDefault="00000000" w:rsidRPr="00000000" w14:paraId="0000009F">
      <w:pPr>
        <w:rPr/>
      </w:pPr>
      <w:r w:rsidDel="00000000" w:rsidR="00000000" w:rsidRPr="00000000">
        <w:rPr>
          <w:rtl w:val="0"/>
        </w:rPr>
        <w:t xml:space="preserve">Observed coherence in content distribution across Myanmar Facebook users exhibited a time-varying structure between 2012 and 2017. Amnesty International's 2022 report documents that Meta received repeated communications and visits by local civil society activists between 2012 and 2017 warning that the platform risked contributing to extreme violence, and that Meta's own internal research acknowledged by 2016 that "our recommendation systems grow the problem" of extremism. These sources, together with contemporaneous academic and journalistic reporting, are consistent with a trending coherence signal through the period, though full quantitative reconstruction of $H_2(t)$ requires time-resolved data on Meta's algorithmic distribution patterns that is not presently in the public record.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In 2014, Myanmar authorities temporarily blocked Facebook because of the platform's role in triggering an outbreak of ethnic violence in Mandalay. This is the natural experiment the framework's §8.2 shock-discrimination strategy specifies. The hypothesized hidden controller is the algorithmic amplification process; the modeled legitimate common causes include offline ethnic tensions, political transitions, and economic stressors. The block differentially affected the algorithmic amplification (directly disabled it for the block's duration) while leaving the other common causes largely unchanged. The framework's </w:t>
      </w:r>
      <w:r w:rsidDel="00000000" w:rsidR="00000000" w:rsidRPr="00000000">
        <w:rPr>
          <w:b w:val="1"/>
          <w:bCs w:val="1"/>
          <w:rtl w:val="0"/>
        </w:rPr>
        <w:t xml:space="preserve">prospective prediction</w:t>
      </w:r>
      <w:r w:rsidDel="00000000" w:rsidR="00000000" w:rsidRPr="00000000">
        <w:rPr>
          <w:rtl w:val="0"/>
        </w:rPr>
        <w:t xml:space="preserve"> is a discontinuous drop in platform-amplified coherence during the block, with a return to trend following unblock.</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This prediction is testable on data that is at least partially in the public record. ACLED (Armed Conflict Location and Event Data) records time-resolved violence events in Myanmar across this period. GDELT records news-mention volume by topic. Meta's contemporaneous disclosures and later litigation filings include aspects of content distribution by region. A proper test would compute a discontinuity statistic on appropriately-constructed coherence proxies around the March 2014 block dates and compare against null bands estimated from non-block periods. We do not attempt that test here; it belongs to applied work downstream of this paper's theoretical development. We report the prediction as prospective rather than confirmed, and flag that the absence of a discontinuity in such a test would constitute evidence </w:t>
      </w:r>
      <w:r w:rsidDel="00000000" w:rsidR="00000000" w:rsidRPr="00000000">
        <w:rPr>
          <w:i w:val="1"/>
          <w:iCs w:val="1"/>
          <w:rtl w:val="0"/>
        </w:rPr>
        <w:t xml:space="preserve">against</w:t>
      </w:r>
      <w:r w:rsidDel="00000000" w:rsidR="00000000" w:rsidRPr="00000000">
        <w:rPr>
          <w:rtl w:val="0"/>
        </w:rPr>
        <w:t xml:space="preserve"> the platform-as-hidden-controller hypothesis.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The framework's point of leverage here is not that the prediction is already verified, but that the framework </w:t>
      </w:r>
      <w:r w:rsidDel="00000000" w:rsidR="00000000" w:rsidRPr="00000000">
        <w:rPr>
          <w:i w:val="1"/>
          <w:iCs w:val="1"/>
          <w:rtl w:val="0"/>
        </w:rPr>
        <w:t xml:space="preserve">specifies a falsifiable test on identifiable public data</w:t>
      </w:r>
      <w:r w:rsidDel="00000000" w:rsidR="00000000" w:rsidRPr="00000000">
        <w:rPr>
          <w:rtl w:val="0"/>
        </w:rPr>
        <w:t xml:space="preserve"> whose outcome would discriminate the hidden-controller hypothesis from trending-Z alternatives. That is the work §8.2 of this paper is doing: turning the Reichenbach problem into a concrete test plan, which the applied case shows is executable in principle.</w:t>
      </w:r>
    </w:p>
    <w:p w:rsidR="00000000" w:rsidDel="00000000" w:rsidP="00000000" w:rsidRDefault="00000000" w:rsidRPr="00000000" w14:paraId="000000A6">
      <w:pPr>
        <w:pStyle w:val="Heading3"/>
        <w:rPr/>
      </w:pPr>
      <w:bookmarkStart w:colFirst="0" w:colLast="0" w:name="_snnxeanlj5tq" w:id="27"/>
      <w:bookmarkEnd w:id="27"/>
      <w:r w:rsidDel="00000000" w:rsidR="00000000" w:rsidRPr="00000000">
        <w:rPr>
          <w:rtl w:val="0"/>
        </w:rPr>
        <w:t xml:space="preserve">9.4 $H_3(t)$ Drift from Internal Documents</w:t>
      </w:r>
    </w:p>
    <w:p w:rsidR="00000000" w:rsidDel="00000000" w:rsidP="00000000" w:rsidRDefault="00000000" w:rsidRPr="00000000" w14:paraId="000000A7">
      <w:pPr>
        <w:rPr/>
      </w:pPr>
      <w:r w:rsidDel="00000000" w:rsidR="00000000" w:rsidRPr="00000000">
        <w:rPr>
          <w:rtl w:val="0"/>
        </w:rPr>
        <w:t xml:space="preserve">The stated objective of Meta's platform operation during this period included, in public statements and filings, facilitating meaningful social interactions and connection. The effective objective recoverable from observed behavior and internal documents is engagement maximization for advertising revenue, which is a different function.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mismatch is directly documented in Meta's own records. Amnesty's 2022 report cites internal Meta research acknowledging that "our recommendation systems grow the problem" of extremism, and an August 2019 internal document stating that "our core product mechanics, such as virality, recommendations, and optimizing for engagement, are a significant part of why [hate speech, divisive political speech, and misinformation] flourish on the platform". These are not inferences from behavior; they are the actor's own statement that its effective optimization target differed in identifiable ways from its stated target.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$H_3(t)$ is large and signed in the direction the framework predicts for an engagement-revenue objective dominating a stated-meaningful-interaction objective. The time profile is a slow-building trend from 2012, with incremental public acknowledgment in 2018-2019 following the 2017 atrocities and the Haugen disclosures.</w:t>
      </w:r>
    </w:p>
    <w:p w:rsidR="00000000" w:rsidDel="00000000" w:rsidP="00000000" w:rsidRDefault="00000000" w:rsidRPr="00000000" w14:paraId="000000AC">
      <w:pPr>
        <w:pStyle w:val="Heading3"/>
        <w:rPr/>
      </w:pPr>
      <w:bookmarkStart w:colFirst="0" w:colLast="0" w:name="_dgr8bjmizvop" w:id="28"/>
      <w:bookmarkEnd w:id="28"/>
      <w:r w:rsidDel="00000000" w:rsidR="00000000" w:rsidRPr="00000000">
        <w:rPr>
          <w:rtl w:val="0"/>
        </w:rPr>
        <w:t xml:space="preserve">9.5 Bottleneck Typing in the Case</w:t>
      </w:r>
    </w:p>
    <w:p w:rsidR="00000000" w:rsidDel="00000000" w:rsidP="00000000" w:rsidRDefault="00000000" w:rsidRPr="00000000" w14:paraId="000000AD">
      <w:pPr>
        <w:rPr/>
      </w:pPr>
      <w:r w:rsidDel="00000000" w:rsidR="00000000" w:rsidRPr="00000000">
        <w:rPr>
          <w:rtl w:val="0"/>
        </w:rPr>
        <w:t xml:space="preserve">The case exercises three of the five types and is a composite bottleneck in the §5.2 sense: the primary structural element is a technological-and-informational combination, with a temporal component that binds on the intervention window.</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Technological.</w:t>
      </w:r>
      <w:r w:rsidDel="00000000" w:rsidR="00000000" w:rsidRPr="00000000">
        <w:rPr>
          <w:rtl w:val="0"/>
        </w:rPr>
        <w:t xml:space="preserve"> The recommendation and ranking algorithm is a technological bottleneck: its design favors Meta as structural leader durably, for as long as the algorithm is in service in its existing form. Intervention on this bottleneck requires algorithmic redesign, not content-level moderation.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Informational.</w:t>
      </w:r>
      <w:r w:rsidDel="00000000" w:rsidR="00000000" w:rsidRPr="00000000">
        <w:rPr>
          <w:rtl w:val="0"/>
        </w:rPr>
        <w:t xml:space="preserve"> Users' feasible sets are constrained by what the algorithm surfaces, and users are largely unaware of the constraint structure. This is an informational bottleneck that is dynamic under disclosure events. The Haugen disclosures in 2021 and subsequent Amnesty research in 2022 partially collapsed this component. Before 2021 the binding component was technological (concealed design); after 2021 the informational component became partially visible, which is the transition §5.2 predicts when a composite technological-and-informational bottleneck loses its concealment. The operator profile shift is consistent with this prediction: intervention proposals against the algorithmic design became politically feasible post-Haugen in a way they were not previously, even though the underlying technological structure was unchanged.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Temporal.</w:t>
      </w:r>
      <w:r w:rsidDel="00000000" w:rsidR="00000000" w:rsidRPr="00000000">
        <w:rPr>
          <w:rtl w:val="0"/>
        </w:rPr>
        <w:t xml:space="preserve"> Civil society warnings from 2012 forward operated against a temporal bottleneck: the window to intervene before catastrophic offline violence closed in 2017. Temporal bottlenecks have the property that $G(i,t)$ grows sharply near the deadline and collapses after it. The framework's diagnostic reading is that warnings in 2012-2015 had high $G$ against an intervention on algorithmic design; warnings in late 2017 had dramatically lower $G$ against the same intervention because the catastrophic outcome had already occurred.</w:t>
      </w:r>
    </w:p>
    <w:p w:rsidR="00000000" w:rsidDel="00000000" w:rsidP="00000000" w:rsidRDefault="00000000" w:rsidRPr="00000000" w14:paraId="000000B4">
      <w:pPr>
        <w:pStyle w:val="Heading3"/>
        <w:rPr/>
      </w:pPr>
      <w:bookmarkStart w:colFirst="0" w:colLast="0" w:name="_jepv93z99o5m" w:id="29"/>
      <w:bookmarkEnd w:id="29"/>
      <w:r w:rsidDel="00000000" w:rsidR="00000000" w:rsidRPr="00000000">
        <w:rPr>
          <w:rtl w:val="0"/>
        </w:rPr>
        <w:t xml:space="preserve">9.6 Action-Response Topology</w:t>
      </w:r>
    </w:p>
    <w:p w:rsidR="00000000" w:rsidDel="00000000" w:rsidP="00000000" w:rsidRDefault="00000000" w:rsidRPr="00000000" w14:paraId="000000B5">
      <w:pPr>
        <w:rPr/>
      </w:pPr>
      <w:r w:rsidDel="00000000" w:rsidR="00000000" w:rsidRPr="00000000">
        <w:rPr>
          <w:rtl w:val="0"/>
        </w:rPr>
        <w:t xml:space="preserve">The framework's posture-conditional argmaxes (§6.2) produce distinct recommendations for intervention on Meta's side versus on the user-level side.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Intervention at the follower level (content moderation of individual posts, account takedowns, user education campaigns) has low $G^{\text{foll}}$ because it operates within the fixed constraint map rather than modifying it. Amnesty International's report argues that "even a well-resourced approach to content moderation, in isolation, would likely not have sufficed to prevent and mitigate these algorithmic harms" because content moderation fails to address the root cause of algorithmic amplification. This is a domain-specific statement of the general framework claim that follower-level intervention is low-leverage when the structural issue sits at the leader's constraint map.</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Intervention at the leader level (algorithmic redesign, changing the optimization objective, structural modifications to the recommendation and ranking systems) has high $G^{\text{lead}}$ because it operates on $\phi$ directly. This is the leverage-topology claim the framework's §6 formalizes and the case instantiates.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Separately, a well-intentioned follower-level intervention in 2014, Meta's publication of a sticker pack for users to post in response to hate speech, illustrates a pattern the framework predicts. The algorithm interpreted the use of these stickers as a sign that people were enjoying a post and began promoting the targeted content more widely. Intervention on a follower-level variable in a system whose high-$G$ node sits at the leader-level constraint map can, in the presence of an objective-mismatched constraint map, increase rather than decrease the hidden controller's effective influence. This is the framework's most cautionary action-response prediction, confirmed in this case by a documented inversion.</w:t>
      </w:r>
    </w:p>
    <w:p w:rsidR="00000000" w:rsidDel="00000000" w:rsidP="00000000" w:rsidRDefault="00000000" w:rsidRPr="00000000" w14:paraId="000000BC">
      <w:pPr>
        <w:pStyle w:val="Heading3"/>
        <w:rPr/>
      </w:pPr>
      <w:bookmarkStart w:colFirst="0" w:colLast="0" w:name="_xwm7muqz9ora" w:id="30"/>
      <w:bookmarkEnd w:id="30"/>
      <w:r w:rsidDel="00000000" w:rsidR="00000000" w:rsidRPr="00000000">
        <w:rPr>
          <w:rtl w:val="0"/>
        </w:rPr>
        <w:t xml:space="preserve">9.7 What the Framework Provides</w:t>
      </w:r>
    </w:p>
    <w:p w:rsidR="00000000" w:rsidDel="00000000" w:rsidP="00000000" w:rsidRDefault="00000000" w:rsidRPr="00000000" w14:paraId="000000BD">
      <w:pPr>
        <w:rPr/>
      </w:pPr>
      <w:r w:rsidDel="00000000" w:rsidR="00000000" w:rsidRPr="00000000">
        <w:rPr>
          <w:rtl w:val="0"/>
        </w:rPr>
        <w:t xml:space="preserve">Applied to the data currently in the public record, the framework identifies (i) a structural configuration in which the platform-level constraint map has high leverage on outcomes and user-level actions have low leverage, (ii) an objective mismatch between stated "meaningful interactions" and effective engagement-revenue optimization documented in the actor's own internal research, (iii) a composite technological-and-informational bottleneck on the algorithmic design that was durable under concealment and partially collapsed at the 2021 Haugen disclosures, and (iv) a well-intentioned follower-level intervention pattern (sticker packs, content moderation, user education) that is structurally predicted to have low or negative effect absent algorithmic redesign, a prediction confirmed in the case by the documented sticker-pack inversion. Each individual claim is consistent with existing secondary literature. The framework's contribution is twofold: stating the claims in a general structural vocabulary that travels beyond the platform context, and formalizing the action-response predictions as testable (the 2014 block test of §9.3; the $H_3$ mismatch as recoverable from internal documents in §9.4) rather than rhetorical.</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We do not claim the framework would have produced these conclusions prospectively in 2014 absent the investigative record that has since accumulated. The framework requires data, and much of the data establishing the case came from the Haugen disclosures (2021), Amnesty's report (2022), and the UN Fact-Finding Mission (2018), none of which were available in 2014. What we do claim is that the framework applied to comparable systems </w:t>
      </w:r>
      <w:r w:rsidDel="00000000" w:rsidR="00000000" w:rsidRPr="00000000">
        <w:rPr>
          <w:i w:val="1"/>
          <w:iCs w:val="1"/>
          <w:rtl w:val="0"/>
        </w:rPr>
        <w:t xml:space="preserve">now</w:t>
      </w:r>
      <w:r w:rsidDel="00000000" w:rsidR="00000000" w:rsidRPr="00000000">
        <w:rPr>
          <w:rtl w:val="0"/>
        </w:rPr>
        <w:t xml:space="preserve">, with comparable data accessible in real time, would produce these diagnostic outputs as its standard analysis, and that the case demonstrates the framework's operators work on structural data outside the financial sector.</w:t>
      </w:r>
    </w:p>
    <w:p w:rsidR="00000000" w:rsidDel="00000000" w:rsidP="00000000" w:rsidRDefault="00000000" w:rsidRPr="00000000" w14:paraId="000000C0">
      <w:pPr>
        <w:pStyle w:val="Heading3"/>
        <w:rPr/>
      </w:pPr>
      <w:bookmarkStart w:colFirst="0" w:colLast="0" w:name="_6gmvxi6uy01w" w:id="31"/>
      <w:bookmarkEnd w:id="31"/>
      <w:r w:rsidDel="00000000" w:rsidR="00000000" w:rsidRPr="00000000">
        <w:rPr>
          <w:rtl w:val="0"/>
        </w:rPr>
        <w:t xml:space="preserve">9.8 Disclaimers Proper to the Analysis</w:t>
      </w:r>
    </w:p>
    <w:p w:rsidR="00000000" w:rsidDel="00000000" w:rsidP="00000000" w:rsidRDefault="00000000" w:rsidRPr="00000000" w14:paraId="000000C1">
      <w:pPr>
        <w:rPr/>
      </w:pPr>
      <w:r w:rsidDel="00000000" w:rsidR="00000000" w:rsidRPr="00000000">
        <w:rPr>
          <w:rtl w:val="0"/>
        </w:rPr>
        <w:t xml:space="preserve">This analysis is structural. It does not identify individual Meta executives as legally responsible, and does not attempt to adjudicate the culpability questions that are the proper domain of the International Court of Justice proceedings on Myanmar, the January 2025 SEC whistleblower complaint, the multi-jurisdiction civil litigation seeking approximately $150 billion in remedy, and the other investigative bodies actively engaged with the case. The framework detects structural signatures; it does not indict. That limitation is appropriate and consistent with the non-identification stance of the detection paper.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The analysis also does not independently establish the causal chain from algorithmic amplification to specific violent acts. The UN Independent International Fact-Finding Mission on Myanmar, Amnesty International, and academic investigators have developed that evidentiary record through methods distinct from the framework's. The framework's structural analysis is consistent with but does not substitute for that work.</w:t>
      </w:r>
    </w:p>
    <w:p w:rsidR="00000000" w:rsidDel="00000000" w:rsidP="00000000" w:rsidRDefault="00000000" w:rsidRPr="00000000" w14:paraId="000000C4">
      <w:pPr>
        <w:pStyle w:val="Heading2"/>
        <w:rPr/>
      </w:pPr>
      <w:bookmarkStart w:colFirst="0" w:colLast="0" w:name="_xrcmex9x8x8z" w:id="32"/>
      <w:bookmarkEnd w:id="32"/>
      <w:r w:rsidDel="00000000" w:rsidR="00000000" w:rsidRPr="00000000">
        <w:rPr>
          <w:rtl w:val="0"/>
        </w:rPr>
        <w:t xml:space="preserve">10. Limitations and Relation to Prior Work</w:t>
      </w:r>
    </w:p>
    <w:p w:rsidR="00000000" w:rsidDel="00000000" w:rsidP="00000000" w:rsidRDefault="00000000" w:rsidRPr="00000000" w14:paraId="000000C5">
      <w:pPr>
        <w:pStyle w:val="Heading3"/>
        <w:rPr/>
      </w:pPr>
      <w:bookmarkStart w:colFirst="0" w:colLast="0" w:name="_ti1rwhx7fila" w:id="33"/>
      <w:bookmarkEnd w:id="33"/>
      <w:r w:rsidDel="00000000" w:rsidR="00000000" w:rsidRPr="00000000">
        <w:rPr>
          <w:rtl w:val="0"/>
        </w:rPr>
        <w:t xml:space="preserve">10.1 What We Build On</w:t>
      </w:r>
    </w:p>
    <w:p w:rsidR="00000000" w:rsidDel="00000000" w:rsidP="00000000" w:rsidRDefault="00000000" w:rsidRPr="00000000" w14:paraId="000000C6">
      <w:pPr>
        <w:rPr/>
      </w:pPr>
      <w:r w:rsidDel="00000000" w:rsidR="00000000" w:rsidRPr="00000000">
        <w:rPr>
          <w:rtl w:val="0"/>
        </w:rPr>
        <w:t xml:space="preserve">The stochastic-process substrate is standard in the time-series and continuous-time econometrics literatures (Hamilton 1994; Durrett 2019). The strategic-order formalism draws on Stackelberg's original work on commitment games (Stackelberg 1934) and on the mechanism-design tradition (Hurwicz 1972; Myerson 1981; Milgrom and Roberts 1990). The adaptive-regime predictions draw on the no-regret learning literature (Cesa-Bianchi and Lugosi 2006; Hazan 2016). Structural-break testing methodology is drawn from Chow (1960), Bai and Perron (1998), and subsequent extensions.</w:t>
      </w:r>
    </w:p>
    <w:p w:rsidR="00000000" w:rsidDel="00000000" w:rsidP="00000000" w:rsidRDefault="00000000" w:rsidRPr="00000000" w14:paraId="000000C7">
      <w:pPr>
        <w:pStyle w:val="Heading3"/>
        <w:rPr/>
      </w:pPr>
      <w:bookmarkStart w:colFirst="0" w:colLast="0" w:name="_becrebyd079j" w:id="34"/>
      <w:bookmarkEnd w:id="34"/>
      <w:r w:rsidDel="00000000" w:rsidR="00000000" w:rsidRPr="00000000">
        <w:rPr>
          <w:rtl w:val="0"/>
        </w:rPr>
        <w:t xml:space="preserve">10.2 What Is New</w:t>
      </w:r>
    </w:p>
    <w:p w:rsidR="00000000" w:rsidDel="00000000" w:rsidP="00000000" w:rsidRDefault="00000000" w:rsidRPr="00000000" w14:paraId="000000C8">
      <w:pPr>
        <w:rPr/>
      </w:pPr>
      <w:r w:rsidDel="00000000" w:rsidR="00000000" w:rsidRPr="00000000">
        <w:rPr>
          <w:rtl w:val="0"/>
        </w:rPr>
        <w:t xml:space="preserve">The integration. Time-indexed conservation-and-coherence operators with strategic-order-conditional action-response topology and typed bottlenecks do not appear as a unified framework in the prior literatures. Individual components have been used in isolation, and the game-theoretic machinery for leader-follower analysis has been separately developed, but the composition that produces posture-conditional intervention recommendations and predictive response-regime analysis is, to our knowledge, not previously assembled.</w:t>
      </w:r>
    </w:p>
    <w:p w:rsidR="00000000" w:rsidDel="00000000" w:rsidP="00000000" w:rsidRDefault="00000000" w:rsidRPr="00000000" w14:paraId="000000C9">
      <w:pPr>
        <w:pStyle w:val="Heading3"/>
        <w:rPr/>
      </w:pPr>
      <w:bookmarkStart w:colFirst="0" w:colLast="0" w:name="_2pbg4blh41n" w:id="35"/>
      <w:bookmarkEnd w:id="35"/>
      <w:r w:rsidDel="00000000" w:rsidR="00000000" w:rsidRPr="00000000">
        <w:rPr>
          <w:rtl w:val="0"/>
        </w:rPr>
        <w:t xml:space="preserve">10.3 What We Do Not Do</w:t>
      </w:r>
    </w:p>
    <w:p w:rsidR="00000000" w:rsidDel="00000000" w:rsidP="00000000" w:rsidRDefault="00000000" w:rsidRPr="00000000" w14:paraId="000000CA">
      <w:pPr>
        <w:rPr/>
      </w:pPr>
      <w:r w:rsidDel="00000000" w:rsidR="00000000" w:rsidRPr="00000000">
        <w:rPr>
          <w:rtl w:val="0"/>
        </w:rPr>
        <w:t xml:space="preserve">We do not provide closed-form identification results for operators under non-stationary $Z(t)$ beyond what the standard non-stationary time-series literature provides. We do not address the computational question of operator estimation in high-dimensional agent populations, which requires approximation methods whose statistical properties are domain-specific. We do not claim that the strategic-order graph is inferable from behavioral data in general; the framework takes it as an input. We do not extend the framework to handle adversaries who control the analyst's specification of $\Gamma$ itself, which is the strategic-capture analog of the model-capture limit in the detection paper.</w:t>
      </w:r>
    </w:p>
    <w:p w:rsidR="00000000" w:rsidDel="00000000" w:rsidP="00000000" w:rsidRDefault="00000000" w:rsidRPr="00000000" w14:paraId="000000CB">
      <w:pPr>
        <w:pStyle w:val="Heading2"/>
        <w:rPr/>
      </w:pPr>
      <w:bookmarkStart w:colFirst="0" w:colLast="0" w:name="_wfjw5uy5w3nj" w:id="36"/>
      <w:bookmarkEnd w:id="36"/>
      <w:r w:rsidDel="00000000" w:rsidR="00000000" w:rsidRPr="00000000">
        <w:rPr>
          <w:rtl w:val="0"/>
        </w:rPr>
        <w:t xml:space="preserve">11. Conclusion</w:t>
      </w:r>
    </w:p>
    <w:p w:rsidR="00000000" w:rsidDel="00000000" w:rsidP="00000000" w:rsidRDefault="00000000" w:rsidRPr="00000000" w14:paraId="000000CC">
      <w:pPr>
        <w:rPr/>
      </w:pPr>
      <w:r w:rsidDel="00000000" w:rsidR="00000000" w:rsidRPr="00000000">
        <w:rPr>
          <w:rtl w:val="0"/>
        </w:rPr>
        <w:t xml:space="preserve">Time and strategic order are first-class features of institutional and platform systems. The static framework is correct for stationary regimes and symmetric games; it loses structure in settings where neither holds. The dynamic extension introduces time-indexed operators, a strategic-order graph as framework input, and bottleneck typing that produces posture-conditional action-response topology. The Facebook-Myanmar case exercises the full apparatus with data already in the public record and illustrates the framework's central predictive claim: intervention at the follower level in a system whose high-leverage node sits at the leader's constraint map is structurally low-leverage and can, under objective mismatch, be actively counterproductive.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 fourth paper in this suite will apply the full framework (detection, response, dynamics) to the 2008 financial crisis as a comprehensive applied analysis.</w:t>
      </w:r>
    </w:p>
    <w:p w:rsidR="00000000" w:rsidDel="00000000" w:rsidP="00000000" w:rsidRDefault="00000000" w:rsidRPr="00000000" w14:paraId="000000CF">
      <w:pPr>
        <w:pStyle w:val="Heading2"/>
        <w:rPr/>
      </w:pPr>
      <w:bookmarkStart w:colFirst="0" w:colLast="0" w:name="_jgn5iv2g7a2d" w:id="37"/>
      <w:bookmarkEnd w:id="37"/>
      <w:r w:rsidDel="00000000" w:rsidR="00000000" w:rsidRPr="00000000">
        <w:rPr>
          <w:rtl w:val="0"/>
        </w:rPr>
        <w:t xml:space="preserve">References</w:t>
      </w:r>
    </w:p>
    <w:p w:rsidR="00000000" w:rsidDel="00000000" w:rsidP="00000000" w:rsidRDefault="00000000" w:rsidRPr="00000000" w14:paraId="000000D0">
      <w:pPr>
        <w:rPr/>
      </w:pPr>
      <w:r w:rsidDel="00000000" w:rsidR="00000000" w:rsidRPr="00000000">
        <w:rPr>
          <w:rtl w:val="0"/>
        </w:rPr>
        <w:t xml:space="preserve">Bai, J., and Perron, P. (1998). Estimating and testing linear models with multiple structural changes. </w:t>
      </w:r>
      <w:r w:rsidDel="00000000" w:rsidR="00000000" w:rsidRPr="00000000">
        <w:rPr>
          <w:i w:val="1"/>
          <w:iCs w:val="1"/>
          <w:rtl w:val="0"/>
        </w:rPr>
        <w:t xml:space="preserve">Econometrica</w:t>
      </w:r>
      <w:r w:rsidDel="00000000" w:rsidR="00000000" w:rsidRPr="00000000">
        <w:rPr>
          <w:rtl w:val="0"/>
        </w:rPr>
        <w:t xml:space="preserve">, 66(1), 47-78.</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Cesa-Bianchi, N., and Lugosi, G. (2006). </w:t>
      </w:r>
      <w:r w:rsidDel="00000000" w:rsidR="00000000" w:rsidRPr="00000000">
        <w:rPr>
          <w:i w:val="1"/>
          <w:iCs w:val="1"/>
          <w:rtl w:val="0"/>
        </w:rPr>
        <w:t xml:space="preserve">Prediction, Learning, and Games</w:t>
      </w:r>
      <w:r w:rsidDel="00000000" w:rsidR="00000000" w:rsidRPr="00000000">
        <w:rPr>
          <w:rtl w:val="0"/>
        </w:rPr>
        <w:t xml:space="preserve">. Cambridge University Press.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Chow, G. C. (1960). Tests of equality between sets of coefficients in two linear regressions. </w:t>
      </w:r>
      <w:r w:rsidDel="00000000" w:rsidR="00000000" w:rsidRPr="00000000">
        <w:rPr>
          <w:i w:val="1"/>
          <w:iCs w:val="1"/>
          <w:rtl w:val="0"/>
        </w:rPr>
        <w:t xml:space="preserve">Econometrica</w:t>
      </w:r>
      <w:r w:rsidDel="00000000" w:rsidR="00000000" w:rsidRPr="00000000">
        <w:rPr>
          <w:rtl w:val="0"/>
        </w:rPr>
        <w:t xml:space="preserve">, 28(3), 591-605.</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Durrett, R. (2019). </w:t>
      </w:r>
      <w:r w:rsidDel="00000000" w:rsidR="00000000" w:rsidRPr="00000000">
        <w:rPr>
          <w:i w:val="1"/>
          <w:iCs w:val="1"/>
          <w:rtl w:val="0"/>
        </w:rPr>
        <w:t xml:space="preserve">Probability: Theory and Examples</w:t>
      </w:r>
      <w:r w:rsidDel="00000000" w:rsidR="00000000" w:rsidRPr="00000000">
        <w:rPr>
          <w:rtl w:val="0"/>
        </w:rPr>
        <w:t xml:space="preserve">, 5th ed. Cambridge University Press.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Hamilton, J. D. (1994). </w:t>
      </w:r>
      <w:r w:rsidDel="00000000" w:rsidR="00000000" w:rsidRPr="00000000">
        <w:rPr>
          <w:i w:val="1"/>
          <w:iCs w:val="1"/>
          <w:rtl w:val="0"/>
        </w:rPr>
        <w:t xml:space="preserve">Time Series Analysis</w:t>
      </w:r>
      <w:r w:rsidDel="00000000" w:rsidR="00000000" w:rsidRPr="00000000">
        <w:rPr>
          <w:rtl w:val="0"/>
        </w:rPr>
        <w:t xml:space="preserve">. Princeton University Press.</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Hazan, E. (2016). Introduction to online convex optimization. </w:t>
      </w:r>
      <w:r w:rsidDel="00000000" w:rsidR="00000000" w:rsidRPr="00000000">
        <w:rPr>
          <w:i w:val="1"/>
          <w:iCs w:val="1"/>
          <w:rtl w:val="0"/>
        </w:rPr>
        <w:t xml:space="preserve">Foundations and Trends in Optimization</w:t>
      </w:r>
      <w:r w:rsidDel="00000000" w:rsidR="00000000" w:rsidRPr="00000000">
        <w:rPr>
          <w:rtl w:val="0"/>
        </w:rPr>
        <w:t xml:space="preserve">, 2(3-4), 157-325.</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Hurwicz, L. (1972). On informationally decentralized systems. In McGuire and Radner, eds., </w:t>
      </w:r>
      <w:r w:rsidDel="00000000" w:rsidR="00000000" w:rsidRPr="00000000">
        <w:rPr>
          <w:i w:val="1"/>
          <w:iCs w:val="1"/>
          <w:rtl w:val="0"/>
        </w:rPr>
        <w:t xml:space="preserve">Decision and Organization</w:t>
      </w:r>
      <w:r w:rsidDel="00000000" w:rsidR="00000000" w:rsidRPr="00000000">
        <w:rPr>
          <w:rtl w:val="0"/>
        </w:rPr>
        <w:t xml:space="preserve">. North-Holland.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Milgrom, P., and Roberts, J. (1990). Rationalizability, learning, and equilibrium in games with strategic complementarities. </w:t>
      </w:r>
      <w:r w:rsidDel="00000000" w:rsidR="00000000" w:rsidRPr="00000000">
        <w:rPr>
          <w:i w:val="1"/>
          <w:iCs w:val="1"/>
          <w:rtl w:val="0"/>
        </w:rPr>
        <w:t xml:space="preserve">Econometrica</w:t>
      </w:r>
      <w:r w:rsidDel="00000000" w:rsidR="00000000" w:rsidRPr="00000000">
        <w:rPr>
          <w:rtl w:val="0"/>
        </w:rPr>
        <w:t xml:space="preserve">, 58(6), 1255-1277.</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Myerson, R. (1981). Optimal auction design. </w:t>
      </w:r>
      <w:r w:rsidDel="00000000" w:rsidR="00000000" w:rsidRPr="00000000">
        <w:rPr>
          <w:i w:val="1"/>
          <w:iCs w:val="1"/>
          <w:rtl w:val="0"/>
        </w:rPr>
        <w:t xml:space="preserve">Mathematics of Operations Research</w:t>
      </w:r>
      <w:r w:rsidDel="00000000" w:rsidR="00000000" w:rsidRPr="00000000">
        <w:rPr>
          <w:rtl w:val="0"/>
        </w:rPr>
        <w:t xml:space="preserve">, 6(1), 58-73.</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Stackelberg, H. von. (1934). </w:t>
      </w:r>
      <w:r w:rsidDel="00000000" w:rsidR="00000000" w:rsidRPr="00000000">
        <w:rPr>
          <w:i w:val="1"/>
          <w:iCs w:val="1"/>
          <w:rtl w:val="0"/>
        </w:rPr>
        <w:t xml:space="preserve">Marktform und Gleichgewicht</w:t>
      </w:r>
      <w:r w:rsidDel="00000000" w:rsidR="00000000" w:rsidRPr="00000000">
        <w:rPr>
          <w:rtl w:val="0"/>
        </w:rPr>
        <w:t xml:space="preserve">. Julius Springer.</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Amnesty International. (2022). </w:t>
      </w:r>
      <w:r w:rsidDel="00000000" w:rsidR="00000000" w:rsidRPr="00000000">
        <w:rPr>
          <w:i w:val="1"/>
          <w:iCs w:val="1"/>
          <w:rtl w:val="0"/>
        </w:rPr>
        <w:t xml:space="preserve">The Social Atrocity: Meta and the right to remedy for the Rohingya</w:t>
      </w:r>
      <w:r w:rsidDel="00000000" w:rsidR="00000000" w:rsidRPr="00000000">
        <w:rPr>
          <w:rtl w:val="0"/>
        </w:rPr>
        <w:t xml:space="preserve">. Amnesty International.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UN Independent International Fact-Finding Mission on Myanmar. (2018). </w:t>
      </w:r>
      <w:r w:rsidDel="00000000" w:rsidR="00000000" w:rsidRPr="00000000">
        <w:rPr>
          <w:i w:val="1"/>
          <w:iCs w:val="1"/>
          <w:rtl w:val="0"/>
        </w:rPr>
        <w:t xml:space="preserve">Report of the detailed findings</w:t>
      </w:r>
      <w:r w:rsidDel="00000000" w:rsidR="00000000" w:rsidRPr="00000000">
        <w:rPr>
          <w:rtl w:val="0"/>
        </w:rPr>
        <w:t xml:space="preserve">. A/HRC/39/CRP.2.</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rPr/>
      </w:pPr>
      <w:bookmarkStart w:colFirst="0" w:colLast="0" w:name="_71ql0r96ohy2" w:id="38"/>
      <w:bookmarkEnd w:id="38"/>
      <w:r w:rsidDel="00000000" w:rsidR="00000000" w:rsidRPr="00000000">
        <w:rPr>
          <w:rtl w:val="0"/>
        </w:rPr>
        <w:t xml:space="preserve">Appendix A: Notation Additions (beyond the prior papers)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b w:val="1"/>
                <w:bCs w:val="1"/>
              </w:rPr>
            </w:pPr>
            <w:r w:rsidDel="00000000" w:rsidR="00000000" w:rsidRPr="00000000">
              <w:rPr>
                <w:b w:val="1"/>
                <w:bCs w:val="1"/>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b w:val="1"/>
                <w:bCs w:val="1"/>
              </w:rPr>
            </w:pPr>
            <w:r w:rsidDel="00000000" w:rsidR="00000000" w:rsidRPr="00000000">
              <w:rPr>
                <w:b w:val="1"/>
                <w:bCs w:val="1"/>
                <w:rtl w:val="0"/>
              </w:rPr>
              <w:t xml:space="preserve">Meaning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${a_i(t)}$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Stochastic process of agent $i$'s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${\phi_A^{(t)}}$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Time-varying constraint map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$Z(t)$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Time-varying conditioning covariate 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$H_k(t)$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Time-indexed operator for $k \in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$\Gamma$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Strategic-order graph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$(i, 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Actor-subproblem pair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$G^{\text{lead}}, G^{\text{foll}}$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Posture-conditional gain operators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$\kappa(i, s, 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Posture-conditional bottleneck centrality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$C'</w:t>
            </w:r>
            <w:r w:rsidDel="00000000" w:rsidR="00000000" w:rsidRPr="00000000">
              <w:rPr>
                <w:i w:val="1"/>
                <w:iCs w:val="1"/>
                <w:rtl w:val="0"/>
              </w:rPr>
              <w:t xml:space="preserve">{\text{lead}}, C'</w:t>
            </w:r>
            <w:r w:rsidDel="00000000" w:rsidR="00000000" w:rsidRPr="00000000">
              <w:rPr>
                <w:rtl w:val="0"/>
              </w:rPr>
              <w:t xml:space="preserve">{\text{foll}}$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tl w:val="0"/>
              </w:rPr>
              <w:t xml:space="preserve">Posture-conditional marginal response cost</w:t>
            </w:r>
          </w:p>
        </w:tc>
      </w:tr>
    </w:tbl>
    <w:p w:rsidR="00000000" w:rsidDel="00000000" w:rsidP="00000000" w:rsidRDefault="00000000" w:rsidRPr="00000000" w14:paraId="000000F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