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gwdi8do0k7iz" w:id="0"/>
      <w:bookmarkEnd w:id="0"/>
      <w:r w:rsidDel="00000000" w:rsidR="00000000" w:rsidRPr="00000000">
        <w:rPr>
          <w:rtl w:val="0"/>
        </w:rPr>
        <w:t xml:space="preserve">Structural Response: Intervention, Resistance, and Pressure Operators for Constrained Systems</w:t>
      </w:r>
    </w:p>
    <w:p w:rsidR="00000000" w:rsidDel="00000000" w:rsidP="00000000" w:rsidRDefault="00000000" w:rsidRPr="00000000" w14:paraId="00000002">
      <w:pPr>
        <w:rPr/>
      </w:pPr>
      <w:r w:rsidDel="00000000" w:rsidR="00000000" w:rsidRPr="00000000">
        <w:rPr>
          <w:b w:val="1"/>
          <w:bCs w:val="1"/>
          <w:rtl w:val="0"/>
        </w:rPr>
        <w:t xml:space="preserve">K.C.M. Robbins</w:t>
      </w:r>
      <w:r w:rsidDel="00000000" w:rsidR="00000000" w:rsidRPr="00000000">
        <w:rPr>
          <w:rtl w:val="0"/>
        </w:rPr>
        <w:t xml:space="preserve"> </w:t>
      </w:r>
      <w:r w:rsidDel="00000000" w:rsidR="00000000" w:rsidRPr="00000000">
        <w:rPr>
          <w:i w:val="1"/>
          <w:iCs w:val="1"/>
          <w:rtl w:val="0"/>
        </w:rPr>
        <w:t xml:space="preserve">Independent researcher</w:t>
      </w:r>
      <w:r w:rsidDel="00000000" w:rsidR="00000000" w:rsidRPr="00000000">
        <w:rPr>
          <w:rtl w:val="0"/>
        </w:rPr>
        <w:t xml:space="preserve"> Draft v1.0, April 2026</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rPr>
          <w:i w:val="1"/>
          <w:iCs w:val="1"/>
          <w:rtl w:val="0"/>
        </w:rPr>
        <w:t xml:space="preserve">Companion to "Detecting Hidden Control: A Conservation-and-Coherence Framework for Causal Attribution in Complex Systems."</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rPr/>
      </w:pPr>
      <w:bookmarkStart w:colFirst="0" w:colLast="0" w:name="_qfepfc3pelwl" w:id="1"/>
      <w:bookmarkEnd w:id="1"/>
      <w:r w:rsidDel="00000000" w:rsidR="00000000" w:rsidRPr="00000000">
        <w:rPr>
          <w:rtl w:val="0"/>
        </w:rPr>
        <w:t xml:space="preserve">Abstract</w:t>
      </w:r>
    </w:p>
    <w:p w:rsidR="00000000" w:rsidDel="00000000" w:rsidP="00000000" w:rsidRDefault="00000000" w:rsidRPr="00000000" w14:paraId="00000008">
      <w:pPr>
        <w:rPr/>
      </w:pPr>
      <w:r w:rsidDel="00000000" w:rsidR="00000000" w:rsidRPr="00000000">
        <w:rPr>
          <w:rtl w:val="0"/>
        </w:rPr>
        <w:t xml:space="preserve">The detection framework of the companion paper identifies structural signatures of hidden control in complex systems without predicting behavior. We develop the corresponding intervention and response framework: given a system with constrained feasible sets and a partially identified effective objective, where do interventions have the most leverage, how does the system reactively resist, and where does defensive pressure concentrate? We define three operators. The Greatest Gains operator $G(i)$ measures marginal causal sensitivity of the stated objective to smooth interventions at node $i$. The Resistance operator $R(i)$ measures endogenous reactive response, separated explicitly from ordinary causal-graph nonlinearity, and decomposed into four candidate mechanisms identified jointly by regression rather than assumed additive. The Pressure operator $P(i)$ combines leverage on the inferred effective objective with bottleneck centrality and per-node coherence contribution to predict where a cost-minimizing system response would concentrate; $D(i)$ signs the direction. We state a Structural Pressure Localization result as a conditional proposition, not a universal theorem, and treat observed response concentration as a falsifiable test of the cost-minimization hypothesis. All operators are model-relative, inherit the identifiability limits of their inputs, and predict where pressure appears, not whom it falls on.</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2"/>
        <w:rPr/>
      </w:pPr>
      <w:bookmarkStart w:colFirst="0" w:colLast="0" w:name="_wlv8t8nu5xgf" w:id="2"/>
      <w:bookmarkEnd w:id="2"/>
      <w:r w:rsidDel="00000000" w:rsidR="00000000" w:rsidRPr="00000000">
        <w:rPr>
          <w:rtl w:val="0"/>
        </w:rPr>
        <w:t xml:space="preserve">1. Introduction</w:t>
      </w:r>
    </w:p>
    <w:p w:rsidR="00000000" w:rsidDel="00000000" w:rsidP="00000000" w:rsidRDefault="00000000" w:rsidRPr="00000000" w14:paraId="0000000C">
      <w:pPr>
        <w:rPr/>
      </w:pPr>
      <w:r w:rsidDel="00000000" w:rsidR="00000000" w:rsidRPr="00000000">
        <w:rPr>
          <w:rtl w:val="0"/>
        </w:rPr>
        <w:t xml:space="preserve">Detection and intervention are different questions. The companion paper asks whether a system exhibits structural signatures of hidden control and answers it without identifying the controller. This paper takes detection as given and asks the next question: if we intervene on such a system, what happens?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Three properties of the answer are useful to a practitioner. The first is marginal leverage: which intervention points most change system outcomes per unit of intervention effort. The second is reactive resistance: how the system endogenously pushes back against an intervention, distinguished from the passive nonlinear propagation of the intervention through the causal graph. The third is pressure localization: given that a system responding to an external disturbance will concentrate its response somewhere, where.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The epistemic claims here differ from those of the detection paper. Where detection produces structural signatures with carefully bounded interpretive range, intervention analysis produces predictions about system behavior under counterfactual actions. Those predictions require stronger assumptions and are therefore more easily wrong. We state the required assumptions at each step and mark the points at which identification fails.</w:t>
      </w:r>
    </w:p>
    <w:p w:rsidR="00000000" w:rsidDel="00000000" w:rsidP="00000000" w:rsidRDefault="00000000" w:rsidRPr="00000000" w14:paraId="00000011">
      <w:pPr>
        <w:pStyle w:val="Heading2"/>
        <w:rPr/>
      </w:pPr>
      <w:bookmarkStart w:colFirst="0" w:colLast="0" w:name="_iknhfm0whr9" w:id="3"/>
      <w:bookmarkEnd w:id="3"/>
      <w:r w:rsidDel="00000000" w:rsidR="00000000" w:rsidRPr="00000000">
        <w:rPr>
          <w:rtl w:val="0"/>
        </w:rPr>
        <w:t xml:space="preserve">2. Preliminaries</w:t>
      </w:r>
    </w:p>
    <w:p w:rsidR="00000000" w:rsidDel="00000000" w:rsidP="00000000" w:rsidRDefault="00000000" w:rsidRPr="00000000" w14:paraId="00000012">
      <w:pPr>
        <w:rPr/>
      </w:pPr>
      <w:r w:rsidDel="00000000" w:rsidR="00000000" w:rsidRPr="00000000">
        <w:rPr>
          <w:rtl w:val="0"/>
        </w:rPr>
        <w:t xml:space="preserve">We take the system setup of the companion paper: system $S$, observed agent set $\mathcal{A}$, feasible-set estimators $\hat{O}_i$ and $\hat{O}_i'$, constraint map $\phi_A$, stated objective $U_s$, inferred effective objective $\hat{U}$, causal model $M$ with its OR-gate or share-weighted structure, and detection operators $H_1, H_2, H_3$. We refer the reader to the companion paper for the formal development of these objects and adopt them here without restatement.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An </w:t>
      </w:r>
      <w:r w:rsidDel="00000000" w:rsidR="00000000" w:rsidRPr="00000000">
        <w:rPr>
          <w:b w:val="1"/>
          <w:bCs w:val="1"/>
          <w:rtl w:val="0"/>
        </w:rPr>
        <w:t xml:space="preserve">intervention</w:t>
      </w:r>
      <w:r w:rsidDel="00000000" w:rsidR="00000000" w:rsidRPr="00000000">
        <w:rPr>
          <w:rtl w:val="0"/>
        </w:rPr>
        <w:t xml:space="preserve"> at node $i$ with magnitude $\delta$ is a smooth perturbation $$\mathcal{I}_i(\delta): S \mapsto S', \qquad \mathcal{I}_i(0) = S,$$ parameterized such that $\mathcal{I}_i(\delta)$ is differentiable in $\delta$ in a neighborhood of zero. Interventions modify feasible sets, constraint maps, or policy parameters. Throughout this paper we restrict attention to interventions admitting this smooth parameterization. Discrete interventions such as node removal or agent substitution are excluded and require a separate treatment with finite-difference analogues of the operators defined below.</w:t>
      </w:r>
    </w:p>
    <w:p w:rsidR="00000000" w:rsidDel="00000000" w:rsidP="00000000" w:rsidRDefault="00000000" w:rsidRPr="00000000" w14:paraId="00000015">
      <w:pPr>
        <w:pStyle w:val="Heading2"/>
        <w:rPr/>
      </w:pPr>
      <w:bookmarkStart w:colFirst="0" w:colLast="0" w:name="_afk95dfvj73" w:id="4"/>
      <w:bookmarkEnd w:id="4"/>
      <w:r w:rsidDel="00000000" w:rsidR="00000000" w:rsidRPr="00000000">
        <w:rPr>
          <w:rtl w:val="0"/>
        </w:rPr>
        <w:t xml:space="preserve">3. Greatest Gains</w:t>
      </w:r>
    </w:p>
    <w:p w:rsidR="00000000" w:rsidDel="00000000" w:rsidP="00000000" w:rsidRDefault="00000000" w:rsidRPr="00000000" w14:paraId="00000016">
      <w:pPr>
        <w:pStyle w:val="Heading3"/>
        <w:rPr/>
      </w:pPr>
      <w:bookmarkStart w:colFirst="0" w:colLast="0" w:name="_7x5nbdrt7hcg" w:id="5"/>
      <w:bookmarkEnd w:id="5"/>
      <w:r w:rsidDel="00000000" w:rsidR="00000000" w:rsidRPr="00000000">
        <w:rPr>
          <w:rtl w:val="0"/>
        </w:rPr>
        <w:t xml:space="preserve">3.1 Definition</w:t>
      </w:r>
    </w:p>
    <w:p w:rsidR="00000000" w:rsidDel="00000000" w:rsidP="00000000" w:rsidRDefault="00000000" w:rsidRPr="00000000" w14:paraId="00000017">
      <w:pPr>
        <w:rPr/>
      </w:pPr>
      <w:r w:rsidDel="00000000" w:rsidR="00000000" w:rsidRPr="00000000">
        <w:rPr>
          <w:rtl w:val="0"/>
        </w:rPr>
        <w:t xml:space="preserve">The Greatest Gains operator at node $i$ is the marginal derivative of the expected stated objective under intervention: $$G(i) = \left.\frac{\partial}{\partial \delta} \mathbb{E}[U_s \mid \mathcal{I}</w:t>
      </w:r>
      <w:r w:rsidDel="00000000" w:rsidR="00000000" w:rsidRPr="00000000">
        <w:rPr>
          <w:i w:val="1"/>
          <w:iCs w:val="1"/>
          <w:rtl w:val="0"/>
        </w:rPr>
        <w:t xml:space="preserve">i(\delta)]\right|</w:t>
      </w:r>
      <w:r w:rsidDel="00000000" w:rsidR="00000000" w:rsidRPr="00000000">
        <w:rPr>
          <w:rtl w:val="0"/>
        </w:rPr>
        <w:t xml:space="preserve">{\delta=0}.$$</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Finite-difference approximation uses small $\delta &gt; 0$: $$\hat{G}(i) \approx \frac{\mathbb{E}[U_s \mid \mathcal{I}_i(\delta)] - \mathbb{E}[U_s]}{\delta}.$$</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An analogous constraint-gain operator takes the derivative with respect to a parameterized family of constraint maps $\phi_A^\delta$: $$G(\phi_A \to i) = \left.\frac{\partial}{\partial \delta} \mathbb{E}[U_s \mid \phi_A^\delta(\hat{O}</w:t>
      </w:r>
      <w:r w:rsidDel="00000000" w:rsidR="00000000" w:rsidRPr="00000000">
        <w:rPr>
          <w:i w:val="1"/>
          <w:iCs w:val="1"/>
          <w:rtl w:val="0"/>
        </w:rPr>
        <w:t xml:space="preserve">i)]\right|</w:t>
      </w:r>
      <w:r w:rsidDel="00000000" w:rsidR="00000000" w:rsidRPr="00000000">
        <w:rPr>
          <w:rtl w:val="0"/>
        </w:rPr>
        <w:t xml:space="preserve">{\delta=0}.$$ This is the operational translation of the companion paper's Constraint Equivalence theorem: changing feasible sets changes outcomes, and the derivative quantifies by how much.</w:t>
      </w:r>
    </w:p>
    <w:p w:rsidR="00000000" w:rsidDel="00000000" w:rsidP="00000000" w:rsidRDefault="00000000" w:rsidRPr="00000000" w14:paraId="0000001C">
      <w:pPr>
        <w:pStyle w:val="Heading3"/>
        <w:rPr/>
      </w:pPr>
      <w:bookmarkStart w:colFirst="0" w:colLast="0" w:name="_chwg7m4wvdk0" w:id="6"/>
      <w:bookmarkEnd w:id="6"/>
      <w:r w:rsidDel="00000000" w:rsidR="00000000" w:rsidRPr="00000000">
        <w:rPr>
          <w:rtl w:val="0"/>
        </w:rPr>
        <w:t xml:space="preserve">3.2 Interpretation and Bottleneck Concentration</w:t>
      </w:r>
    </w:p>
    <w:p w:rsidR="00000000" w:rsidDel="00000000" w:rsidP="00000000" w:rsidRDefault="00000000" w:rsidRPr="00000000" w14:paraId="0000001D">
      <w:pPr>
        <w:rPr/>
      </w:pPr>
      <w:r w:rsidDel="00000000" w:rsidR="00000000" w:rsidRPr="00000000">
        <w:rPr>
          <w:rtl w:val="0"/>
        </w:rPr>
        <w:t xml:space="preserve">$G(i) &gt; 0$ identifies improving leverage points; $G(i) &lt; 0$ identifies adversarial leverage; $G(i) \approx 0$ identifies flat regions with no local gain to intervention. Under regularity, bottleneck nodes dominate: $$i \in B \Rightarrow G(i) \gg G(j) \text{ for typical } j \notin B,$$ because perturbations at bottlenecks propagate through all outcomes downstream of them. This connects $G$ directly to the bottleneck structure of the detection paper and makes the detection of bottlenecks prior to the computation of leverage.</w:t>
      </w:r>
    </w:p>
    <w:p w:rsidR="00000000" w:rsidDel="00000000" w:rsidP="00000000" w:rsidRDefault="00000000" w:rsidRPr="00000000" w14:paraId="0000001E">
      <w:pPr>
        <w:pStyle w:val="Heading3"/>
        <w:rPr/>
      </w:pPr>
      <w:bookmarkStart w:colFirst="0" w:colLast="0" w:name="_yyhwyphqk4sm" w:id="7"/>
      <w:bookmarkEnd w:id="7"/>
      <w:r w:rsidDel="00000000" w:rsidR="00000000" w:rsidRPr="00000000">
        <w:rPr>
          <w:rtl w:val="0"/>
        </w:rPr>
        <w:t xml:space="preserve">3.3 Identification</w:t>
      </w:r>
    </w:p>
    <w:p w:rsidR="00000000" w:rsidDel="00000000" w:rsidP="00000000" w:rsidRDefault="00000000" w:rsidRPr="00000000" w14:paraId="0000001F">
      <w:pPr>
        <w:rPr/>
      </w:pPr>
      <w:r w:rsidDel="00000000" w:rsidR="00000000" w:rsidRPr="00000000">
        <w:rPr>
          <w:rtl w:val="0"/>
        </w:rPr>
        <w:t xml:space="preserve">$G(i)$ is a causal derivative and requires identifiability conditions more demanding than purely observational analysis. Either (a) an identified causal model supporting do-calculus queries, (b) natural-experiment variation at the intervention node, or (c) an actually executed intervention is required. Without one of these, $\hat{G}(i)$ is a descriptive gradient of observed behavior rather than a causal leverage estimate, and should be labeled accordingly. This caveat is not a throwaway; most applied settings in institutional analysis fail to supply any of (a), (b), or (c) strictly.</w:t>
      </w:r>
    </w:p>
    <w:p w:rsidR="00000000" w:rsidDel="00000000" w:rsidP="00000000" w:rsidRDefault="00000000" w:rsidRPr="00000000" w14:paraId="00000020">
      <w:pPr>
        <w:pStyle w:val="Heading2"/>
        <w:rPr/>
      </w:pPr>
      <w:bookmarkStart w:colFirst="0" w:colLast="0" w:name="_dglsu86h2oyg" w:id="8"/>
      <w:bookmarkEnd w:id="8"/>
      <w:r w:rsidDel="00000000" w:rsidR="00000000" w:rsidRPr="00000000">
        <w:rPr>
          <w:rtl w:val="0"/>
        </w:rPr>
        <w:t xml:space="preserve">4. Resistance</w:t>
      </w:r>
    </w:p>
    <w:p w:rsidR="00000000" w:rsidDel="00000000" w:rsidP="00000000" w:rsidRDefault="00000000" w:rsidRPr="00000000" w14:paraId="00000021">
      <w:pPr>
        <w:pStyle w:val="Heading3"/>
        <w:rPr/>
      </w:pPr>
      <w:bookmarkStart w:colFirst="0" w:colLast="0" w:name="_va3b2nvb2j42" w:id="9"/>
      <w:bookmarkEnd w:id="9"/>
      <w:r w:rsidDel="00000000" w:rsidR="00000000" w:rsidRPr="00000000">
        <w:rPr>
          <w:rtl w:val="0"/>
        </w:rPr>
        <w:t xml:space="preserve">4.1 The Nonlinearity Problem</w:t>
      </w:r>
    </w:p>
    <w:p w:rsidR="00000000" w:rsidDel="00000000" w:rsidP="00000000" w:rsidRDefault="00000000" w:rsidRPr="00000000" w14:paraId="00000022">
      <w:pPr>
        <w:rPr/>
      </w:pPr>
      <w:r w:rsidDel="00000000" w:rsidR="00000000" w:rsidRPr="00000000">
        <w:rPr>
          <w:rtl w:val="0"/>
        </w:rPr>
        <w:t xml:space="preserve">A naive definition of resistance compares observed change to first-order predicted change: $$R_{\text{naive}}(i) = 1 - \frac{\Delta U^{\text{obs}}(i)}{G(i),\delta}.$$</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This conflates endogenous reactive resistance with ordinary causal-graph nonlinearity. A system whose only "response" to an intervention is diminishing marginal returns registers $R_{\text{naive}} &gt; 0$ without any agent reacting to the intervention at all. Distinguishing genuine resistance from mere nonlinearity requires separating the mechanical propagation of the intervention from any reactive component.</w:t>
      </w:r>
    </w:p>
    <w:p w:rsidR="00000000" w:rsidDel="00000000" w:rsidP="00000000" w:rsidRDefault="00000000" w:rsidRPr="00000000" w14:paraId="00000025">
      <w:pPr>
        <w:pStyle w:val="Heading3"/>
        <w:rPr/>
      </w:pPr>
      <w:bookmarkStart w:colFirst="0" w:colLast="0" w:name="_1m1xnjlbwdm7" w:id="10"/>
      <w:bookmarkEnd w:id="10"/>
      <w:r w:rsidDel="00000000" w:rsidR="00000000" w:rsidRPr="00000000">
        <w:rPr>
          <w:rtl w:val="0"/>
        </w:rPr>
        <w:t xml:space="preserve">4.2 Mechanical-Reactive Decomposition</w:t>
      </w:r>
    </w:p>
    <w:p w:rsidR="00000000" w:rsidDel="00000000" w:rsidP="00000000" w:rsidRDefault="00000000" w:rsidRPr="00000000" w14:paraId="00000026">
      <w:pPr>
        <w:rPr/>
      </w:pPr>
      <w:r w:rsidDel="00000000" w:rsidR="00000000" w:rsidRPr="00000000">
        <w:rPr>
          <w:rtl w:val="0"/>
        </w:rPr>
        <w:t xml:space="preserve">We decompose the observed change as $$\Delta U^{\text{obs}}(i) = \Delta U^{\text{mech}}(i) + \Delta U^{\text{react}}(i)$$ where $\Delta U^{\text{mech}}$ is the change predicted by the causal model $M$ holding agent policies fixed at their pre-intervention equilibrium, and $\Delta U^{\text{react}}$ is the residual attributable to agent-policy changes in response to the intervention. The mechanical component is identifiable from $M$ alone under the pre-intervention-equilibrium assumption; the reactive component is then obtained by subtraction.</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We define the </w:t>
      </w:r>
      <w:r w:rsidDel="00000000" w:rsidR="00000000" w:rsidRPr="00000000">
        <w:rPr>
          <w:b w:val="1"/>
          <w:bCs w:val="1"/>
          <w:rtl w:val="0"/>
        </w:rPr>
        <w:t xml:space="preserve">resistance operator</w:t>
      </w:r>
      <w:r w:rsidDel="00000000" w:rsidR="00000000" w:rsidRPr="00000000">
        <w:rPr>
          <w:rtl w:val="0"/>
        </w:rPr>
        <w:t xml:space="preserve"> as the scale-free opposition of the reactive component to the mechanical component: $$R(i) = -\frac{\Delta U^{\text{react}}(i)}{|\Delta U^{\text{mech}}(i)|}.$$</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Under this definition:</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C">
      <w:pPr>
        <w:numPr>
          <w:ilvl w:val="0"/>
          <w:numId w:val="2"/>
        </w:numPr>
        <w:ind w:left="720" w:hanging="360"/>
      </w:pPr>
      <w:r w:rsidDel="00000000" w:rsidR="00000000" w:rsidRPr="00000000">
        <w:rPr>
          <w:rtl w:val="0"/>
        </w:rPr>
        <w:t xml:space="preserve">$R(i) = 0$: no reactive response; observed change equals mechanical prediction.</w:t>
      </w:r>
    </w:p>
    <w:p w:rsidR="00000000" w:rsidDel="00000000" w:rsidP="00000000" w:rsidRDefault="00000000" w:rsidRPr="00000000" w14:paraId="0000002D">
      <w:pPr>
        <w:numPr>
          <w:ilvl w:val="0"/>
          <w:numId w:val="2"/>
        </w:numPr>
        <w:ind w:left="720" w:hanging="360"/>
      </w:pPr>
      <w:r w:rsidDel="00000000" w:rsidR="00000000" w:rsidRPr="00000000">
        <w:rPr>
          <w:rtl w:val="0"/>
        </w:rPr>
        <w:t xml:space="preserve">$R(i) &gt; 0$: reactive response opposes the intervention.</w:t>
      </w:r>
    </w:p>
    <w:p w:rsidR="00000000" w:rsidDel="00000000" w:rsidP="00000000" w:rsidRDefault="00000000" w:rsidRPr="00000000" w14:paraId="0000002E">
      <w:pPr>
        <w:numPr>
          <w:ilvl w:val="0"/>
          <w:numId w:val="2"/>
        </w:numPr>
        <w:ind w:left="720" w:hanging="360"/>
      </w:pPr>
      <w:r w:rsidDel="00000000" w:rsidR="00000000" w:rsidRPr="00000000">
        <w:rPr>
          <w:rtl w:val="0"/>
        </w:rPr>
        <w:t xml:space="preserve">$R(i) &lt; 0$: reactive response amplifies the intervention.</w:t>
      </w:r>
    </w:p>
    <w:p w:rsidR="00000000" w:rsidDel="00000000" w:rsidP="00000000" w:rsidRDefault="00000000" w:rsidRPr="00000000" w14:paraId="0000002F">
      <w:pPr>
        <w:numPr>
          <w:ilvl w:val="0"/>
          <w:numId w:val="2"/>
        </w:numPr>
        <w:ind w:left="720" w:hanging="360"/>
      </w:pPr>
      <w:r w:rsidDel="00000000" w:rsidR="00000000" w:rsidRPr="00000000">
        <w:rPr>
          <w:rtl w:val="0"/>
        </w:rPr>
        <w:t xml:space="preserve">$R(i) &gt; 1$: reactive response large enough to reverse the intervention's sign (overcompensation).</w:t>
      </w:r>
    </w:p>
    <w:p w:rsidR="00000000" w:rsidDel="00000000" w:rsidP="00000000" w:rsidRDefault="00000000" w:rsidRPr="00000000" w14:paraId="00000030">
      <w:pPr>
        <w:pStyle w:val="Heading3"/>
        <w:rPr/>
      </w:pPr>
      <w:bookmarkStart w:colFirst="0" w:colLast="0" w:name="_bdkg9z1cuw4s" w:id="11"/>
      <w:bookmarkEnd w:id="11"/>
      <w:r w:rsidDel="00000000" w:rsidR="00000000" w:rsidRPr="00000000">
        <w:rPr>
          <w:rtl w:val="0"/>
        </w:rPr>
        <w:t xml:space="preserve">4.3 Identification</w:t>
      </w:r>
    </w:p>
    <w:p w:rsidR="00000000" w:rsidDel="00000000" w:rsidP="00000000" w:rsidRDefault="00000000" w:rsidRPr="00000000" w14:paraId="00000031">
      <w:pPr>
        <w:rPr/>
      </w:pPr>
      <w:r w:rsidDel="00000000" w:rsidR="00000000" w:rsidRPr="00000000">
        <w:rPr>
          <w:rtl w:val="0"/>
        </w:rPr>
        <w:t xml:space="preserve">Identifying $\Delta U^{\text{mech}}$ requires either a model of pre-intervention equilibrium agent behavior that is credibly invariant to the intervention, or a control regime in which agents cannot react. Both are strong conditions. In observational settings they are rarely satisfied strictly, and $R(i)$ is best interpreted as a quantity conditional on a specified null model of non-reactive propagation. Reporting $R(i)$ without reporting the null model is incomplete.</w:t>
      </w:r>
    </w:p>
    <w:p w:rsidR="00000000" w:rsidDel="00000000" w:rsidP="00000000" w:rsidRDefault="00000000" w:rsidRPr="00000000" w14:paraId="00000032">
      <w:pPr>
        <w:pStyle w:val="Heading3"/>
        <w:rPr/>
      </w:pPr>
      <w:bookmarkStart w:colFirst="0" w:colLast="0" w:name="_4uil88wxi59g" w:id="12"/>
      <w:bookmarkEnd w:id="12"/>
      <w:r w:rsidDel="00000000" w:rsidR="00000000" w:rsidRPr="00000000">
        <w:rPr>
          <w:rtl w:val="0"/>
        </w:rPr>
        <w:t xml:space="preserve">4.4 Sources of Resistance: A Regression Decomposition</w:t>
      </w:r>
    </w:p>
    <w:p w:rsidR="00000000" w:rsidDel="00000000" w:rsidP="00000000" w:rsidRDefault="00000000" w:rsidRPr="00000000" w14:paraId="00000033">
      <w:pPr>
        <w:rPr/>
      </w:pPr>
      <w:r w:rsidDel="00000000" w:rsidR="00000000" w:rsidRPr="00000000">
        <w:rPr>
          <w:rtl w:val="0"/>
        </w:rPr>
        <w:t xml:space="preserve">Rather than asserting an additive decomposition of $R$ into a prescribed set of components, we propose four candidate mechanisms as regressors jointly identified from data: $$R(i) \approx \beta_c, CC(A \to i) + \beta_{\text{coh}}, \gamma(i) + \beta_{\text{obj}}\left|\frac{\partial H_3}{\partial i}\right| + \beta_{\text{top}}, \kappa(i) + \varepsilon(i).$$</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The four regressors correspond to:</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numPr>
          <w:ilvl w:val="0"/>
          <w:numId w:val="3"/>
        </w:numPr>
        <w:ind w:left="720" w:hanging="360"/>
      </w:pPr>
      <w:r w:rsidDel="00000000" w:rsidR="00000000" w:rsidRPr="00000000">
        <w:rPr>
          <w:b w:val="1"/>
          <w:bCs w:val="1"/>
          <w:rtl w:val="0"/>
        </w:rPr>
        <w:t xml:space="preserve">Constraint resistance</w:t>
      </w:r>
      <w:r w:rsidDel="00000000" w:rsidR="00000000" w:rsidRPr="00000000">
        <w:rPr>
          <w:rtl w:val="0"/>
        </w:rPr>
        <w:t xml:space="preserve"> via the constraint control coefficient $CC(A \to i)$ of the companion paper. Constrained agents have less latitude to comply with an intervention and resist by default.</w:t>
      </w:r>
    </w:p>
    <w:p w:rsidR="00000000" w:rsidDel="00000000" w:rsidP="00000000" w:rsidRDefault="00000000" w:rsidRPr="00000000" w14:paraId="00000038">
      <w:pPr>
        <w:numPr>
          <w:ilvl w:val="0"/>
          <w:numId w:val="3"/>
        </w:numPr>
        <w:ind w:left="720" w:hanging="360"/>
      </w:pPr>
      <w:r w:rsidDel="00000000" w:rsidR="00000000" w:rsidRPr="00000000">
        <w:rPr>
          <w:b w:val="1"/>
          <w:bCs w:val="1"/>
          <w:rtl w:val="0"/>
        </w:rPr>
        <w:t xml:space="preserve">Coherence resistance</w:t>
      </w:r>
      <w:r w:rsidDel="00000000" w:rsidR="00000000" w:rsidRPr="00000000">
        <w:rPr>
          <w:rtl w:val="0"/>
        </w:rPr>
        <w:t xml:space="preserve"> via the per-node coherence contribution $\gamma(i)$, defined below. Agents embedded in shared hidden structure inherit that structure's reactive character.</w:t>
      </w:r>
    </w:p>
    <w:p w:rsidR="00000000" w:rsidDel="00000000" w:rsidP="00000000" w:rsidRDefault="00000000" w:rsidRPr="00000000" w14:paraId="00000039">
      <w:pPr>
        <w:numPr>
          <w:ilvl w:val="0"/>
          <w:numId w:val="3"/>
        </w:numPr>
        <w:ind w:left="720" w:hanging="360"/>
      </w:pPr>
      <w:r w:rsidDel="00000000" w:rsidR="00000000" w:rsidRPr="00000000">
        <w:rPr>
          <w:b w:val="1"/>
          <w:bCs w:val="1"/>
          <w:rtl w:val="0"/>
        </w:rPr>
        <w:t xml:space="preserve">Objective resistance</w:t>
      </w:r>
      <w:r w:rsidDel="00000000" w:rsidR="00000000" w:rsidRPr="00000000">
        <w:rPr>
          <w:rtl w:val="0"/>
        </w:rPr>
        <w:t xml:space="preserve"> via $|\partial H_3 / \partial i|$. Interventions that push observed behavior toward the stated objective and away from the effective one meet stronger reactive opposition from agents whose effective utility depends on the divergence.</w:t>
      </w:r>
    </w:p>
    <w:p w:rsidR="00000000" w:rsidDel="00000000" w:rsidP="00000000" w:rsidRDefault="00000000" w:rsidRPr="00000000" w14:paraId="0000003A">
      <w:pPr>
        <w:numPr>
          <w:ilvl w:val="0"/>
          <w:numId w:val="3"/>
        </w:numPr>
        <w:ind w:left="720" w:hanging="360"/>
      </w:pPr>
      <w:r w:rsidDel="00000000" w:rsidR="00000000" w:rsidRPr="00000000">
        <w:rPr>
          <w:b w:val="1"/>
          <w:bCs w:val="1"/>
          <w:rtl w:val="0"/>
        </w:rPr>
        <w:t xml:space="preserve">Topological resistance</w:t>
      </w:r>
      <w:r w:rsidDel="00000000" w:rsidR="00000000" w:rsidRPr="00000000">
        <w:rPr>
          <w:rtl w:val="0"/>
        </w:rPr>
        <w:t xml:space="preserve"> via bottleneck centrality $\kappa(i)$. Systems have topological incentive to preserve hub nodes.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The coefficients $\beta_c, \beta_{\text{coh}}, \beta_{\text{obj}}, \beta_{\text{top}}$ are identified empirically, not asserted. Honest reporting requires estimates with uncertainty, and the residual $\varepsilon(i)$ is not to be suppressed: a system whose resistance is dominated by $\varepsilon$ is telling the analyst that the hypothesized mechanism set is incomplete.</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The </w:t>
      </w:r>
      <w:r w:rsidDel="00000000" w:rsidR="00000000" w:rsidRPr="00000000">
        <w:rPr>
          <w:b w:val="1"/>
          <w:bCs w:val="1"/>
          <w:rtl w:val="0"/>
        </w:rPr>
        <w:t xml:space="preserve">per-node coherence contribution</w:t>
      </w:r>
      <w:r w:rsidDel="00000000" w:rsidR="00000000" w:rsidRPr="00000000">
        <w:rPr>
          <w:rtl w:val="0"/>
        </w:rPr>
        <w:t xml:space="preserve"> is the marginal information loss from removing node $i$: $$\gamma(i) = \text{Coh}(a_1, \ldots, a_n) - \text{Coh}(a_1, \ldots, a_{i-1}, a_{i+1}, \ldots, a_n).$$</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Other per-node decompositions of coherence (Shapley-value, transfer-entropy-based) are admissible and produce different numerical estimates; the leave-one-out form above is the computationally cheapest and is the one we adopt for the regression.</w:t>
      </w:r>
    </w:p>
    <w:p w:rsidR="00000000" w:rsidDel="00000000" w:rsidP="00000000" w:rsidRDefault="00000000" w:rsidRPr="00000000" w14:paraId="00000041">
      <w:pPr>
        <w:pStyle w:val="Heading2"/>
        <w:rPr/>
      </w:pPr>
      <w:bookmarkStart w:colFirst="0" w:colLast="0" w:name="_wkjm46leqe65" w:id="13"/>
      <w:bookmarkEnd w:id="13"/>
      <w:r w:rsidDel="00000000" w:rsidR="00000000" w:rsidRPr="00000000">
        <w:rPr>
          <w:rtl w:val="0"/>
        </w:rPr>
        <w:t xml:space="preserve">5. Breakpoint Threshold</w:t>
      </w:r>
    </w:p>
    <w:p w:rsidR="00000000" w:rsidDel="00000000" w:rsidP="00000000" w:rsidRDefault="00000000" w:rsidRPr="00000000" w14:paraId="00000042">
      <w:pPr>
        <w:rPr/>
      </w:pPr>
      <w:r w:rsidDel="00000000" w:rsidR="00000000" w:rsidRPr="00000000">
        <w:rPr>
          <w:rtl w:val="0"/>
        </w:rPr>
        <w:t xml:space="preserve">The minimum intervention magnitude sufficient to shift the stated objective by at least $\epsilon$ is $$\tau(i, \epsilon) = \inf\left{\delta &gt; 0 : \mathbb{E}[U_s \mid \mathcal{I}_i(\delta)] - \mathbb{E}[U_s] &gt; \epsilon\right}.$$</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Small $\tau$ indicates a pliable intervention point; large $\tau$ indicates a rigid one. A discontinuity in $\tau$ as a function of $\epsilon$ or of adjacent system parameters signals a structural phase change, at which point the smooth-intervention assumption of Section 2 breaks down and the framework's local-derivative operators degrade. We treat such discontinuities as diagnostics: the framework correctly reports that smooth analysis does not extend through a boundary, rather than silently producing unreliable numbers on the far side.</w:t>
      </w:r>
    </w:p>
    <w:p w:rsidR="00000000" w:rsidDel="00000000" w:rsidP="00000000" w:rsidRDefault="00000000" w:rsidRPr="00000000" w14:paraId="00000045">
      <w:pPr>
        <w:pStyle w:val="Heading2"/>
        <w:rPr/>
      </w:pPr>
      <w:bookmarkStart w:colFirst="0" w:colLast="0" w:name="_o7a048qr0b3c" w:id="14"/>
      <w:bookmarkEnd w:id="14"/>
      <w:r w:rsidDel="00000000" w:rsidR="00000000" w:rsidRPr="00000000">
        <w:rPr>
          <w:rtl w:val="0"/>
        </w:rPr>
        <w:t xml:space="preserve">6. Pressure</w:t>
      </w:r>
    </w:p>
    <w:p w:rsidR="00000000" w:rsidDel="00000000" w:rsidP="00000000" w:rsidRDefault="00000000" w:rsidRPr="00000000" w14:paraId="00000046">
      <w:pPr>
        <w:pStyle w:val="Heading3"/>
        <w:rPr/>
      </w:pPr>
      <w:bookmarkStart w:colFirst="0" w:colLast="0" w:name="_omvnmb7ede6m" w:id="15"/>
      <w:bookmarkEnd w:id="15"/>
      <w:r w:rsidDel="00000000" w:rsidR="00000000" w:rsidRPr="00000000">
        <w:rPr>
          <w:rtl w:val="0"/>
        </w:rPr>
        <w:t xml:space="preserve">6.1 Effective Gain</w:t>
      </w:r>
    </w:p>
    <w:p w:rsidR="00000000" w:rsidDel="00000000" w:rsidP="00000000" w:rsidRDefault="00000000" w:rsidRPr="00000000" w14:paraId="00000047">
      <w:pPr>
        <w:rPr/>
      </w:pPr>
      <w:r w:rsidDel="00000000" w:rsidR="00000000" w:rsidRPr="00000000">
        <w:rPr>
          <w:rtl w:val="0"/>
        </w:rPr>
        <w:t xml:space="preserve">Effective gain discounts mechanical gain by the resistance it provokes: $$G_{\text{eff}}(i) = G(i),(1 - R(i)).$$</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is the operational quantity for intervention selection. Choosing $i$ to maximize $G(i)$ ignores resistance and overstates realized leverage; choosing $i$ to maximize $G_{\text{eff}}(i)$ does not.</w:t>
      </w:r>
    </w:p>
    <w:p w:rsidR="00000000" w:rsidDel="00000000" w:rsidP="00000000" w:rsidRDefault="00000000" w:rsidRPr="00000000" w14:paraId="0000004A">
      <w:pPr>
        <w:pStyle w:val="Heading3"/>
        <w:rPr/>
      </w:pPr>
      <w:bookmarkStart w:colFirst="0" w:colLast="0" w:name="_hx9buhcg4o2d" w:id="16"/>
      <w:bookmarkEnd w:id="16"/>
      <w:r w:rsidDel="00000000" w:rsidR="00000000" w:rsidRPr="00000000">
        <w:rPr>
          <w:rtl w:val="0"/>
        </w:rPr>
        <w:t xml:space="preserve">6.2 The Pressure Operator</w:t>
      </w:r>
    </w:p>
    <w:p w:rsidR="00000000" w:rsidDel="00000000" w:rsidP="00000000" w:rsidRDefault="00000000" w:rsidRPr="00000000" w14:paraId="0000004B">
      <w:pPr>
        <w:rPr/>
      </w:pPr>
      <w:r w:rsidDel="00000000" w:rsidR="00000000" w:rsidRPr="00000000">
        <w:rPr>
          <w:rtl w:val="0"/>
        </w:rPr>
        <w:t xml:space="preserve">Pressure asks the complementary question from the system's own point of view: where would a system responding to an external disturbance concentrate its reaction, if the reaction is targeted to preserve the system's effective objective $\hat{U}$? We define $$P(i) \propto G_{\hat{U}}(i) \cdot \kappa(i) \cdot \gamma(i)$$ where $G_{\hat{U}}(i)$ is the gain operator computed against the inferred effective objective rather than the stated one. The multiplicative aggregation reflects a joint-necessity intuition: a node is a plausible target for concentrated response only if it has leverage on $\hat{U}$, is topologically central, and participates in the system's shared structure. Additive and weighted-geometric alternatives are plausible and produce different localization behavior; the multiplicative form is a modeling commitment with no uniqueness claim, and alternative forms should be examined in applied work.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w:t>
      </w:r>
      <w:r w:rsidDel="00000000" w:rsidR="00000000" w:rsidRPr="00000000">
        <w:rPr>
          <w:b w:val="1"/>
          <w:bCs w:val="1"/>
          <w:rtl w:val="0"/>
        </w:rPr>
        <w:t xml:space="preserve">normalized pressure index</w:t>
      </w:r>
      <w:r w:rsidDel="00000000" w:rsidR="00000000" w:rsidRPr="00000000">
        <w:rPr>
          <w:rtl w:val="0"/>
        </w:rPr>
        <w:t xml:space="preserve"> is $$PI(i) = \frac{P(i)}{\sum_j P(j)},$$ and the </w:t>
      </w:r>
      <w:r w:rsidDel="00000000" w:rsidR="00000000" w:rsidRPr="00000000">
        <w:rPr>
          <w:b w:val="1"/>
          <w:bCs w:val="1"/>
          <w:rtl w:val="0"/>
        </w:rPr>
        <w:t xml:space="preserve">directional pressure</w:t>
      </w:r>
      <w:r w:rsidDel="00000000" w:rsidR="00000000" w:rsidRPr="00000000">
        <w:rPr>
          <w:rtl w:val="0"/>
        </w:rPr>
        <w:t xml:space="preserve"> at $i$ is $$D(i) = \text{sign}!\left(\frac{\partial \mathbb{E}[\hat{U}]}{\partial i}\right).$$</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Directional pressure separates magnitude and sign: $D(i) &gt; 0$ indicates pressure to increase influence at $i$, $D(i) &lt; 0$ indicates pressure to suppress it. The distinction matters because the unsigned index flags high-activity nodes regardless of which way the activity pushes, and these two cases often correspond to institutionally distinct phenomena (reinforcement versus suppression).</w:t>
      </w:r>
    </w:p>
    <w:p w:rsidR="00000000" w:rsidDel="00000000" w:rsidP="00000000" w:rsidRDefault="00000000" w:rsidRPr="00000000" w14:paraId="00000050">
      <w:pPr>
        <w:pStyle w:val="Heading3"/>
        <w:rPr/>
      </w:pPr>
      <w:bookmarkStart w:colFirst="0" w:colLast="0" w:name="_p2sdnq4bq232" w:id="17"/>
      <w:bookmarkEnd w:id="17"/>
      <w:r w:rsidDel="00000000" w:rsidR="00000000" w:rsidRPr="00000000">
        <w:rPr>
          <w:rtl w:val="0"/>
        </w:rPr>
        <w:t xml:space="preserve">6.3 Structural Pressure Localization</w:t>
      </w:r>
    </w:p>
    <w:p w:rsidR="00000000" w:rsidDel="00000000" w:rsidP="00000000" w:rsidRDefault="00000000" w:rsidRPr="00000000" w14:paraId="00000051">
      <w:pPr>
        <w:rPr/>
      </w:pPr>
      <w:r w:rsidDel="00000000" w:rsidR="00000000" w:rsidRPr="00000000">
        <w:rPr>
          <w:b w:val="1"/>
          <w:bCs w:val="1"/>
          <w:rtl w:val="0"/>
        </w:rPr>
        <w:t xml:space="preserve">Proposition 1 (Structural Pressure Localization).</w:t>
      </w:r>
      <w:r w:rsidDel="00000000" w:rsidR="00000000" w:rsidRPr="00000000">
        <w:rPr>
          <w:rtl w:val="0"/>
        </w:rPr>
        <w:t xml:space="preserve"> Suppose a system responding to an external disturbance selects its response to minimize deviation of the realized objective from $\hat{U}$, subject to a response cost function $C(\cdot)$ strictly increasing in per-node response magnitude with marginal cost $C'(i)$. Then under smooth-response regularity, the response concentrates on nodes in $$\arg\max_i \frac{G_{\hat{U}}(i) \cdot \kappa(i)}{C'(i)}.$$</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rtl w:val="0"/>
        </w:rPr>
        <w:t xml:space="preserve">Proof sketch.</w:t>
      </w:r>
      <w:r w:rsidDel="00000000" w:rsidR="00000000" w:rsidRPr="00000000">
        <w:rPr>
          <w:rtl w:val="0"/>
        </w:rPr>
        <w:t xml:space="preserve"> The response-selection problem minimizes expected objective deviation subject to a response budget. For smooth objectives and costs, first-order conditions equate marginal objective-restoration per node, $G_{\hat{U}}(i) \cdot \kappa(i)$, to marginal cost $C'(i)$ scaled by the Lagrange multiplier on the budget. Response concentrates at nodes with the highest ratio. Full formalization is a standard constrained-optimization argument and is omitted. $\blacksquare$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The proposition is conditional on cost-minimizing response. We explicitly do not claim that systems are globally optimal. The claim is weaker and more useful: to the extent a system's response approximates cost-minimization, observed concentration on high-$G_{\hat{U}} \kappa / C'$ nodes is a test of the cost-minimization hypothesis itself. A system that responds diffusely across nodes of heterogeneous $G_{\hat{U}} \kappa / C'$ fails the test and is operating under a different response model, which is a substantive empirical finding rather than a failure of the framework.</w:t>
      </w:r>
    </w:p>
    <w:p w:rsidR="00000000" w:rsidDel="00000000" w:rsidP="00000000" w:rsidRDefault="00000000" w:rsidRPr="00000000" w14:paraId="00000056">
      <w:pPr>
        <w:pStyle w:val="Heading3"/>
        <w:rPr/>
      </w:pPr>
      <w:bookmarkStart w:colFirst="0" w:colLast="0" w:name="_6yz33ustirpl" w:id="18"/>
      <w:bookmarkEnd w:id="18"/>
      <w:r w:rsidDel="00000000" w:rsidR="00000000" w:rsidRPr="00000000">
        <w:rPr>
          <w:rtl w:val="0"/>
        </w:rPr>
        <w:t xml:space="preserve">6.4 What Pressure Predicts</w:t>
      </w:r>
    </w:p>
    <w:p w:rsidR="00000000" w:rsidDel="00000000" w:rsidP="00000000" w:rsidRDefault="00000000" w:rsidRPr="00000000" w14:paraId="00000057">
      <w:pPr>
        <w:rPr/>
      </w:pPr>
      <w:r w:rsidDel="00000000" w:rsidR="00000000" w:rsidRPr="00000000">
        <w:rPr>
          <w:rtl w:val="0"/>
        </w:rPr>
        <w:t xml:space="preserve">Pressure does not predict actor identity, does not predict specific actions, and does not predict whether a response will occur at all. It predicts the argmax and upper tail of $P(i)$: the locations where a cost-minimizing response would concentrate if one is mounted, together with the direction that response would take.</w:t>
      </w:r>
    </w:p>
    <w:p w:rsidR="00000000" w:rsidDel="00000000" w:rsidP="00000000" w:rsidRDefault="00000000" w:rsidRPr="00000000" w14:paraId="00000058">
      <w:pPr>
        <w:pStyle w:val="Heading2"/>
        <w:rPr/>
      </w:pPr>
      <w:bookmarkStart w:colFirst="0" w:colLast="0" w:name="_5u0594jbqiy8" w:id="19"/>
      <w:bookmarkEnd w:id="19"/>
      <w:r w:rsidDel="00000000" w:rsidR="00000000" w:rsidRPr="00000000">
        <w:rPr>
          <w:rtl w:val="0"/>
        </w:rPr>
        <w:t xml:space="preserve">7. Discrimination: Reactive Resistance versus Shared Environment</w:t>
      </w:r>
    </w:p>
    <w:p w:rsidR="00000000" w:rsidDel="00000000" w:rsidP="00000000" w:rsidRDefault="00000000" w:rsidRPr="00000000" w14:paraId="00000059">
      <w:pPr>
        <w:rPr/>
      </w:pPr>
      <w:r w:rsidDel="00000000" w:rsidR="00000000" w:rsidRPr="00000000">
        <w:rPr>
          <w:rtl w:val="0"/>
        </w:rPr>
        <w:t xml:space="preserve">The Reichenbach problem of the companion paper reappears here. Observed reactive behavior consistent with resistance may alternatively reflect (a) a shared environmental response to the event that motivated the intervention rather than to the intervention itself, (b) spurious correlation induced by conditioning on post-intervention variables that are themselves effects of the intervention, or (c) measurement artifacts from comparing incomparable pre- and post-intervention distributions (e.g., selection-on-observables violations).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Discrimination strategies parallel those of the companion paper's Section 7. Temporal precedence is more tractable here because interventions typically have timestamps. Exogenous disturbance of a hypothesized reactive channel (for example, disruption of a coherence structure through personnel turnover) should differentially affect the resistance signal through that channel specifically, and differential effect is the discriminating signature against undifferentiated shared-environment alternatives. Conditioning on observed common causes inherits the same limitations as in detection: unobserved common causes remain a threat and the analyst's causal model remains a locus of vulnerability.</w:t>
      </w:r>
    </w:p>
    <w:p w:rsidR="00000000" w:rsidDel="00000000" w:rsidP="00000000" w:rsidRDefault="00000000" w:rsidRPr="00000000" w14:paraId="0000005C">
      <w:pPr>
        <w:pStyle w:val="Heading2"/>
        <w:rPr/>
      </w:pPr>
      <w:bookmarkStart w:colFirst="0" w:colLast="0" w:name="_3gxgs5ask6x4" w:id="20"/>
      <w:bookmarkEnd w:id="20"/>
      <w:r w:rsidDel="00000000" w:rsidR="00000000" w:rsidRPr="00000000">
        <w:rPr>
          <w:rtl w:val="0"/>
        </w:rPr>
        <w:t xml:space="preserve">8. Limitations</w:t>
      </w:r>
    </w:p>
    <w:p w:rsidR="00000000" w:rsidDel="00000000" w:rsidP="00000000" w:rsidRDefault="00000000" w:rsidRPr="00000000" w14:paraId="0000005D">
      <w:pPr>
        <w:rPr/>
      </w:pPr>
      <w:r w:rsidDel="00000000" w:rsidR="00000000" w:rsidRPr="00000000">
        <w:rPr>
          <w:rtl w:val="0"/>
        </w:rPr>
        <w:t xml:space="preserve">The operators $G$, $R$, $P$ are model-relative in the sense of the companion paper's Section 3.2 and inherit its multi-model protocol: operators should be reported across a plausible model set $\mathcal{M}$, with stable components and model sensitivity both stated. A response-framework claim that survives only under a single causal specification is weaker than one that survives across a spanning set.</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Specific limitations by operator:</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1">
      <w:pPr>
        <w:numPr>
          <w:ilvl w:val="0"/>
          <w:numId w:val="1"/>
        </w:numPr>
        <w:ind w:left="720" w:hanging="360"/>
      </w:pPr>
      <w:r w:rsidDel="00000000" w:rsidR="00000000" w:rsidRPr="00000000">
        <w:rPr>
          <w:rtl w:val="0"/>
        </w:rPr>
        <w:t xml:space="preserve">$G(i)$ requires causal identifiability. Without it, $\hat{G}$ is descriptive rather than causal.</w:t>
      </w:r>
    </w:p>
    <w:p w:rsidR="00000000" w:rsidDel="00000000" w:rsidP="00000000" w:rsidRDefault="00000000" w:rsidRPr="00000000" w14:paraId="00000062">
      <w:pPr>
        <w:numPr>
          <w:ilvl w:val="0"/>
          <w:numId w:val="1"/>
        </w:numPr>
        <w:ind w:left="720" w:hanging="360"/>
      </w:pPr>
      <w:r w:rsidDel="00000000" w:rsidR="00000000" w:rsidRPr="00000000">
        <w:rPr>
          <w:rtl w:val="0"/>
        </w:rPr>
        <w:t xml:space="preserve">$R(i)$ requires a credible mechanical-response null model. Without it, resistance estimates conflate reactive response with causal-graph nonlinearity.</w:t>
      </w:r>
    </w:p>
    <w:p w:rsidR="00000000" w:rsidDel="00000000" w:rsidP="00000000" w:rsidRDefault="00000000" w:rsidRPr="00000000" w14:paraId="00000063">
      <w:pPr>
        <w:numPr>
          <w:ilvl w:val="0"/>
          <w:numId w:val="1"/>
        </w:numPr>
        <w:ind w:left="720" w:hanging="360"/>
      </w:pPr>
      <w:r w:rsidDel="00000000" w:rsidR="00000000" w:rsidRPr="00000000">
        <w:rPr>
          <w:rtl w:val="0"/>
        </w:rPr>
        <w:t xml:space="preserve">$P(i)$ depends on $\hat{U}$, which inherits the identifiability limits of inverse optimization. Under standard IRL (maximum-entropy) conditions $\hat{U}$ is recoverable up to affine transformation; outside those conditions, $P$ is informative up to a larger equivalence class.</w:t>
      </w:r>
    </w:p>
    <w:p w:rsidR="00000000" w:rsidDel="00000000" w:rsidP="00000000" w:rsidRDefault="00000000" w:rsidRPr="00000000" w14:paraId="00000064">
      <w:pPr>
        <w:numPr>
          <w:ilvl w:val="0"/>
          <w:numId w:val="1"/>
        </w:numPr>
        <w:ind w:left="720" w:hanging="360"/>
      </w:pPr>
      <w:r w:rsidDel="00000000" w:rsidR="00000000" w:rsidRPr="00000000">
        <w:rPr>
          <w:rtl w:val="0"/>
        </w:rPr>
        <w:t xml:space="preserve">Proposition 1 is conditional on cost-minimization. It is falsifiable rather than universally true; a system that fails the test is operating under a different response model.</w:t>
      </w:r>
    </w:p>
    <w:p w:rsidR="00000000" w:rsidDel="00000000" w:rsidP="00000000" w:rsidRDefault="00000000" w:rsidRPr="00000000" w14:paraId="00000065">
      <w:pPr>
        <w:numPr>
          <w:ilvl w:val="0"/>
          <w:numId w:val="1"/>
        </w:numPr>
        <w:ind w:left="720" w:hanging="360"/>
      </w:pPr>
      <w:r w:rsidDel="00000000" w:rsidR="00000000" w:rsidRPr="00000000">
        <w:rPr>
          <w:rtl w:val="0"/>
        </w:rPr>
        <w:t xml:space="preserve">The multiplicative aggregation in $P$ is a modeling commitment, not a theorem, and alternatives should be considered.</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framework analyzes intervention once designed. It does not address the political economy of intervention selection, the legitimacy of who chooses the intervention objective, or the ethics of intervening on systems involving unwilling agents. Those questions belong to a separate normative layer that neither this paper nor the companion paper addresses.</w:t>
      </w:r>
    </w:p>
    <w:p w:rsidR="00000000" w:rsidDel="00000000" w:rsidP="00000000" w:rsidRDefault="00000000" w:rsidRPr="00000000" w14:paraId="00000068">
      <w:pPr>
        <w:pStyle w:val="Heading2"/>
        <w:rPr/>
      </w:pPr>
      <w:bookmarkStart w:colFirst="0" w:colLast="0" w:name="_cedau9y4i03r" w:id="21"/>
      <w:bookmarkEnd w:id="21"/>
      <w:r w:rsidDel="00000000" w:rsidR="00000000" w:rsidRPr="00000000">
        <w:rPr>
          <w:rtl w:val="0"/>
        </w:rPr>
        <w:t xml:space="preserve">9. Relation to the Detection Framework</w:t>
      </w:r>
    </w:p>
    <w:p w:rsidR="00000000" w:rsidDel="00000000" w:rsidP="00000000" w:rsidRDefault="00000000" w:rsidRPr="00000000" w14:paraId="00000069">
      <w:pPr>
        <w:rPr/>
      </w:pPr>
      <w:r w:rsidDel="00000000" w:rsidR="00000000" w:rsidRPr="00000000">
        <w:rPr>
          <w:rtl w:val="0"/>
        </w:rPr>
        <w:t xml:space="preserve">Detection and response operators compose. A practitioner using both would:</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numPr>
          <w:ilvl w:val="0"/>
          <w:numId w:val="4"/>
        </w:numPr>
        <w:ind w:left="720" w:hanging="360"/>
      </w:pPr>
      <w:r w:rsidDel="00000000" w:rsidR="00000000" w:rsidRPr="00000000">
        <w:rPr>
          <w:rtl w:val="0"/>
        </w:rPr>
        <w:t xml:space="preserve">Run the detection operators $H_1, H_2, H_3$ to establish the structural field.</w:t>
      </w:r>
    </w:p>
    <w:p w:rsidR="00000000" w:rsidDel="00000000" w:rsidP="00000000" w:rsidRDefault="00000000" w:rsidRPr="00000000" w14:paraId="0000006C">
      <w:pPr>
        <w:numPr>
          <w:ilvl w:val="0"/>
          <w:numId w:val="4"/>
        </w:numPr>
        <w:ind w:left="720" w:hanging="360"/>
      </w:pPr>
      <w:r w:rsidDel="00000000" w:rsidR="00000000" w:rsidRPr="00000000">
        <w:rPr>
          <w:rtl w:val="0"/>
        </w:rPr>
        <w:t xml:space="preserve">Identify bottleneck structure and the inferred effective objective $\hat{U}$.</w:t>
      </w:r>
    </w:p>
    <w:p w:rsidR="00000000" w:rsidDel="00000000" w:rsidP="00000000" w:rsidRDefault="00000000" w:rsidRPr="00000000" w14:paraId="0000006D">
      <w:pPr>
        <w:numPr>
          <w:ilvl w:val="0"/>
          <w:numId w:val="4"/>
        </w:numPr>
        <w:ind w:left="720" w:hanging="360"/>
      </w:pPr>
      <w:r w:rsidDel="00000000" w:rsidR="00000000" w:rsidRPr="00000000">
        <w:rPr>
          <w:rtl w:val="0"/>
        </w:rPr>
        <w:t xml:space="preserve">Compute $G(i)$ and $G_{\hat{U}}(i)$ at candidate intervention points.</w:t>
      </w:r>
    </w:p>
    <w:p w:rsidR="00000000" w:rsidDel="00000000" w:rsidP="00000000" w:rsidRDefault="00000000" w:rsidRPr="00000000" w14:paraId="0000006E">
      <w:pPr>
        <w:numPr>
          <w:ilvl w:val="0"/>
          <w:numId w:val="4"/>
        </w:numPr>
        <w:ind w:left="720" w:hanging="360"/>
      </w:pPr>
      <w:r w:rsidDel="00000000" w:rsidR="00000000" w:rsidRPr="00000000">
        <w:rPr>
          <w:rtl w:val="0"/>
        </w:rPr>
        <w:t xml:space="preserve">For executed or simulated interventions, compute $R(i)$ via the mechanical-reactive decomposition and the regression of Section 4.4.</w:t>
      </w:r>
    </w:p>
    <w:p w:rsidR="00000000" w:rsidDel="00000000" w:rsidP="00000000" w:rsidRDefault="00000000" w:rsidRPr="00000000" w14:paraId="0000006F">
      <w:pPr>
        <w:numPr>
          <w:ilvl w:val="0"/>
          <w:numId w:val="4"/>
        </w:numPr>
        <w:ind w:left="720" w:hanging="360"/>
      </w:pPr>
      <w:r w:rsidDel="00000000" w:rsidR="00000000" w:rsidRPr="00000000">
        <w:rPr>
          <w:rtl w:val="0"/>
        </w:rPr>
        <w:t xml:space="preserve">Predict $P(i)$ and $D(i)$ for anticipated system response.</w:t>
      </w:r>
    </w:p>
    <w:p w:rsidR="00000000" w:rsidDel="00000000" w:rsidP="00000000" w:rsidRDefault="00000000" w:rsidRPr="00000000" w14:paraId="00000070">
      <w:pPr>
        <w:numPr>
          <w:ilvl w:val="0"/>
          <w:numId w:val="4"/>
        </w:numPr>
        <w:ind w:left="720" w:hanging="360"/>
      </w:pPr>
      <w:r w:rsidDel="00000000" w:rsidR="00000000" w:rsidRPr="00000000">
        <w:rPr>
          <w:rtl w:val="0"/>
        </w:rPr>
        <w:t xml:space="preserve">Report all quantities under the multi-model protocol, with stable components separated from model-sensitive ones.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Detection tells you what is there. Response tells you where the leverage sits, how the system will push back, and where the push-back will concentrate. Neither framework identifies whom to indict, whom to intervene on, or what the intervention should accomplish; those are questions for their own frameworks.</w:t>
      </w:r>
    </w:p>
    <w:p w:rsidR="00000000" w:rsidDel="00000000" w:rsidP="00000000" w:rsidRDefault="00000000" w:rsidRPr="00000000" w14:paraId="00000073">
      <w:pPr>
        <w:pStyle w:val="Heading2"/>
        <w:rPr/>
      </w:pPr>
      <w:bookmarkStart w:colFirst="0" w:colLast="0" w:name="_alqre6qcm9vt" w:id="22"/>
      <w:bookmarkEnd w:id="22"/>
      <w:r w:rsidDel="00000000" w:rsidR="00000000" w:rsidRPr="00000000">
        <w:rPr>
          <w:rtl w:val="0"/>
        </w:rPr>
        <w:t xml:space="preserve">10. Conclusion</w:t>
      </w:r>
    </w:p>
    <w:p w:rsidR="00000000" w:rsidDel="00000000" w:rsidP="00000000" w:rsidRDefault="00000000" w:rsidRPr="00000000" w14:paraId="00000074">
      <w:pPr>
        <w:rPr/>
      </w:pPr>
      <w:r w:rsidDel="00000000" w:rsidR="00000000" w:rsidRPr="00000000">
        <w:rPr>
          <w:rtl w:val="0"/>
        </w:rPr>
        <w:t xml:space="preserve">Intervention, resistance, and pressure are recoverable from the structural field established by the detection framework, under stated identifiability conditions and with honest treatment of the decompositions involved. The Structural Pressure Localization result is stated as a conditional proposition rather than a universal theorem, and its concentration is a falsifiable test of its own cost-minimization premise. The framework converts structural detection into intervention design and response forecasting, which is a stronger claim than detection alone, supported by correspondingly stronger assumptions and correspondingly narrower scope.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A further paper in this suite, </w:t>
      </w:r>
      <w:r w:rsidDel="00000000" w:rsidR="00000000" w:rsidRPr="00000000">
        <w:rPr>
          <w:i w:val="1"/>
          <w:iCs w:val="1"/>
          <w:rtl w:val="0"/>
        </w:rPr>
        <w:t xml:space="preserve">Dynamics, Strategic Order, and Bottleneck Typing</w:t>
      </w:r>
      <w:r w:rsidDel="00000000" w:rsidR="00000000" w:rsidRPr="00000000">
        <w:rPr>
          <w:rtl w:val="0"/>
        </w:rPr>
        <w:t xml:space="preserve">, extends both the detection and response operators with time-indexing, a strategic-order graph, and bottleneck typing, yielding posture-conditional action-response topology. The operators defined here are the static case of that extension.</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rPr/>
      </w:pPr>
      <w:bookmarkStart w:colFirst="0" w:colLast="0" w:name="_k9v35qmfa9zu" w:id="23"/>
      <w:bookmarkEnd w:id="23"/>
      <w:r w:rsidDel="00000000" w:rsidR="00000000" w:rsidRPr="00000000">
        <w:rPr>
          <w:rtl w:val="0"/>
        </w:rPr>
        <w:t xml:space="preserve">Appendix A: Notation Additions (beyond the companion paper)</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jc w:val="left"/>
              <w:rPr>
                <w:b w:val="1"/>
                <w:bCs w:val="1"/>
              </w:rPr>
            </w:pPr>
            <w:r w:rsidDel="00000000" w:rsidR="00000000" w:rsidRPr="00000000">
              <w:rPr>
                <w:b w:val="1"/>
                <w:bCs w:val="1"/>
                <w:rtl w:val="0"/>
              </w:rPr>
              <w:t xml:space="preserve">Symbol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b w:val="1"/>
                <w:bCs w:val="1"/>
              </w:rPr>
            </w:pPr>
            <w:r w:rsidDel="00000000" w:rsidR="00000000" w:rsidRPr="00000000">
              <w:rPr>
                <w:b w:val="1"/>
                <w:bCs w:val="1"/>
                <w:rtl w:val="0"/>
              </w:rPr>
              <w:t xml:space="preserve">Meaning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pPr>
            <w:r w:rsidDel="00000000" w:rsidR="00000000" w:rsidRPr="00000000">
              <w:rPr>
                <w:rtl w:val="0"/>
              </w:rPr>
              <w:t xml:space="preserve">$\mathcal{I}_i(\delta)$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pPr>
            <w:r w:rsidDel="00000000" w:rsidR="00000000" w:rsidRPr="00000000">
              <w:rPr>
                <w:rtl w:val="0"/>
              </w:rPr>
              <w:t xml:space="preserve">Smooth intervention at node $i$ with magnitude $\delta$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jc w:val="left"/>
              <w:rPr/>
            </w:pPr>
            <w:r w:rsidDel="00000000" w:rsidR="00000000" w:rsidRPr="00000000">
              <w:rPr>
                <w:rtl w:val="0"/>
              </w:rPr>
              <w:t xml:space="preserve">$G(i)$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pPr>
            <w:r w:rsidDel="00000000" w:rsidR="00000000" w:rsidRPr="00000000">
              <w:rPr>
                <w:rtl w:val="0"/>
              </w:rPr>
              <w:t xml:space="preserve">Greatest Gains operator, marginal sensitivity of $U_s$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jc w:val="left"/>
              <w:rPr/>
            </w:pPr>
            <w:r w:rsidDel="00000000" w:rsidR="00000000" w:rsidRPr="00000000">
              <w:rPr>
                <w:rtl w:val="0"/>
              </w:rPr>
              <w:t xml:space="preserve">$G_{\hat{U}}(i)$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jc w:val="left"/>
              <w:rPr/>
            </w:pPr>
            <w:r w:rsidDel="00000000" w:rsidR="00000000" w:rsidRPr="00000000">
              <w:rPr>
                <w:rtl w:val="0"/>
              </w:rPr>
              <w:t xml:space="preserve">Gain operator against inferred effective objective $\hat{U}$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jc w:val="left"/>
              <w:rPr/>
            </w:pPr>
            <w:r w:rsidDel="00000000" w:rsidR="00000000" w:rsidRPr="00000000">
              <w:rPr>
                <w:rtl w:val="0"/>
              </w:rPr>
              <w:t xml:space="preserve">$G_{\text{eff}}(i)$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jc w:val="left"/>
              <w:rPr/>
            </w:pPr>
            <w:r w:rsidDel="00000000" w:rsidR="00000000" w:rsidRPr="00000000">
              <w:rPr>
                <w:rtl w:val="0"/>
              </w:rPr>
              <w:t xml:space="preserve">Effective gain, $G(i)(1-R(i))$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jc w:val="left"/>
              <w:rPr/>
            </w:pPr>
            <w:r w:rsidDel="00000000" w:rsidR="00000000" w:rsidRPr="00000000">
              <w:rPr>
                <w:rtl w:val="0"/>
              </w:rPr>
              <w:t xml:space="preserve">$\Delta U^{\text{mech}}, \Delta U^{\text{react}}$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jc w:val="left"/>
              <w:rPr/>
            </w:pPr>
            <w:r w:rsidDel="00000000" w:rsidR="00000000" w:rsidRPr="00000000">
              <w:rPr>
                <w:rtl w:val="0"/>
              </w:rPr>
              <w:t xml:space="preserve">Mechanical and reactive components of observed 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jc w:val="left"/>
              <w:rPr/>
            </w:pPr>
            <w:r w:rsidDel="00000000" w:rsidR="00000000" w:rsidRPr="00000000">
              <w:rPr>
                <w:rtl w:val="0"/>
              </w:rPr>
              <w:t xml:space="preserve">$R(i)$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jc w:val="left"/>
              <w:rPr/>
            </w:pPr>
            <w:r w:rsidDel="00000000" w:rsidR="00000000" w:rsidRPr="00000000">
              <w:rPr>
                <w:rtl w:val="0"/>
              </w:rPr>
              <w:t xml:space="preserve">Resistance operator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jc w:val="left"/>
              <w:rPr/>
            </w:pPr>
            <w:r w:rsidDel="00000000" w:rsidR="00000000" w:rsidRPr="00000000">
              <w:rPr>
                <w:rtl w:val="0"/>
              </w:rPr>
              <w:t xml:space="preserve">$\gamma(i)$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jc w:val="left"/>
              <w:rPr/>
            </w:pPr>
            <w:r w:rsidDel="00000000" w:rsidR="00000000" w:rsidRPr="00000000">
              <w:rPr>
                <w:rtl w:val="0"/>
              </w:rPr>
              <w:t xml:space="preserve">Per-node coherence contribution, leave-one-out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jc w:val="left"/>
              <w:rPr/>
            </w:pPr>
            <w:r w:rsidDel="00000000" w:rsidR="00000000" w:rsidRPr="00000000">
              <w:rPr>
                <w:rtl w:val="0"/>
              </w:rPr>
              <w:t xml:space="preserve">$\kappa(i)$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left"/>
              <w:rPr/>
            </w:pPr>
            <w:r w:rsidDel="00000000" w:rsidR="00000000" w:rsidRPr="00000000">
              <w:rPr>
                <w:rtl w:val="0"/>
              </w:rPr>
              <w:t xml:space="preserve">Bottleneck centrality (from detection 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pPr>
            <w:r w:rsidDel="00000000" w:rsidR="00000000" w:rsidRPr="00000000">
              <w:rPr>
                <w:rtl w:val="0"/>
              </w:rPr>
              <w:t xml:space="preserve">$\tau(i, \epsilon)$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pPr>
            <w:r w:rsidDel="00000000" w:rsidR="00000000" w:rsidRPr="00000000">
              <w:rPr>
                <w:rtl w:val="0"/>
              </w:rPr>
              <w:t xml:space="preserve">Breakpoint threshold for nontrivial objective shift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pPr>
            <w:r w:rsidDel="00000000" w:rsidR="00000000" w:rsidRPr="00000000">
              <w:rPr>
                <w:rtl w:val="0"/>
              </w:rPr>
              <w:t xml:space="preserve">$P(i), PI(i)$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pPr>
            <w:r w:rsidDel="00000000" w:rsidR="00000000" w:rsidRPr="00000000">
              <w:rPr>
                <w:rtl w:val="0"/>
              </w:rPr>
              <w:t xml:space="preserve">Pressure operator and normalized index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pPr>
            <w:r w:rsidDel="00000000" w:rsidR="00000000" w:rsidRPr="00000000">
              <w:rPr>
                <w:rtl w:val="0"/>
              </w:rPr>
              <w:t xml:space="preserve">$D(i)$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pPr>
            <w:r w:rsidDel="00000000" w:rsidR="00000000" w:rsidRPr="00000000">
              <w:rPr>
                <w:rtl w:val="0"/>
              </w:rPr>
              <w:t xml:space="preserve">Directional pressure, sign of $\partial\mathbb{E}[\hat{U}]/\partial 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pPr>
            <w:r w:rsidDel="00000000" w:rsidR="00000000" w:rsidRPr="00000000">
              <w:rPr>
                <w:rtl w:val="0"/>
              </w:rPr>
              <w:t xml:space="preserve">$C(i), C'(i)$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pPr>
            <w:r w:rsidDel="00000000" w:rsidR="00000000" w:rsidRPr="00000000">
              <w:rPr>
                <w:rtl w:val="0"/>
              </w:rPr>
              <w:t xml:space="preserve">Response cost function and marginal response cost</w:t>
            </w:r>
          </w:p>
        </w:tc>
      </w:tr>
    </w:tbl>
    <w:p w:rsidR="00000000" w:rsidDel="00000000" w:rsidP="00000000" w:rsidRDefault="00000000" w:rsidRPr="00000000" w14:paraId="00000094">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