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在线购物系统需求规格说明书</w:t>
      </w:r>
    </w:p>
    <w:p>
      <w:r>
        <w:t>版本 V3.0；修订日期 2026-10-24。本说明整合三轮功能，第三轮验收挑战需求 A.1 与 A.2，已实现规则以本版为准。</w:t>
      </w:r>
    </w:p>
    <w:p>
      <w:pPr>
        <w:pStyle w:val="Heading1"/>
      </w:pPr>
      <w:r>
        <w:t>术语表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07"/>
        <w:gridCol w:w="8030"/>
      </w:tblGrid>
      <w:tr>
        <w:trPr>
          <w:cantSplit/>
          <w:tblHeader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术语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访客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不注册也可浏览商品、按姓名电话提交意向，通过口令码管理。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注册客户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填写用户名、密码、电话及默认交易地点注册，登录后可保存和查看自己的购买记录。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卖家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唯一后台账号，管理商品、分类、库存、交易和注册客户。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选中商品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列表中正在查看或操作的商品，可同时存在多个有效商品。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购买意向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针对一个指定商品的一件购买申请；每件商品独立FIFO队列。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FIFO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按服务端queue_at升序，相同时间按意向编号升序。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手动冻结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只暂停该商品接收新意向，保留队列，可由卖家解除。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交易冻结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该商品已有队首交易，必须先登记结果，不能手动解除。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库存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0～1000000整数；成功减1，失败不减，归零自动下架。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口令码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单条意向的持有者凭据；意向结束后置空，历史不删除。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商品快照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客户下单时保存的商品名称和价格，后续改商品不回写快照。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两级分类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一级与二级父子分类，禁止三级、循环、同级重名。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富媒体描述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允许的格式化文字及本地描述图片；危险标签及图片地址清理或拒绝。</w:t>
            </w:r>
          </w:p>
        </w:tc>
      </w:tr>
    </w:tbl>
    <w:p/>
    <w:p>
      <w:pPr>
        <w:pStyle w:val="Heading1"/>
      </w:pPr>
      <w:r>
        <w:t>1 迭代范围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07"/>
        <w:gridCol w:w="8030"/>
      </w:tblGrid>
      <w:tr>
        <w:trPr>
          <w:cantSplit/>
          <w:tblHeader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轮次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验收内容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第一次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访客浏览、单件商品基本发布、姓名电话与口令码、FIFO、交易成功失败、主动下架、图片基础上传。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第二次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等待买家修改姓名电话；手动冻结和解冻；卖家修改密码及旧会话撤销。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第三次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A.1 多商品、两级分类、库存、搜索、多图富媒体；A.2 客户注册登录、客户历史、卖家客户查询。</w:t>
            </w:r>
          </w:p>
        </w:tc>
      </w:tr>
    </w:tbl>
    <w:p/>
    <w:p>
      <w:pPr>
        <w:pStyle w:val="Heading1"/>
      </w:pPr>
      <w:r>
        <w:t>2 角色与权限</w:t>
      </w:r>
    </w:p>
    <w:p>
      <w:r>
        <w:t>访客可免登录浏览、搜索、筛选商品并提交意向；注册客户保留访客能力，登录后可查看自己账号提交的购买记录。卖家必须登录才能管理商品、队列、分类、客户和客户历史。</w:t>
      </w:r>
    </w:p>
    <w:p>
      <w:r>
        <w:t>客户历史的归属只使用服务端会话中的客户编号，不接受客户端指定其他客户编号；同名或同电话访客意向不能自动认领。卖家客户查询不返回密码、密码哈希或客户口令码。</w:t>
      </w:r>
    </w:p>
    <w:p>
      <w:pPr>
        <w:pStyle w:val="Heading1"/>
      </w:pPr>
      <w:r>
        <w:t>3 商品和分类需求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07"/>
        <w:gridCol w:w="8030"/>
      </w:tblGrid>
      <w:tr>
        <w:trPr>
          <w:cantSplit/>
          <w:tblHeader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字段或能力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同时发布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允许多个商品同时在售；冻结、交易、库存与等待队列按商品隔离。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名称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必填，最多80字符。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价格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大于0，最多2位小数，整数部分最多10位。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库存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0～1000000整数；0库存商品发布即下架；交易中禁止编辑。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分类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商品可关联一个一级或二级分类，也可未分类；一级筛选包含子类。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分类维护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新增、编辑、删除；禁止三级、循环与同级重名，已被商品或子类引用时拒绝删除。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图片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0～9张JPG/PNG，每张不超过5MB；保持相册顺序，前端可切换缩略图。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描述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最多20000字符，清理后仍检查长度；支持标题、段落、加粗、斜体、列表及本地图片。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浏览和搜索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按名称或描述可见文字搜索，支持分类筛选、分页；每页1～100条，页码从0开始。</w:t>
            </w:r>
          </w:p>
        </w:tc>
      </w:tr>
    </w:tbl>
    <w:p/>
    <w:p>
      <w:r>
        <w:t>第三轮替代首轮的“同一时间唯一商品”“最多一张图片”和“每次成功必然下架”规则。多标签、商品视频和视频自动删除仍属于后续需求，不计入三轮已实现功能。</w:t>
      </w:r>
    </w:p>
    <w:p>
      <w:pPr>
        <w:pStyle w:val="Heading1"/>
      </w:pPr>
      <w:r>
        <w:t>4 购买意向与队列</w:t>
      </w:r>
    </w:p>
    <w:p>
      <w:r>
        <w:t>每条意向对应1件指定商品，姓名必填且最多80字符；电话须含数字，允许数字、加号、括号、空格、短横线，总长度6～30字符。仅在售且有库存的商品接受新意向。</w:t>
      </w:r>
    </w:p>
    <w:p>
      <w:r>
        <w:t>访客提交成功领取唯一口令码，注册客户提交还必须确认交易地点，长度1～200字符，默认填入注册地点；本次地点修改不修改账号默认地点。服务端保存customer_id、product_name_snapshot、price_snapshot和meeting_location。</w:t>
      </w:r>
    </w:p>
    <w:p>
      <w:r>
        <w:t>队列按每个商品的queue_at和id排序，卖家只能开始队首交易。等待中凭码可修改姓名电话或撤销；修改保留编号、提交时间、原码及排位。交易中的买家不能修改或撤销；同一商品其他等待者仍可修改或撤销。</w:t>
      </w:r>
    </w:p>
    <w:p>
      <w:pPr>
        <w:pStyle w:val="Heading1"/>
      </w:pPr>
      <w:r>
        <w:t>5 交易和状态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07"/>
        <w:gridCol w:w="8030"/>
      </w:tblGrid>
      <w:tr>
        <w:trPr>
          <w:cantSplit/>
          <w:tblHeader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开始交易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商品ON_SALE转IN_TRADE；队首WAITING转IN_TRADE，拒绝该商品新意向。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成功且剩余库存大于0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当前意向TRADE_SUCCESS并清空口令码，库存减1，商品恢复ON_SALE；其他等待者继续排队。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成功后库存为0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商品DELISTED，当前意向成功；其他等待意向结束为TRADE_FAILED并清空口令码。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失败并作废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当前意向TRADE_FAILED，口令码失效，库存不变，商品恢复ON_SALE。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失败并重排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当前意向回WAITING，保留原码并更新queue_at到队尾；库存不变。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手动冻结与解冻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ON_SALE与MANUALLY_FROZEN之间转换；原等待队列和口令码保留。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主动下架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只允许ON_SALE；等待者转PRODUCT_DELISTED，口令码失效。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补货上架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DELISTED且库存大于0允许重新上架；历史意向不自动恢复。</w:t>
            </w:r>
          </w:p>
        </w:tc>
      </w:tr>
    </w:tbl>
    <w:p/>
    <w:p>
      <w:r>
        <w:t>卖家作废等待者使用VOIDED状态；买家撤销使用CANCELLED状态。没有超时自动成交或自动处理下一位买家。已结束意向和客户历史持久保留。</w:t>
      </w:r>
    </w:p>
    <w:p>
      <w:pPr>
        <w:pStyle w:val="Heading1"/>
      </w:pPr>
      <w:r>
        <w:t>6 客户升级 A.2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07"/>
        <w:gridCol w:w="8030"/>
      </w:tblGrid>
      <w:tr>
        <w:trPr>
          <w:cantSplit/>
          <w:tblHeader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8EEF5"/>
          </w:tcPr>
          <w:p>
            <w:pPr>
              <w:keepNext w:val="0"/>
              <w:spacing w:after="20" w:line="240" w:lineRule="auto"/>
            </w:pPr>
            <w:r>
              <w:rPr>
                <w:b/>
                <w:sz w:val="18"/>
              </w:rPr>
              <w:t>验收要求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A.2-1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客户可自由注册；用户名3～32位Unicode文字、数字、下划线或短横线，大小写不区分重复；密码8～128位，电话符合规则，默认交易地点必填且最多200字符。注册成功自动登录。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A.2-2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客户登录后查看本人购买历史，包含等待、交易、成功、失败、撤销、作废和下架结束记录；按提交时间和编号倒序分页。显示商品快照、联系人、交易地点、状态、时间及有效排位。</w:t>
            </w:r>
          </w:p>
        </w:tc>
      </w:tr>
      <w:tr>
        <w:trPr>
          <w:cantSplit/>
        </w:trPr>
        <w:tc>
          <w:tcPr>
            <w:tcW w:type="dxa" w:w="200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A.2-3</w:t>
            </w:r>
          </w:p>
        </w:tc>
        <w:tc>
          <w:tcPr>
            <w:tcW w:type="dxa" w:w="8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20" w:line="240" w:lineRule="auto"/>
            </w:pPr>
            <w:r>
              <w:rPr>
                <w:b w:val="0"/>
                <w:sz w:val="18"/>
              </w:rPr>
              <w:t>卖家查看所有注册客户的用户名、电话、默认地点、注册时间；可按用户名或电话搜索，并分页查看指定客户购买历史。</w:t>
            </w:r>
          </w:p>
        </w:tc>
      </w:tr>
    </w:tbl>
    <w:p/>
    <w:p>
      <w:pPr>
        <w:pStyle w:val="Heading1"/>
      </w:pPr>
      <w:r>
        <w:t>7 登录和密码</w:t>
      </w:r>
    </w:p>
    <w:p>
      <w:r>
        <w:t>卖家初始账号admin/123456仅用于首次建库。卖家改密验证原密码，新密码8～128位，增加会话版本使所有旧卖家会话失效。</w:t>
      </w:r>
    </w:p>
    <w:p>
      <w:r>
        <w:t>卖家和客户密码均使用PBKDF2-HMAC-SHA256、600000次迭代、16字节独立随机盐、32字节派生结果存储。HTTP Session保存角色身份；登录更换会话编号；客户与卖家身份分开管理，客户退出只清除客户身份，卖家退出或改密只清除卖家身份。</w:t>
      </w:r>
    </w:p>
    <w:p>
      <w:pPr>
        <w:pStyle w:val="Heading1"/>
      </w:pPr>
      <w:r>
        <w:t>8 数据与实现边界</w:t>
      </w:r>
    </w:p>
    <w:p>
      <w:r>
        <w:t>数据库为H2文件库，日常运行保留data目录。JPA根据实体更新结构，新字段可空以兼容旧访客意向。产品、分类、卖家账号、客户账号、购买意向共五类实体。</w:t>
      </w:r>
    </w:p>
    <w:p>
      <w:r>
        <w:t>客户购买历史使用当前意向记录及下单快照，不代表每次重排和每次交易尝试均有独立事件表。完整操作审计、商品视频、多标签、客户自助修改默认地点等未实现部分不列为第三轮通过项。</w:t>
      </w:r>
    </w:p>
    <w:p>
      <w:pPr>
        <w:pStyle w:val="Heading1"/>
      </w:pPr>
      <w:r>
        <w:t>9 业务流程与状态图</w:t>
      </w:r>
    </w:p>
    <w:p>
      <w:r>
        <w:t>下列七张图按第三轮业务规则更新，为各流程和状态规则示意。</w:t>
      </w:r>
    </w:p>
    <w:p>
      <w:pPr>
        <w:pStyle w:val="Heading2"/>
      </w:pPr>
      <w:r>
        <w:t>商品与交易主流程</w:t>
      </w:r>
    </w:p>
    <w:p>
      <w:r>
        <w:drawing>
          <wp:inline xmlns:a="http://schemas.openxmlformats.org/drawingml/2006/main" xmlns:pic="http://schemas.openxmlformats.org/drawingml/2006/picture">
            <wp:extent cx="6080760" cy="3445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业务流程图-商品与交易主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45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商品与交易主流程</w:t>
      </w:r>
    </w:p>
    <w:p>
      <w:pPr>
        <w:pStyle w:val="Heading2"/>
      </w:pPr>
      <w:r>
        <w:t>买家浏览与意向操作</w:t>
      </w:r>
    </w:p>
    <w:p>
      <w:r>
        <w:drawing>
          <wp:inline xmlns:a="http://schemas.openxmlformats.org/drawingml/2006/main" xmlns:pic="http://schemas.openxmlformats.org/drawingml/2006/picture">
            <wp:extent cx="6080760" cy="34457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业务流程图-买家浏览、排队与口令码操作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45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买家浏览与意向操作</w:t>
      </w:r>
    </w:p>
    <w:p>
      <w:pPr>
        <w:pStyle w:val="Heading2"/>
      </w:pPr>
      <w:r>
        <w:t>卖家后台与客户历史</w:t>
      </w:r>
    </w:p>
    <w:p>
      <w:r>
        <w:drawing>
          <wp:inline xmlns:a="http://schemas.openxmlformats.org/drawingml/2006/main" xmlns:pic="http://schemas.openxmlformats.org/drawingml/2006/picture">
            <wp:extent cx="6080760" cy="34457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业务流程图-卖家后台与历史记录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45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卖家后台与客户历史</w:t>
      </w:r>
    </w:p>
    <w:p>
      <w:pPr>
        <w:pStyle w:val="Heading2"/>
      </w:pPr>
      <w:r>
        <w:t>商品发布与媒体处理</w:t>
      </w:r>
    </w:p>
    <w:p>
      <w:r>
        <w:drawing>
          <wp:inline xmlns:a="http://schemas.openxmlformats.org/drawingml/2006/main" xmlns:pic="http://schemas.openxmlformats.org/drawingml/2006/picture">
            <wp:extent cx="6080760" cy="34457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业务流程图-商品发布与媒体处理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45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商品发布与媒体处理</w:t>
      </w:r>
    </w:p>
    <w:p>
      <w:pPr>
        <w:pStyle w:val="Heading2"/>
      </w:pPr>
      <w:r>
        <w:t>商品状态</w:t>
      </w:r>
    </w:p>
    <w:p>
      <w:r>
        <w:drawing>
          <wp:inline xmlns:a="http://schemas.openxmlformats.org/drawingml/2006/main" xmlns:pic="http://schemas.openxmlformats.org/drawingml/2006/picture">
            <wp:extent cx="6080760" cy="34457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状态图-商品状态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45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商品状态</w:t>
      </w:r>
    </w:p>
    <w:p>
      <w:pPr>
        <w:pStyle w:val="Heading2"/>
      </w:pPr>
      <w:r>
        <w:t>购买意向状态</w:t>
      </w:r>
    </w:p>
    <w:p>
      <w:r>
        <w:drawing>
          <wp:inline xmlns:a="http://schemas.openxmlformats.org/drawingml/2006/main" xmlns:pic="http://schemas.openxmlformats.org/drawingml/2006/picture">
            <wp:extent cx="6080760" cy="34457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状态图-购买意向状态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45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购买意向状态</w:t>
      </w:r>
    </w:p>
    <w:p>
      <w:pPr>
        <w:pStyle w:val="Heading2"/>
      </w:pPr>
      <w:r>
        <w:t>口令码有效性</w:t>
      </w:r>
    </w:p>
    <w:p>
      <w:r>
        <w:drawing>
          <wp:inline xmlns:a="http://schemas.openxmlformats.org/drawingml/2006/main" xmlns:pic="http://schemas.openxmlformats.org/drawingml/2006/picture">
            <wp:extent cx="6080760" cy="34457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状态图-口令码有效性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45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口令码有效性</w:t>
      </w:r>
    </w:p>
    <w:p>
      <w:pPr>
        <w:pStyle w:val="Heading1"/>
      </w:pPr>
      <w:r>
        <w:t>10 验收与测试</w:t>
      </w:r>
    </w:p>
    <w:p>
      <w:r>
        <w:t>三轮测试均包含总方案、总用例、每总用例至少8个详细实例。功能测试和接口测试分目录，接口使用JUnit、MockMvc及独立内存H2读取实例文件；页面功能测试另记人工结果。边界值、等价类、状态转换和权限隔离等方法见各轮测试文档及Excel末行。</w:t>
      </w:r>
    </w:p>
    <w:sectPr w:rsidR="00FC693F" w:rsidRPr="0006063C" w:rsidSect="00034616">
      <w:footerReference w:type="default" r:id="rId16"/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在线购物系统  2026-10-24  第</w:t>
    </w:r>
    <w:fldSimple w:instr="PAGE"/>
    <w:r>
      <w:t>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微软雅黑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