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0B5" w:rsidRDefault="006F40B5" w:rsidP="006F40B5">
      <w:pPr>
        <w:pStyle w:val="a7"/>
        <w:spacing w:line="500" w:lineRule="exact"/>
        <w:ind w:left="-105" w:right="-106"/>
        <w:jc w:val="center"/>
        <w:rPr>
          <w:rFonts w:ascii="宋体" w:eastAsia="宋体" w:hAnsi="宋体"/>
          <w:bCs/>
          <w:sz w:val="44"/>
        </w:rPr>
      </w:pPr>
      <w:r>
        <w:rPr>
          <w:rFonts w:ascii="宋体" w:eastAsia="宋体" w:hAnsi="宋体" w:hint="eastAsia"/>
          <w:bCs/>
          <w:sz w:val="44"/>
        </w:rPr>
        <w:t>关于</w:t>
      </w:r>
      <w:proofErr w:type="gramStart"/>
      <w:r>
        <w:rPr>
          <w:rFonts w:ascii="宋体" w:eastAsia="宋体" w:hAnsi="宋体" w:hint="eastAsia"/>
          <w:bCs/>
          <w:sz w:val="44"/>
        </w:rPr>
        <w:t>2011年</w:t>
      </w:r>
      <w:r w:rsidRPr="00F072C8">
        <w:rPr>
          <w:rFonts w:ascii="宋体" w:eastAsia="宋体" w:hAnsi="宋体" w:hint="eastAsia"/>
          <w:bCs/>
          <w:sz w:val="44"/>
        </w:rPr>
        <w:t>校讯通</w:t>
      </w:r>
      <w:proofErr w:type="gramEnd"/>
      <w:r w:rsidR="00D75F1F">
        <w:rPr>
          <w:rFonts w:ascii="宋体" w:eastAsia="宋体" w:hAnsi="宋体" w:hint="eastAsia"/>
          <w:bCs/>
          <w:sz w:val="44"/>
        </w:rPr>
        <w:t>平台</w:t>
      </w:r>
      <w:r w:rsidRPr="00F072C8">
        <w:rPr>
          <w:rFonts w:ascii="宋体" w:eastAsia="宋体" w:hAnsi="宋体" w:hint="eastAsia"/>
          <w:bCs/>
          <w:sz w:val="44"/>
        </w:rPr>
        <w:t>教师积分</w:t>
      </w:r>
      <w:r>
        <w:rPr>
          <w:rFonts w:ascii="宋体" w:eastAsia="宋体" w:hAnsi="宋体" w:hint="eastAsia"/>
          <w:bCs/>
          <w:sz w:val="44"/>
        </w:rPr>
        <w:t>兑换规则调整的通知</w:t>
      </w:r>
    </w:p>
    <w:p w:rsidR="006F40B5" w:rsidRDefault="006F40B5" w:rsidP="00D75F1F">
      <w:pPr>
        <w:rPr>
          <w:rFonts w:eastAsia="仿宋_GB2312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44"/>
          <w:szCs w:val="20"/>
        </w:rPr>
        <w:tab/>
      </w:r>
    </w:p>
    <w:p w:rsidR="006F40B5" w:rsidRPr="00D75F1F" w:rsidRDefault="00D75F1F" w:rsidP="00D75F1F">
      <w:pPr>
        <w:pStyle w:val="a7"/>
        <w:spacing w:line="560" w:lineRule="exact"/>
        <w:ind w:left="-105" w:right="-106" w:firstLine="525"/>
        <w:rPr>
          <w:rFonts w:eastAsia="仿宋_GB2312"/>
          <w:szCs w:val="32"/>
        </w:rPr>
      </w:pPr>
      <w:r w:rsidRPr="00D75F1F">
        <w:rPr>
          <w:rFonts w:eastAsia="仿宋_GB2312" w:hint="eastAsia"/>
          <w:b w:val="0"/>
          <w:kern w:val="2"/>
          <w:szCs w:val="32"/>
        </w:rPr>
        <w:t>为</w:t>
      </w:r>
      <w:proofErr w:type="gramStart"/>
      <w:r w:rsidRPr="00D75F1F">
        <w:rPr>
          <w:rFonts w:eastAsia="仿宋_GB2312" w:hint="eastAsia"/>
          <w:b w:val="0"/>
          <w:kern w:val="2"/>
          <w:szCs w:val="32"/>
        </w:rPr>
        <w:t>扩大校讯通统一</w:t>
      </w:r>
      <w:proofErr w:type="gramEnd"/>
      <w:r w:rsidRPr="00D75F1F">
        <w:rPr>
          <w:rFonts w:eastAsia="仿宋_GB2312" w:hint="eastAsia"/>
          <w:b w:val="0"/>
          <w:kern w:val="2"/>
          <w:szCs w:val="32"/>
        </w:rPr>
        <w:t>平台的影响力和客户规模，提升教师</w:t>
      </w:r>
      <w:r>
        <w:rPr>
          <w:rFonts w:eastAsia="仿宋_GB2312" w:hint="eastAsia"/>
          <w:b w:val="0"/>
          <w:kern w:val="2"/>
          <w:szCs w:val="32"/>
        </w:rPr>
        <w:t>对</w:t>
      </w:r>
      <w:r w:rsidRPr="00D75F1F">
        <w:rPr>
          <w:rFonts w:eastAsia="仿宋_GB2312" w:hint="eastAsia"/>
          <w:b w:val="0"/>
          <w:kern w:val="2"/>
          <w:szCs w:val="32"/>
        </w:rPr>
        <w:t>新平台的使用度，提高家长与学校互动效果及互动短信的价值，</w:t>
      </w:r>
      <w:r w:rsidR="006F40B5" w:rsidRPr="006F40B5">
        <w:rPr>
          <w:rFonts w:eastAsia="仿宋_GB2312" w:hint="eastAsia"/>
          <w:b w:val="0"/>
          <w:kern w:val="2"/>
          <w:szCs w:val="32"/>
        </w:rPr>
        <w:t>市公司政企客户部</w:t>
      </w:r>
      <w:r>
        <w:rPr>
          <w:rFonts w:eastAsia="仿宋_GB2312" w:hint="eastAsia"/>
          <w:b w:val="0"/>
          <w:kern w:val="2"/>
          <w:szCs w:val="32"/>
        </w:rPr>
        <w:t>于</w:t>
      </w:r>
      <w:r w:rsidRPr="006F40B5">
        <w:rPr>
          <w:rFonts w:eastAsia="仿宋_GB2312" w:hint="eastAsia"/>
          <w:b w:val="0"/>
          <w:kern w:val="2"/>
          <w:szCs w:val="32"/>
        </w:rPr>
        <w:t>2010</w:t>
      </w:r>
      <w:r w:rsidRPr="006F40B5">
        <w:rPr>
          <w:rFonts w:eastAsia="仿宋_GB2312" w:hint="eastAsia"/>
          <w:b w:val="0"/>
          <w:kern w:val="2"/>
          <w:szCs w:val="32"/>
        </w:rPr>
        <w:t>年</w:t>
      </w:r>
      <w:r w:rsidRPr="006F40B5">
        <w:rPr>
          <w:rFonts w:eastAsia="仿宋_GB2312" w:hint="eastAsia"/>
          <w:b w:val="0"/>
          <w:kern w:val="2"/>
          <w:szCs w:val="32"/>
        </w:rPr>
        <w:t>10</w:t>
      </w:r>
      <w:r>
        <w:rPr>
          <w:rFonts w:eastAsia="仿宋_GB2312" w:hint="eastAsia"/>
          <w:b w:val="0"/>
          <w:kern w:val="2"/>
          <w:szCs w:val="32"/>
        </w:rPr>
        <w:t>月</w:t>
      </w:r>
      <w:r w:rsidR="006F40B5" w:rsidRPr="006F40B5">
        <w:rPr>
          <w:rFonts w:eastAsia="仿宋_GB2312" w:hint="eastAsia"/>
          <w:b w:val="0"/>
          <w:kern w:val="2"/>
          <w:szCs w:val="32"/>
        </w:rPr>
        <w:t>下发了</w:t>
      </w:r>
      <w:r w:rsidR="006F40B5">
        <w:rPr>
          <w:rFonts w:eastAsia="仿宋_GB2312" w:hint="eastAsia"/>
          <w:b w:val="0"/>
          <w:kern w:val="2"/>
          <w:szCs w:val="32"/>
        </w:rPr>
        <w:t>《</w:t>
      </w:r>
      <w:r w:rsidR="006F40B5" w:rsidRPr="006F40B5">
        <w:rPr>
          <w:rFonts w:eastAsia="仿宋_GB2312" w:hint="eastAsia"/>
          <w:b w:val="0"/>
          <w:kern w:val="2"/>
          <w:szCs w:val="32"/>
        </w:rPr>
        <w:t>关于开展校讯通教师积分兑换话费活动的通知</w:t>
      </w:r>
      <w:r w:rsidR="006F40B5">
        <w:rPr>
          <w:rFonts w:eastAsia="仿宋_GB2312" w:hint="eastAsia"/>
          <w:b w:val="0"/>
          <w:kern w:val="2"/>
          <w:szCs w:val="32"/>
        </w:rPr>
        <w:t>》（</w:t>
      </w:r>
      <w:proofErr w:type="gramStart"/>
      <w:r w:rsidR="006F40B5" w:rsidRPr="006F40B5">
        <w:rPr>
          <w:rFonts w:eastAsia="仿宋_GB2312" w:hint="eastAsia"/>
          <w:b w:val="0"/>
          <w:kern w:val="2"/>
          <w:szCs w:val="32"/>
        </w:rPr>
        <w:t>金移政企发</w:t>
      </w:r>
      <w:proofErr w:type="gramEnd"/>
      <w:r w:rsidR="006F40B5" w:rsidRPr="006F40B5">
        <w:rPr>
          <w:rFonts w:eastAsia="仿宋_GB2312" w:hint="eastAsia"/>
          <w:b w:val="0"/>
          <w:kern w:val="2"/>
          <w:szCs w:val="32"/>
        </w:rPr>
        <w:t>〔</w:t>
      </w:r>
      <w:r w:rsidR="006F40B5" w:rsidRPr="006F40B5">
        <w:rPr>
          <w:rFonts w:eastAsia="仿宋_GB2312" w:hint="eastAsia"/>
          <w:b w:val="0"/>
          <w:kern w:val="2"/>
          <w:szCs w:val="32"/>
        </w:rPr>
        <w:t>2010</w:t>
      </w:r>
      <w:r w:rsidR="006F40B5" w:rsidRPr="006F40B5">
        <w:rPr>
          <w:rFonts w:eastAsia="仿宋_GB2312" w:hint="eastAsia"/>
          <w:b w:val="0"/>
          <w:kern w:val="2"/>
          <w:szCs w:val="32"/>
        </w:rPr>
        <w:t>〕</w:t>
      </w:r>
      <w:r w:rsidR="006F40B5" w:rsidRPr="006F40B5">
        <w:rPr>
          <w:rFonts w:eastAsia="仿宋_GB2312" w:hint="eastAsia"/>
          <w:b w:val="0"/>
          <w:kern w:val="2"/>
          <w:szCs w:val="32"/>
        </w:rPr>
        <w:t>146</w:t>
      </w:r>
      <w:r w:rsidR="006F40B5" w:rsidRPr="006F40B5">
        <w:rPr>
          <w:rFonts w:eastAsia="仿宋_GB2312" w:hint="eastAsia"/>
          <w:b w:val="0"/>
          <w:kern w:val="2"/>
          <w:szCs w:val="32"/>
        </w:rPr>
        <w:t>号</w:t>
      </w:r>
      <w:r w:rsidR="006F40B5">
        <w:rPr>
          <w:rFonts w:eastAsia="仿宋_GB2312" w:hint="eastAsia"/>
          <w:b w:val="0"/>
          <w:kern w:val="2"/>
          <w:szCs w:val="32"/>
        </w:rPr>
        <w:t>）</w:t>
      </w:r>
      <w:r>
        <w:rPr>
          <w:rFonts w:eastAsia="仿宋_GB2312" w:hint="eastAsia"/>
          <w:b w:val="0"/>
          <w:kern w:val="2"/>
          <w:szCs w:val="32"/>
        </w:rPr>
        <w:t>，但从实际应用效果看，兑换活动的教师受惠面太窄，没有起到应有的平台应有提升目的，现对原兑换规则</w:t>
      </w:r>
      <w:proofErr w:type="gramStart"/>
      <w:r>
        <w:rPr>
          <w:rFonts w:eastAsia="仿宋_GB2312" w:hint="eastAsia"/>
          <w:b w:val="0"/>
          <w:kern w:val="2"/>
          <w:szCs w:val="32"/>
        </w:rPr>
        <w:t>作出</w:t>
      </w:r>
      <w:proofErr w:type="gramEnd"/>
      <w:r>
        <w:rPr>
          <w:rFonts w:eastAsia="仿宋_GB2312" w:hint="eastAsia"/>
          <w:b w:val="0"/>
          <w:kern w:val="2"/>
          <w:szCs w:val="32"/>
        </w:rPr>
        <w:t>相应调整，具体方案如下：</w:t>
      </w:r>
    </w:p>
    <w:p w:rsidR="006F40B5" w:rsidRDefault="006F40B5" w:rsidP="006F40B5">
      <w:pPr>
        <w:pStyle w:val="a7"/>
        <w:numPr>
          <w:ilvl w:val="0"/>
          <w:numId w:val="9"/>
        </w:numPr>
        <w:rPr>
          <w:rFonts w:ascii="仿宋_GB2312" w:eastAsia="仿宋_GB2312"/>
          <w:b w:val="0"/>
        </w:rPr>
      </w:pPr>
      <w:r w:rsidRPr="00F43960">
        <w:rPr>
          <w:rFonts w:ascii="仿宋_GB2312" w:eastAsia="仿宋_GB2312" w:hint="eastAsia"/>
        </w:rPr>
        <w:t>活动名称</w:t>
      </w:r>
    </w:p>
    <w:p w:rsidR="006F40B5" w:rsidRDefault="00D75F1F" w:rsidP="006F40B5">
      <w:pPr>
        <w:pStyle w:val="a7"/>
        <w:ind w:left="1140"/>
        <w:rPr>
          <w:rFonts w:ascii="仿宋_GB2312" w:eastAsia="仿宋_GB2312"/>
          <w:b w:val="0"/>
        </w:rPr>
      </w:pPr>
      <w:proofErr w:type="gramStart"/>
      <w:r>
        <w:rPr>
          <w:rFonts w:ascii="仿宋_GB2312" w:eastAsia="仿宋_GB2312" w:hint="eastAsia"/>
          <w:b w:val="0"/>
        </w:rPr>
        <w:t>2011年</w:t>
      </w:r>
      <w:r w:rsidR="006F40B5">
        <w:rPr>
          <w:rFonts w:ascii="仿宋_GB2312" w:eastAsia="仿宋_GB2312" w:hint="eastAsia"/>
          <w:b w:val="0"/>
        </w:rPr>
        <w:t>校讯通</w:t>
      </w:r>
      <w:proofErr w:type="gramEnd"/>
      <w:r>
        <w:rPr>
          <w:rFonts w:ascii="仿宋_GB2312" w:eastAsia="仿宋_GB2312" w:hint="eastAsia"/>
          <w:b w:val="0"/>
        </w:rPr>
        <w:t>平台</w:t>
      </w:r>
      <w:r w:rsidR="006F40B5">
        <w:rPr>
          <w:rFonts w:ascii="仿宋_GB2312" w:eastAsia="仿宋_GB2312" w:hint="eastAsia"/>
          <w:b w:val="0"/>
        </w:rPr>
        <w:t>教师积分兑换活动</w:t>
      </w:r>
    </w:p>
    <w:p w:rsidR="006F40B5" w:rsidRDefault="006F40B5" w:rsidP="006F40B5">
      <w:pPr>
        <w:pStyle w:val="a7"/>
        <w:numPr>
          <w:ilvl w:val="0"/>
          <w:numId w:val="9"/>
        </w:numPr>
        <w:rPr>
          <w:rFonts w:ascii="仿宋_GB2312" w:eastAsia="仿宋_GB2312"/>
          <w:b w:val="0"/>
        </w:rPr>
      </w:pPr>
      <w:r w:rsidRPr="00F43960">
        <w:rPr>
          <w:rFonts w:ascii="仿宋_GB2312" w:eastAsia="仿宋_GB2312" w:hint="eastAsia"/>
        </w:rPr>
        <w:t>活动时间</w:t>
      </w:r>
    </w:p>
    <w:p w:rsidR="006F40B5" w:rsidRDefault="006F40B5" w:rsidP="006F40B5">
      <w:pPr>
        <w:pStyle w:val="a7"/>
        <w:ind w:left="1140"/>
        <w:rPr>
          <w:rFonts w:ascii="仿宋_GB2312" w:eastAsia="仿宋_GB2312"/>
          <w:b w:val="0"/>
        </w:rPr>
      </w:pPr>
      <w:r w:rsidRPr="00D81938">
        <w:rPr>
          <w:rFonts w:ascii="仿宋_GB2312" w:eastAsia="仿宋_GB2312" w:hint="eastAsia"/>
          <w:b w:val="0"/>
        </w:rPr>
        <w:t>201</w:t>
      </w:r>
      <w:r w:rsidR="00D75F1F">
        <w:rPr>
          <w:rFonts w:ascii="仿宋_GB2312" w:eastAsia="仿宋_GB2312" w:hint="eastAsia"/>
          <w:b w:val="0"/>
        </w:rPr>
        <w:t>1</w:t>
      </w:r>
      <w:r w:rsidRPr="00D81938">
        <w:rPr>
          <w:rFonts w:ascii="仿宋_GB2312" w:eastAsia="仿宋_GB2312" w:hint="eastAsia"/>
          <w:b w:val="0"/>
        </w:rPr>
        <w:t>年</w:t>
      </w:r>
      <w:r w:rsidR="00D75F1F">
        <w:rPr>
          <w:rFonts w:ascii="仿宋_GB2312" w:eastAsia="仿宋_GB2312" w:hint="eastAsia"/>
          <w:b w:val="0"/>
        </w:rPr>
        <w:t>3</w:t>
      </w:r>
      <w:r w:rsidRPr="00D81938">
        <w:rPr>
          <w:rFonts w:ascii="仿宋_GB2312" w:eastAsia="仿宋_GB2312" w:hint="eastAsia"/>
          <w:b w:val="0"/>
        </w:rPr>
        <w:t>月1日-201</w:t>
      </w:r>
      <w:r w:rsidR="00D75F1F">
        <w:rPr>
          <w:rFonts w:ascii="仿宋_GB2312" w:eastAsia="仿宋_GB2312" w:hint="eastAsia"/>
          <w:b w:val="0"/>
        </w:rPr>
        <w:t>2</w:t>
      </w:r>
      <w:r w:rsidRPr="00D81938">
        <w:rPr>
          <w:rFonts w:ascii="仿宋_GB2312" w:eastAsia="仿宋_GB2312" w:hint="eastAsia"/>
          <w:b w:val="0"/>
        </w:rPr>
        <w:t>年</w:t>
      </w:r>
      <w:r w:rsidR="00D75F1F">
        <w:rPr>
          <w:rFonts w:ascii="仿宋_GB2312" w:eastAsia="仿宋_GB2312" w:hint="eastAsia"/>
          <w:b w:val="0"/>
        </w:rPr>
        <w:t>1</w:t>
      </w:r>
      <w:r w:rsidRPr="00D81938">
        <w:rPr>
          <w:rFonts w:ascii="仿宋_GB2312" w:eastAsia="仿宋_GB2312" w:hint="eastAsia"/>
          <w:b w:val="0"/>
        </w:rPr>
        <w:t>月3</w:t>
      </w:r>
      <w:r w:rsidR="00D75F1F">
        <w:rPr>
          <w:rFonts w:ascii="仿宋_GB2312" w:eastAsia="仿宋_GB2312" w:hint="eastAsia"/>
          <w:b w:val="0"/>
        </w:rPr>
        <w:t>1</w:t>
      </w:r>
      <w:r w:rsidRPr="00D81938">
        <w:rPr>
          <w:rFonts w:ascii="仿宋_GB2312" w:eastAsia="仿宋_GB2312" w:hint="eastAsia"/>
          <w:b w:val="0"/>
        </w:rPr>
        <w:t>日</w:t>
      </w:r>
    </w:p>
    <w:p w:rsidR="006F40B5" w:rsidRDefault="006F40B5" w:rsidP="006F40B5">
      <w:pPr>
        <w:pStyle w:val="a7"/>
        <w:numPr>
          <w:ilvl w:val="0"/>
          <w:numId w:val="9"/>
        </w:numPr>
        <w:rPr>
          <w:rFonts w:ascii="仿宋_GB2312" w:eastAsia="仿宋_GB2312"/>
          <w:b w:val="0"/>
        </w:rPr>
      </w:pPr>
      <w:r w:rsidRPr="00F43960">
        <w:rPr>
          <w:rFonts w:ascii="仿宋_GB2312" w:eastAsia="仿宋_GB2312" w:hint="eastAsia"/>
        </w:rPr>
        <w:t>活动对象</w:t>
      </w:r>
    </w:p>
    <w:p w:rsidR="006F40B5" w:rsidRDefault="006F40B5" w:rsidP="006F40B5">
      <w:pPr>
        <w:pStyle w:val="a7"/>
        <w:ind w:left="1140"/>
        <w:rPr>
          <w:rFonts w:ascii="仿宋_GB2312" w:eastAsia="仿宋_GB2312"/>
          <w:b w:val="0"/>
        </w:rPr>
      </w:pPr>
      <w:proofErr w:type="gramStart"/>
      <w:r>
        <w:rPr>
          <w:rFonts w:ascii="仿宋_GB2312" w:eastAsia="仿宋_GB2312" w:hint="eastAsia"/>
          <w:b w:val="0"/>
        </w:rPr>
        <w:t>使用校讯通统一</w:t>
      </w:r>
      <w:proofErr w:type="gramEnd"/>
      <w:r>
        <w:rPr>
          <w:rFonts w:ascii="仿宋_GB2312" w:eastAsia="仿宋_GB2312" w:hint="eastAsia"/>
          <w:b w:val="0"/>
        </w:rPr>
        <w:t>平台且拥有移动号码的教师</w:t>
      </w:r>
    </w:p>
    <w:p w:rsidR="006F40B5" w:rsidRPr="00F43960" w:rsidRDefault="006F40B5" w:rsidP="006F40B5">
      <w:pPr>
        <w:pStyle w:val="a7"/>
        <w:ind w:firstLine="420"/>
        <w:rPr>
          <w:rFonts w:ascii="仿宋_GB2312" w:eastAsia="仿宋_GB2312"/>
        </w:rPr>
      </w:pPr>
      <w:r w:rsidRPr="00F43960">
        <w:rPr>
          <w:rFonts w:ascii="仿宋_GB2312" w:eastAsia="仿宋_GB2312" w:hint="eastAsia"/>
        </w:rPr>
        <w:t>四、活动规则</w:t>
      </w:r>
    </w:p>
    <w:p w:rsidR="006F40B5" w:rsidRPr="005E3B64" w:rsidRDefault="006F40B5" w:rsidP="006F40B5">
      <w:pPr>
        <w:pStyle w:val="a7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（一）积分统计规则</w:t>
      </w:r>
    </w:p>
    <w:tbl>
      <w:tblPr>
        <w:tblW w:w="9860" w:type="dxa"/>
        <w:tblInd w:w="-392" w:type="dxa"/>
        <w:tblLook w:val="0000" w:firstRow="0" w:lastRow="0" w:firstColumn="0" w:lastColumn="0" w:noHBand="0" w:noVBand="0"/>
      </w:tblPr>
      <w:tblGrid>
        <w:gridCol w:w="1220"/>
        <w:gridCol w:w="1407"/>
        <w:gridCol w:w="1417"/>
        <w:gridCol w:w="5816"/>
      </w:tblGrid>
      <w:tr w:rsidR="006F40B5" w:rsidRPr="00B3182B" w:rsidTr="00512C45">
        <w:trPr>
          <w:trHeight w:val="499"/>
        </w:trPr>
        <w:tc>
          <w:tcPr>
            <w:tcW w:w="262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项目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积分</w:t>
            </w:r>
          </w:p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（/次）</w:t>
            </w:r>
          </w:p>
        </w:tc>
        <w:tc>
          <w:tcPr>
            <w:tcW w:w="58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b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b/>
                <w:kern w:val="0"/>
                <w:szCs w:val="21"/>
              </w:rPr>
              <w:t>要求</w:t>
            </w:r>
          </w:p>
        </w:tc>
      </w:tr>
      <w:tr w:rsidR="006F40B5" w:rsidRPr="00B3182B" w:rsidTr="00512C45">
        <w:trPr>
          <w:trHeight w:val="375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登录平台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必须有一次有实际操作，每天最多5分</w:t>
            </w:r>
          </w:p>
        </w:tc>
      </w:tr>
      <w:tr w:rsidR="006F40B5" w:rsidRPr="00B3182B" w:rsidTr="00512C45">
        <w:trPr>
          <w:trHeight w:val="375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发送短信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群发通知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每天最多5分</w:t>
            </w:r>
          </w:p>
        </w:tc>
      </w:tr>
      <w:tr w:rsidR="006F40B5" w:rsidRPr="00B3182B" w:rsidTr="00512C45">
        <w:trPr>
          <w:trHeight w:val="375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个性化短信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发送信息内容应有50%不同，且一次仅发一个号码，每天最多90分</w:t>
            </w:r>
          </w:p>
        </w:tc>
      </w:tr>
      <w:tr w:rsidR="006F40B5" w:rsidRPr="00B3182B" w:rsidTr="00512C45">
        <w:trPr>
          <w:trHeight w:val="375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lastRenderedPageBreak/>
              <w:t>学生/家长回复短信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学生/家长</w:t>
            </w:r>
            <w:proofErr w:type="gramStart"/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通过校讯通</w:t>
            </w:r>
            <w:proofErr w:type="gramEnd"/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平台回复给教师，每天最多120分</w:t>
            </w:r>
          </w:p>
        </w:tc>
      </w:tr>
      <w:tr w:rsidR="006F40B5" w:rsidRPr="00B3182B" w:rsidTr="00512C45">
        <w:trPr>
          <w:trHeight w:val="375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成绩导入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50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全班成绩导入，每月最多100分</w:t>
            </w:r>
          </w:p>
        </w:tc>
      </w:tr>
      <w:tr w:rsidR="006F40B5" w:rsidRPr="00B3182B" w:rsidTr="00512C45">
        <w:trPr>
          <w:trHeight w:val="390"/>
        </w:trPr>
        <w:tc>
          <w:tcPr>
            <w:tcW w:w="262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成绩发送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50</w:t>
            </w:r>
          </w:p>
        </w:tc>
        <w:tc>
          <w:tcPr>
            <w:tcW w:w="5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F40B5" w:rsidRPr="00B3182B" w:rsidRDefault="006F40B5" w:rsidP="00512C45">
            <w:pPr>
              <w:widowControl/>
              <w:spacing w:line="560" w:lineRule="exact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 w:rsidRPr="00B3182B">
              <w:rPr>
                <w:rFonts w:ascii="仿宋_GB2312" w:eastAsia="仿宋_GB2312" w:hAnsi="宋体" w:cs="宋体" w:hint="eastAsia"/>
                <w:kern w:val="0"/>
                <w:szCs w:val="21"/>
              </w:rPr>
              <w:t>不能重复发成绩，每月最多100分</w:t>
            </w:r>
          </w:p>
        </w:tc>
      </w:tr>
    </w:tbl>
    <w:p w:rsidR="00236F70" w:rsidRDefault="00236F70" w:rsidP="00236F70">
      <w:pPr>
        <w:pStyle w:val="a7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（二）积分查询与兑换选择方式</w:t>
      </w:r>
    </w:p>
    <w:p w:rsidR="00236F70" w:rsidRPr="00B108C2" w:rsidRDefault="00236F70" w:rsidP="00236F70">
      <w:pPr>
        <w:pStyle w:val="a7"/>
        <w:ind w:firstLineChars="200" w:firstLine="640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活动期间，只要是通过省公司统一平台进行业务管理的学校的教师都可</w:t>
      </w:r>
      <w:proofErr w:type="gramStart"/>
      <w:r>
        <w:rPr>
          <w:rFonts w:ascii="仿宋_GB2312" w:eastAsia="仿宋_GB2312" w:hint="eastAsia"/>
          <w:b w:val="0"/>
        </w:rPr>
        <w:t>登陆校讯通</w:t>
      </w:r>
      <w:proofErr w:type="gramEnd"/>
      <w:r>
        <w:rPr>
          <w:rFonts w:ascii="仿宋_GB2312" w:eastAsia="仿宋_GB2312" w:hint="eastAsia"/>
          <w:b w:val="0"/>
        </w:rPr>
        <w:t>门户网站</w:t>
      </w:r>
      <w:r w:rsidRPr="00B108C2">
        <w:rPr>
          <w:rFonts w:ascii="仿宋_GB2312" w:eastAsia="仿宋_GB2312"/>
          <w:b w:val="0"/>
        </w:rPr>
        <w:t>http://www.zjxxt.com/</w:t>
      </w:r>
      <w:r w:rsidRPr="00B108C2">
        <w:rPr>
          <w:rFonts w:ascii="仿宋_GB2312" w:eastAsia="仿宋_GB2312" w:hint="eastAsia"/>
          <w:b w:val="0"/>
        </w:rPr>
        <w:t>,输入教师个人</w:t>
      </w:r>
      <w:proofErr w:type="gramStart"/>
      <w:r w:rsidRPr="00B108C2">
        <w:rPr>
          <w:rFonts w:ascii="仿宋_GB2312" w:eastAsia="仿宋_GB2312" w:hint="eastAsia"/>
          <w:b w:val="0"/>
        </w:rPr>
        <w:t>帐号</w:t>
      </w:r>
      <w:proofErr w:type="gramEnd"/>
      <w:r w:rsidRPr="00B108C2">
        <w:rPr>
          <w:rFonts w:ascii="仿宋_GB2312" w:eastAsia="仿宋_GB2312" w:hint="eastAsia"/>
          <w:b w:val="0"/>
        </w:rPr>
        <w:t>和密码</w:t>
      </w:r>
      <w:r>
        <w:rPr>
          <w:rFonts w:ascii="仿宋_GB2312" w:eastAsia="仿宋_GB2312" w:hint="eastAsia"/>
          <w:b w:val="0"/>
        </w:rPr>
        <w:t>，</w:t>
      </w:r>
      <w:r w:rsidRPr="00B108C2">
        <w:rPr>
          <w:rFonts w:ascii="仿宋_GB2312" w:eastAsia="仿宋_GB2312" w:hint="eastAsia"/>
          <w:b w:val="0"/>
        </w:rPr>
        <w:t>在“积分系统”模块查询到积分情况</w:t>
      </w:r>
      <w:r>
        <w:rPr>
          <w:rFonts w:ascii="仿宋_GB2312" w:eastAsia="仿宋_GB2312" w:hint="eastAsia"/>
          <w:b w:val="0"/>
        </w:rPr>
        <w:t xml:space="preserve">。 </w:t>
      </w:r>
    </w:p>
    <w:p w:rsidR="00236F70" w:rsidRPr="00D41038" w:rsidRDefault="00236F70" w:rsidP="006F40B5">
      <w:pPr>
        <w:pStyle w:val="a7"/>
        <w:rPr>
          <w:rFonts w:ascii="仿宋_GB2312" w:eastAsia="仿宋_GB2312"/>
          <w:b w:val="0"/>
          <w:color w:val="FF0000"/>
        </w:rPr>
      </w:pPr>
      <w:r>
        <w:rPr>
          <w:rFonts w:ascii="仿宋_GB2312" w:eastAsia="仿宋_GB2312" w:hint="eastAsia"/>
          <w:b w:val="0"/>
        </w:rPr>
        <w:t xml:space="preserve">  </w:t>
      </w:r>
      <w:r w:rsidRPr="00D41038">
        <w:rPr>
          <w:rFonts w:ascii="仿宋_GB2312" w:eastAsia="仿宋_GB2312" w:hint="eastAsia"/>
          <w:b w:val="0"/>
          <w:color w:val="FF0000"/>
        </w:rPr>
        <w:t xml:space="preserve">  教师每月10日前登陆时，可选择是否将上月积分进行兑换，系统默认进行兑换</w:t>
      </w:r>
      <w:proofErr w:type="gramStart"/>
      <w:r w:rsidRPr="00D41038">
        <w:rPr>
          <w:rFonts w:ascii="仿宋_GB2312" w:eastAsia="仿宋_GB2312" w:hint="eastAsia"/>
          <w:b w:val="0"/>
          <w:color w:val="FF0000"/>
        </w:rPr>
        <w:t>且按照</w:t>
      </w:r>
      <w:proofErr w:type="gramEnd"/>
      <w:r w:rsidRPr="00D41038">
        <w:rPr>
          <w:rFonts w:ascii="仿宋_GB2312" w:eastAsia="仿宋_GB2312" w:hint="eastAsia"/>
          <w:b w:val="0"/>
          <w:color w:val="FF0000"/>
        </w:rPr>
        <w:t>话费兑换方式自动执行，如果教师选择了暂不兑换，则上月积分不进行兑换，自动累计到下月。</w:t>
      </w:r>
    </w:p>
    <w:p w:rsidR="006F40B5" w:rsidRPr="005E3B64" w:rsidRDefault="00B86FAD" w:rsidP="006F40B5">
      <w:pPr>
        <w:pStyle w:val="a7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（三</w:t>
      </w:r>
      <w:r w:rsidR="006F40B5">
        <w:rPr>
          <w:rFonts w:ascii="仿宋_GB2312" w:eastAsia="仿宋_GB2312" w:hint="eastAsia"/>
          <w:b w:val="0"/>
        </w:rPr>
        <w:t>）话费</w:t>
      </w:r>
      <w:r w:rsidR="006F40B5" w:rsidRPr="005E3B64">
        <w:rPr>
          <w:rFonts w:ascii="仿宋_GB2312" w:eastAsia="仿宋_GB2312" w:hint="eastAsia"/>
          <w:b w:val="0"/>
        </w:rPr>
        <w:t>兑换规则</w:t>
      </w:r>
    </w:p>
    <w:p w:rsidR="006F40B5" w:rsidRDefault="006F40B5" w:rsidP="006F40B5">
      <w:pPr>
        <w:pStyle w:val="a7"/>
        <w:ind w:firstLine="420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1.兑换</w:t>
      </w:r>
      <w:r w:rsidRPr="00C95E12">
        <w:rPr>
          <w:rFonts w:ascii="仿宋_GB2312" w:eastAsia="仿宋_GB2312" w:hint="eastAsia"/>
          <w:b w:val="0"/>
        </w:rPr>
        <w:t>时间</w:t>
      </w:r>
    </w:p>
    <w:p w:rsidR="006F40B5" w:rsidRDefault="006F40B5" w:rsidP="006F40B5">
      <w:pPr>
        <w:pStyle w:val="a7"/>
        <w:ind w:leftChars="200" w:left="420" w:firstLineChars="100" w:firstLine="320"/>
        <w:rPr>
          <w:rFonts w:ascii="仿宋_GB2312" w:eastAsia="仿宋_GB2312"/>
          <w:b w:val="0"/>
        </w:rPr>
      </w:pPr>
      <w:r w:rsidRPr="00C95E12">
        <w:rPr>
          <w:rFonts w:ascii="仿宋_GB2312" w:eastAsia="仿宋_GB2312" w:hint="eastAsia"/>
          <w:b w:val="0"/>
        </w:rPr>
        <w:t>次月</w:t>
      </w:r>
      <w:r>
        <w:rPr>
          <w:rFonts w:ascii="仿宋_GB2312" w:eastAsia="仿宋_GB2312" w:hint="eastAsia"/>
          <w:b w:val="0"/>
        </w:rPr>
        <w:t>20</w:t>
      </w:r>
      <w:r w:rsidRPr="00C95E12">
        <w:rPr>
          <w:rFonts w:ascii="仿宋_GB2312" w:eastAsia="仿宋_GB2312" w:hint="eastAsia"/>
          <w:b w:val="0"/>
        </w:rPr>
        <w:t>日前</w:t>
      </w:r>
    </w:p>
    <w:p w:rsidR="00BB053C" w:rsidRDefault="00BB053C" w:rsidP="00BB053C">
      <w:pPr>
        <w:pStyle w:val="a7"/>
        <w:ind w:firstLine="420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2.兑换规则</w:t>
      </w:r>
    </w:p>
    <w:p w:rsidR="00BB053C" w:rsidRDefault="00BB053C" w:rsidP="00BB053C">
      <w:pPr>
        <w:pStyle w:val="a7"/>
        <w:ind w:firstLineChars="230" w:firstLine="736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1）</w:t>
      </w:r>
      <w:r w:rsidRPr="005E3B64">
        <w:rPr>
          <w:rFonts w:ascii="仿宋_GB2312" w:eastAsia="仿宋_GB2312" w:hint="eastAsia"/>
          <w:b w:val="0"/>
        </w:rPr>
        <w:t>积分与话费的兑换比例为50：1</w:t>
      </w:r>
      <w:r>
        <w:rPr>
          <w:rFonts w:ascii="仿宋_GB2312" w:eastAsia="仿宋_GB2312" w:hint="eastAsia"/>
          <w:b w:val="0"/>
        </w:rPr>
        <w:t>，</w:t>
      </w:r>
      <w:r w:rsidRPr="005E3B64">
        <w:rPr>
          <w:rFonts w:ascii="仿宋_GB2312" w:eastAsia="仿宋_GB2312" w:hint="eastAsia"/>
          <w:b w:val="0"/>
        </w:rPr>
        <w:t>即每50</w:t>
      </w:r>
      <w:r>
        <w:rPr>
          <w:rFonts w:ascii="仿宋_GB2312" w:eastAsia="仿宋_GB2312" w:hint="eastAsia"/>
          <w:b w:val="0"/>
        </w:rPr>
        <w:t>积分</w:t>
      </w:r>
      <w:r w:rsidRPr="005E3B64">
        <w:rPr>
          <w:rFonts w:ascii="仿宋_GB2312" w:eastAsia="仿宋_GB2312" w:hint="eastAsia"/>
          <w:b w:val="0"/>
        </w:rPr>
        <w:t>兑换1元话费</w:t>
      </w:r>
      <w:r>
        <w:rPr>
          <w:rFonts w:ascii="仿宋_GB2312" w:eastAsia="仿宋_GB2312" w:hint="eastAsia"/>
          <w:b w:val="0"/>
        </w:rPr>
        <w:t>；</w:t>
      </w:r>
    </w:p>
    <w:p w:rsidR="00BB053C" w:rsidRDefault="00BB053C" w:rsidP="00BB053C">
      <w:pPr>
        <w:pStyle w:val="a7"/>
        <w:ind w:firstLineChars="230" w:firstLine="736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2）每月兑换门槛最低为250分，低于250分本月不兑换，积分将自动累计到下月；</w:t>
      </w:r>
    </w:p>
    <w:p w:rsidR="00BB053C" w:rsidRDefault="00BB053C" w:rsidP="00BB053C">
      <w:pPr>
        <w:pStyle w:val="a7"/>
        <w:ind w:firstLineChars="230" w:firstLine="736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3）</w:t>
      </w:r>
      <w:r w:rsidR="008E1D27">
        <w:rPr>
          <w:rFonts w:ascii="仿宋_GB2312" w:eastAsia="仿宋_GB2312" w:hint="eastAsia"/>
          <w:b w:val="0"/>
        </w:rPr>
        <w:t>每月话费兑换最高兑换5000分，超出的积分累计到下月</w:t>
      </w:r>
      <w:r>
        <w:rPr>
          <w:rFonts w:ascii="仿宋_GB2312" w:eastAsia="仿宋_GB2312" w:hint="eastAsia"/>
          <w:b w:val="0"/>
        </w:rPr>
        <w:t>；</w:t>
      </w:r>
    </w:p>
    <w:p w:rsidR="00BB053C" w:rsidRDefault="00BB053C" w:rsidP="00BB053C">
      <w:pPr>
        <w:pStyle w:val="a7"/>
        <w:ind w:firstLineChars="230" w:firstLine="736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4）</w:t>
      </w:r>
      <w:r w:rsidRPr="005E3B64">
        <w:rPr>
          <w:rFonts w:ascii="仿宋_GB2312" w:eastAsia="仿宋_GB2312" w:hint="eastAsia"/>
          <w:b w:val="0"/>
        </w:rPr>
        <w:t>兑换后不足50的积分余额不能兑换话费；</w:t>
      </w:r>
    </w:p>
    <w:p w:rsidR="00BB053C" w:rsidRPr="00BB053C" w:rsidRDefault="00BB053C" w:rsidP="00BB053C">
      <w:pPr>
        <w:pStyle w:val="a7"/>
        <w:ind w:firstLineChars="230" w:firstLine="736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lastRenderedPageBreak/>
        <w:t>5）</w:t>
      </w:r>
      <w:r w:rsidRPr="0093466E">
        <w:rPr>
          <w:rFonts w:ascii="仿宋_GB2312" w:eastAsia="仿宋_GB2312" w:hint="eastAsia"/>
          <w:b w:val="0"/>
          <w:color w:val="FF0000"/>
        </w:rPr>
        <w:t>积分累计跨度为当年</w:t>
      </w:r>
      <w:r w:rsidR="00B86FAD" w:rsidRPr="0093466E">
        <w:rPr>
          <w:rFonts w:ascii="仿宋_GB2312" w:eastAsia="仿宋_GB2312" w:hint="eastAsia"/>
          <w:b w:val="0"/>
          <w:color w:val="FF0000"/>
        </w:rPr>
        <w:t>3</w:t>
      </w:r>
      <w:r w:rsidRPr="0093466E">
        <w:rPr>
          <w:rFonts w:ascii="仿宋_GB2312" w:eastAsia="仿宋_GB2312" w:hint="eastAsia"/>
          <w:b w:val="0"/>
          <w:color w:val="FF0000"/>
        </w:rPr>
        <w:t>月1日-次年</w:t>
      </w:r>
      <w:r w:rsidR="00B86FAD" w:rsidRPr="0093466E">
        <w:rPr>
          <w:rFonts w:ascii="仿宋_GB2312" w:eastAsia="仿宋_GB2312" w:hint="eastAsia"/>
          <w:b w:val="0"/>
          <w:color w:val="FF0000"/>
        </w:rPr>
        <w:t>2</w:t>
      </w:r>
      <w:r w:rsidRPr="0093466E">
        <w:rPr>
          <w:rFonts w:ascii="仿宋_GB2312" w:eastAsia="仿宋_GB2312" w:hint="eastAsia"/>
          <w:b w:val="0"/>
          <w:color w:val="FF0000"/>
        </w:rPr>
        <w:t>月</w:t>
      </w:r>
      <w:r w:rsidR="00B86FAD" w:rsidRPr="0093466E">
        <w:rPr>
          <w:rFonts w:ascii="仿宋_GB2312" w:eastAsia="仿宋_GB2312" w:hint="eastAsia"/>
          <w:b w:val="0"/>
          <w:color w:val="FF0000"/>
        </w:rPr>
        <w:t>28</w:t>
      </w:r>
      <w:r w:rsidRPr="0093466E">
        <w:rPr>
          <w:rFonts w:ascii="仿宋_GB2312" w:eastAsia="仿宋_GB2312" w:hint="eastAsia"/>
          <w:b w:val="0"/>
          <w:color w:val="FF0000"/>
        </w:rPr>
        <w:t>日</w:t>
      </w:r>
      <w:r>
        <w:rPr>
          <w:rFonts w:ascii="仿宋_GB2312" w:eastAsia="仿宋_GB2312" w:hint="eastAsia"/>
          <w:b w:val="0"/>
        </w:rPr>
        <w:t>，在累计周期内，积分月度累计，积分不能累计到下一周期</w:t>
      </w:r>
      <w:r w:rsidRPr="005E3B64">
        <w:rPr>
          <w:rFonts w:ascii="仿宋_GB2312" w:eastAsia="仿宋_GB2312" w:hint="eastAsia"/>
          <w:b w:val="0"/>
        </w:rPr>
        <w:t>；</w:t>
      </w:r>
    </w:p>
    <w:p w:rsidR="006F40B5" w:rsidRDefault="00D73935" w:rsidP="006F40B5">
      <w:pPr>
        <w:pStyle w:val="a7"/>
        <w:ind w:firstLine="420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3</w:t>
      </w:r>
      <w:r w:rsidR="006F40B5">
        <w:rPr>
          <w:rFonts w:ascii="仿宋_GB2312" w:eastAsia="仿宋_GB2312" w:hint="eastAsia"/>
          <w:b w:val="0"/>
        </w:rPr>
        <w:t>.兑换方式</w:t>
      </w:r>
    </w:p>
    <w:p w:rsidR="006F40B5" w:rsidRPr="00157F81" w:rsidRDefault="00D73935" w:rsidP="00C4176B">
      <w:pPr>
        <w:pStyle w:val="a7"/>
        <w:ind w:firstLineChars="230" w:firstLine="736"/>
        <w:rPr>
          <w:rFonts w:ascii="仿宋_GB2312" w:eastAsia="仿宋_GB2312"/>
          <w:b w:val="0"/>
          <w:color w:val="FF0000"/>
        </w:rPr>
      </w:pPr>
      <w:r w:rsidRPr="00157F81">
        <w:rPr>
          <w:rFonts w:ascii="仿宋_GB2312" w:eastAsia="仿宋_GB2312" w:hint="eastAsia"/>
          <w:b w:val="0"/>
          <w:color w:val="FF0000"/>
        </w:rPr>
        <w:t>由市公司统一取数，统一充值到教师的移动手机号码中</w:t>
      </w:r>
      <w:r w:rsidR="006F40B5" w:rsidRPr="00157F81">
        <w:rPr>
          <w:rFonts w:ascii="仿宋_GB2312" w:eastAsia="仿宋_GB2312" w:hint="eastAsia"/>
          <w:b w:val="0"/>
          <w:color w:val="FF0000"/>
        </w:rPr>
        <w:t>，</w:t>
      </w:r>
      <w:r w:rsidR="00F06A97" w:rsidRPr="00157F81">
        <w:rPr>
          <w:rFonts w:ascii="仿宋_GB2312" w:eastAsia="仿宋_GB2312" w:hint="eastAsia"/>
          <w:b w:val="0"/>
          <w:color w:val="FF0000"/>
        </w:rPr>
        <w:t>并短信告知教师，</w:t>
      </w:r>
      <w:r w:rsidR="006F40B5" w:rsidRPr="00157F81">
        <w:rPr>
          <w:rFonts w:ascii="仿宋_GB2312" w:eastAsia="仿宋_GB2312" w:hint="eastAsia"/>
          <w:b w:val="0"/>
          <w:color w:val="FF0000"/>
        </w:rPr>
        <w:t>充值后不得更改、取消</w:t>
      </w:r>
      <w:r w:rsidRPr="00157F81">
        <w:rPr>
          <w:rFonts w:ascii="仿宋_GB2312" w:eastAsia="仿宋_GB2312" w:hint="eastAsia"/>
          <w:b w:val="0"/>
          <w:color w:val="FF0000"/>
        </w:rPr>
        <w:t>。</w:t>
      </w:r>
    </w:p>
    <w:p w:rsidR="00BB053C" w:rsidRPr="005E3B64" w:rsidRDefault="00BB053C" w:rsidP="00BB053C">
      <w:pPr>
        <w:pStyle w:val="a7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（</w:t>
      </w:r>
      <w:r w:rsidR="00C4176B">
        <w:rPr>
          <w:rFonts w:ascii="仿宋_GB2312" w:eastAsia="仿宋_GB2312" w:hint="eastAsia"/>
          <w:b w:val="0"/>
        </w:rPr>
        <w:t>四</w:t>
      </w:r>
      <w:r>
        <w:rPr>
          <w:rFonts w:ascii="仿宋_GB2312" w:eastAsia="仿宋_GB2312" w:hint="eastAsia"/>
          <w:b w:val="0"/>
        </w:rPr>
        <w:t>）实物</w:t>
      </w:r>
      <w:r w:rsidRPr="005E3B64">
        <w:rPr>
          <w:rFonts w:ascii="仿宋_GB2312" w:eastAsia="仿宋_GB2312" w:hint="eastAsia"/>
          <w:b w:val="0"/>
        </w:rPr>
        <w:t>兑换规则</w:t>
      </w:r>
    </w:p>
    <w:p w:rsidR="00BB053C" w:rsidRDefault="00BB053C" w:rsidP="00BB053C">
      <w:pPr>
        <w:pStyle w:val="a7"/>
        <w:ind w:firstLine="420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1.兑换</w:t>
      </w:r>
      <w:r w:rsidRPr="00C95E12">
        <w:rPr>
          <w:rFonts w:ascii="仿宋_GB2312" w:eastAsia="仿宋_GB2312" w:hint="eastAsia"/>
          <w:b w:val="0"/>
        </w:rPr>
        <w:t>时间</w:t>
      </w:r>
    </w:p>
    <w:p w:rsidR="00BB053C" w:rsidRDefault="00BB053C" w:rsidP="00BB053C">
      <w:pPr>
        <w:pStyle w:val="a7"/>
        <w:ind w:firstLine="420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实物兑换，每学期兑换一次，具体兑换时间为</w:t>
      </w:r>
      <w:r w:rsidR="00B86FAD">
        <w:rPr>
          <w:rFonts w:ascii="仿宋_GB2312" w:eastAsia="仿宋_GB2312" w:hint="eastAsia"/>
          <w:b w:val="0"/>
        </w:rPr>
        <w:t>8</w:t>
      </w:r>
      <w:r>
        <w:rPr>
          <w:rFonts w:ascii="仿宋_GB2312" w:eastAsia="仿宋_GB2312" w:hint="eastAsia"/>
          <w:b w:val="0"/>
        </w:rPr>
        <w:t>月份</w:t>
      </w:r>
      <w:r w:rsidR="00B86FAD">
        <w:rPr>
          <w:rFonts w:ascii="仿宋_GB2312" w:eastAsia="仿宋_GB2312" w:hint="eastAsia"/>
          <w:b w:val="0"/>
        </w:rPr>
        <w:t>(兑换下半学期积分)</w:t>
      </w:r>
      <w:r>
        <w:rPr>
          <w:rFonts w:ascii="仿宋_GB2312" w:eastAsia="仿宋_GB2312" w:hint="eastAsia"/>
          <w:b w:val="0"/>
        </w:rPr>
        <w:t>与次年</w:t>
      </w:r>
      <w:r w:rsidR="00B86FAD">
        <w:rPr>
          <w:rFonts w:ascii="仿宋_GB2312" w:eastAsia="仿宋_GB2312" w:hint="eastAsia"/>
          <w:b w:val="0"/>
        </w:rPr>
        <w:t>3</w:t>
      </w:r>
      <w:r>
        <w:rPr>
          <w:rFonts w:ascii="仿宋_GB2312" w:eastAsia="仿宋_GB2312" w:hint="eastAsia"/>
          <w:b w:val="0"/>
        </w:rPr>
        <w:t>月</w:t>
      </w:r>
      <w:r w:rsidR="00B86FAD">
        <w:rPr>
          <w:rFonts w:ascii="仿宋_GB2312" w:eastAsia="仿宋_GB2312" w:hint="eastAsia"/>
          <w:b w:val="0"/>
        </w:rPr>
        <w:t>(兑换上半学期积分)</w:t>
      </w:r>
      <w:r>
        <w:rPr>
          <w:rFonts w:ascii="仿宋_GB2312" w:eastAsia="仿宋_GB2312" w:hint="eastAsia"/>
          <w:b w:val="0"/>
        </w:rPr>
        <w:t>。</w:t>
      </w:r>
    </w:p>
    <w:p w:rsidR="00F06A97" w:rsidRDefault="00B86FAD" w:rsidP="00F06A97">
      <w:pPr>
        <w:pStyle w:val="a7"/>
        <w:ind w:firstLine="420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2</w:t>
      </w:r>
      <w:r w:rsidR="00F06A97">
        <w:rPr>
          <w:rFonts w:ascii="仿宋_GB2312" w:eastAsia="仿宋_GB2312" w:hint="eastAsia"/>
          <w:b w:val="0"/>
        </w:rPr>
        <w:t>.兑换规则</w:t>
      </w:r>
    </w:p>
    <w:p w:rsidR="00F06A97" w:rsidRDefault="00F06A97" w:rsidP="00C4176B">
      <w:pPr>
        <w:pStyle w:val="a7"/>
        <w:ind w:firstLineChars="230" w:firstLine="736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1）</w:t>
      </w:r>
      <w:r w:rsidR="00236F70">
        <w:rPr>
          <w:rFonts w:ascii="仿宋_GB2312" w:eastAsia="仿宋_GB2312" w:hint="eastAsia"/>
          <w:b w:val="0"/>
        </w:rPr>
        <w:t>实物兑换作为话费兑换的补充，</w:t>
      </w:r>
      <w:r w:rsidR="00B86FAD">
        <w:rPr>
          <w:rFonts w:ascii="仿宋_GB2312" w:eastAsia="仿宋_GB2312" w:hint="eastAsia"/>
          <w:b w:val="0"/>
        </w:rPr>
        <w:t>用来兑换剩下的累计积分</w:t>
      </w:r>
      <w:r w:rsidR="00C4176B">
        <w:rPr>
          <w:rFonts w:ascii="仿宋_GB2312" w:eastAsia="仿宋_GB2312" w:hint="eastAsia"/>
          <w:b w:val="0"/>
        </w:rPr>
        <w:t>，目前暂定实物兑换物品为缴费卡、超市卡、加油卡三种；</w:t>
      </w:r>
    </w:p>
    <w:p w:rsidR="00F06A97" w:rsidRDefault="00F06A97" w:rsidP="00F06A97">
      <w:pPr>
        <w:pStyle w:val="a7"/>
        <w:ind w:firstLineChars="230" w:firstLine="736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2）</w:t>
      </w:r>
      <w:r w:rsidR="00C4176B">
        <w:rPr>
          <w:rFonts w:ascii="仿宋_GB2312" w:eastAsia="仿宋_GB2312" w:hint="eastAsia"/>
          <w:b w:val="0"/>
        </w:rPr>
        <w:t>实物兑换的最低门槛为5000分，兑换规则为：每5000分兑换面值100的缴费卡、超市卡、加油卡；</w:t>
      </w:r>
    </w:p>
    <w:p w:rsidR="00F06A97" w:rsidRDefault="00C4176B" w:rsidP="00F06A97">
      <w:pPr>
        <w:pStyle w:val="a7"/>
        <w:ind w:firstLineChars="230" w:firstLine="736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3</w:t>
      </w:r>
      <w:r w:rsidR="00F06A97">
        <w:rPr>
          <w:rFonts w:ascii="仿宋_GB2312" w:eastAsia="仿宋_GB2312" w:hint="eastAsia"/>
          <w:b w:val="0"/>
        </w:rPr>
        <w:t>）</w:t>
      </w:r>
      <w:r w:rsidR="00F06A97" w:rsidRPr="005E3B64">
        <w:rPr>
          <w:rFonts w:ascii="仿宋_GB2312" w:eastAsia="仿宋_GB2312" w:hint="eastAsia"/>
          <w:b w:val="0"/>
        </w:rPr>
        <w:t>兑换后不足</w:t>
      </w:r>
      <w:r>
        <w:rPr>
          <w:rFonts w:ascii="仿宋_GB2312" w:eastAsia="仿宋_GB2312" w:hint="eastAsia"/>
          <w:b w:val="0"/>
        </w:rPr>
        <w:t>5000</w:t>
      </w:r>
      <w:r w:rsidR="00F06A97" w:rsidRPr="005E3B64">
        <w:rPr>
          <w:rFonts w:ascii="仿宋_GB2312" w:eastAsia="仿宋_GB2312" w:hint="eastAsia"/>
          <w:b w:val="0"/>
        </w:rPr>
        <w:t>的积分余额不能兑换</w:t>
      </w:r>
      <w:r>
        <w:rPr>
          <w:rFonts w:ascii="仿宋_GB2312" w:eastAsia="仿宋_GB2312" w:hint="eastAsia"/>
          <w:b w:val="0"/>
        </w:rPr>
        <w:t>实物</w:t>
      </w:r>
      <w:r w:rsidR="00F06A97" w:rsidRPr="005E3B64">
        <w:rPr>
          <w:rFonts w:ascii="仿宋_GB2312" w:eastAsia="仿宋_GB2312" w:hint="eastAsia"/>
          <w:b w:val="0"/>
        </w:rPr>
        <w:t>；</w:t>
      </w:r>
    </w:p>
    <w:p w:rsidR="00BB053C" w:rsidRDefault="00F06A97" w:rsidP="00BB053C">
      <w:pPr>
        <w:pStyle w:val="a7"/>
        <w:ind w:firstLine="420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3</w:t>
      </w:r>
      <w:r w:rsidR="00BB053C">
        <w:rPr>
          <w:rFonts w:ascii="仿宋_GB2312" w:eastAsia="仿宋_GB2312" w:hint="eastAsia"/>
          <w:b w:val="0"/>
        </w:rPr>
        <w:t>.兑换方式</w:t>
      </w:r>
    </w:p>
    <w:p w:rsidR="00C4176B" w:rsidRDefault="00F06A97" w:rsidP="00C4176B">
      <w:pPr>
        <w:pStyle w:val="a7"/>
        <w:ind w:firstLineChars="230" w:firstLine="736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实物兑换的具体方式、流程</w:t>
      </w:r>
      <w:r w:rsidR="00C4176B">
        <w:rPr>
          <w:rFonts w:ascii="仿宋_GB2312" w:eastAsia="仿宋_GB2312" w:hint="eastAsia"/>
          <w:b w:val="0"/>
        </w:rPr>
        <w:t>具体参见附件。</w:t>
      </w:r>
    </w:p>
    <w:p w:rsidR="006F40B5" w:rsidRPr="00F43960" w:rsidRDefault="006F40B5" w:rsidP="006F40B5">
      <w:pPr>
        <w:pStyle w:val="a7"/>
        <w:ind w:firstLine="420"/>
        <w:rPr>
          <w:rFonts w:ascii="仿宋_GB2312" w:eastAsia="仿宋_GB2312"/>
        </w:rPr>
      </w:pPr>
      <w:r w:rsidRPr="00F43960">
        <w:rPr>
          <w:rFonts w:ascii="仿宋_GB2312" w:eastAsia="仿宋_GB2312" w:hint="eastAsia"/>
        </w:rPr>
        <w:t>五、各县市分公司工作要求</w:t>
      </w:r>
    </w:p>
    <w:p w:rsidR="006F40B5" w:rsidRDefault="006F40B5" w:rsidP="006F40B5">
      <w:pPr>
        <w:pStyle w:val="a7"/>
        <w:ind w:firstLine="420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（一）请各县市分公司做好活动在SA、学校、老师等各个触点的营销宣传工作，务必确保每位</w:t>
      </w:r>
      <w:proofErr w:type="gramStart"/>
      <w:r>
        <w:rPr>
          <w:rFonts w:ascii="仿宋_GB2312" w:eastAsia="仿宋_GB2312" w:hint="eastAsia"/>
          <w:b w:val="0"/>
        </w:rPr>
        <w:t>使用校讯通统一</w:t>
      </w:r>
      <w:proofErr w:type="gramEnd"/>
      <w:r>
        <w:rPr>
          <w:rFonts w:ascii="仿宋_GB2312" w:eastAsia="仿宋_GB2312" w:hint="eastAsia"/>
          <w:b w:val="0"/>
        </w:rPr>
        <w:t>平台的教师都能参与到活动中。</w:t>
      </w:r>
    </w:p>
    <w:p w:rsidR="006F40B5" w:rsidRDefault="006F40B5" w:rsidP="006F40B5">
      <w:pPr>
        <w:pStyle w:val="a7"/>
        <w:ind w:firstLine="420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（二）由于该活动仅</w:t>
      </w:r>
      <w:proofErr w:type="gramStart"/>
      <w:r>
        <w:rPr>
          <w:rFonts w:ascii="仿宋_GB2312" w:eastAsia="仿宋_GB2312" w:hint="eastAsia"/>
          <w:b w:val="0"/>
        </w:rPr>
        <w:t>适用于校讯通统一</w:t>
      </w:r>
      <w:proofErr w:type="gramEnd"/>
      <w:r>
        <w:rPr>
          <w:rFonts w:ascii="仿宋_GB2312" w:eastAsia="仿宋_GB2312" w:hint="eastAsia"/>
          <w:b w:val="0"/>
        </w:rPr>
        <w:t>平台教师，对于原</w:t>
      </w:r>
      <w:r>
        <w:rPr>
          <w:rFonts w:ascii="仿宋_GB2312" w:eastAsia="仿宋_GB2312" w:hint="eastAsia"/>
          <w:b w:val="0"/>
        </w:rPr>
        <w:lastRenderedPageBreak/>
        <w:t>SA平台学校的教师，需要先</w:t>
      </w:r>
      <w:proofErr w:type="gramStart"/>
      <w:r>
        <w:rPr>
          <w:rFonts w:ascii="仿宋_GB2312" w:eastAsia="仿宋_GB2312" w:hint="eastAsia"/>
          <w:b w:val="0"/>
        </w:rPr>
        <w:t>完成校讯通统一</w:t>
      </w:r>
      <w:proofErr w:type="gramEnd"/>
      <w:r>
        <w:rPr>
          <w:rFonts w:ascii="仿宋_GB2312" w:eastAsia="仿宋_GB2312" w:hint="eastAsia"/>
          <w:b w:val="0"/>
        </w:rPr>
        <w:t>平台割接工作，所以请各县市分公司做好解释和沟通工作。</w:t>
      </w:r>
    </w:p>
    <w:p w:rsidR="006F40B5" w:rsidRDefault="006F40B5" w:rsidP="006F40B5">
      <w:pPr>
        <w:pStyle w:val="a7"/>
        <w:ind w:firstLine="420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（三）</w:t>
      </w:r>
      <w:r w:rsidRPr="0093466E">
        <w:rPr>
          <w:rFonts w:ascii="仿宋_GB2312" w:eastAsia="仿宋_GB2312" w:hint="eastAsia"/>
          <w:b w:val="0"/>
          <w:color w:val="FF0000"/>
        </w:rPr>
        <w:t>该活动仅适用于拥有移动号码的教师，对于没有移动号码的教师，各县市分公司可结合新放号政策一起推广</w:t>
      </w:r>
      <w:r>
        <w:rPr>
          <w:rFonts w:ascii="仿宋_GB2312" w:eastAsia="仿宋_GB2312" w:hint="eastAsia"/>
          <w:b w:val="0"/>
        </w:rPr>
        <w:t>。</w:t>
      </w:r>
    </w:p>
    <w:p w:rsidR="006F40B5" w:rsidRDefault="006F40B5" w:rsidP="006F40B5">
      <w:pPr>
        <w:pStyle w:val="a7"/>
        <w:ind w:firstLine="420"/>
        <w:rPr>
          <w:rFonts w:ascii="仿宋_GB2312" w:eastAsia="仿宋_GB2312"/>
          <w:b w:val="0"/>
        </w:rPr>
      </w:pPr>
      <w:r>
        <w:rPr>
          <w:rFonts w:ascii="仿宋_GB2312" w:eastAsia="仿宋_GB2312" w:hint="eastAsia"/>
          <w:b w:val="0"/>
        </w:rPr>
        <w:t>（四）本活动中积分兑换话费的充值号码将</w:t>
      </w:r>
      <w:proofErr w:type="gramStart"/>
      <w:r>
        <w:rPr>
          <w:rFonts w:ascii="仿宋_GB2312" w:eastAsia="仿宋_GB2312" w:hint="eastAsia"/>
          <w:b w:val="0"/>
        </w:rPr>
        <w:t>以校讯通统一</w:t>
      </w:r>
      <w:proofErr w:type="gramEnd"/>
      <w:r>
        <w:rPr>
          <w:rFonts w:ascii="仿宋_GB2312" w:eastAsia="仿宋_GB2312" w:hint="eastAsia"/>
          <w:b w:val="0"/>
        </w:rPr>
        <w:t>管理平台内</w:t>
      </w:r>
      <w:r w:rsidRPr="0093466E">
        <w:rPr>
          <w:rFonts w:ascii="仿宋_GB2312" w:eastAsia="仿宋_GB2312" w:hint="eastAsia"/>
          <w:b w:val="0"/>
          <w:color w:val="FF0000"/>
        </w:rPr>
        <w:t>“学籍管理-教师管理”</w:t>
      </w:r>
      <w:proofErr w:type="gramStart"/>
      <w:r w:rsidRPr="0093466E">
        <w:rPr>
          <w:rFonts w:ascii="仿宋_GB2312" w:eastAsia="仿宋_GB2312" w:hint="eastAsia"/>
          <w:b w:val="0"/>
          <w:color w:val="FF0000"/>
        </w:rPr>
        <w:t>内教师</w:t>
      </w:r>
      <w:proofErr w:type="gramEnd"/>
      <w:r w:rsidRPr="0093466E">
        <w:rPr>
          <w:rFonts w:ascii="仿宋_GB2312" w:eastAsia="仿宋_GB2312" w:hint="eastAsia"/>
          <w:b w:val="0"/>
          <w:color w:val="FF0000"/>
        </w:rPr>
        <w:t>联系电话为准，</w:t>
      </w:r>
      <w:r>
        <w:rPr>
          <w:rFonts w:ascii="仿宋_GB2312" w:eastAsia="仿宋_GB2312" w:hint="eastAsia"/>
          <w:b w:val="0"/>
        </w:rPr>
        <w:t>请各县市分公司针对平台内信息进行</w:t>
      </w:r>
      <w:bookmarkStart w:id="0" w:name="_GoBack"/>
      <w:bookmarkEnd w:id="0"/>
      <w:r>
        <w:rPr>
          <w:rFonts w:ascii="仿宋_GB2312" w:eastAsia="仿宋_GB2312" w:hint="eastAsia"/>
          <w:b w:val="0"/>
        </w:rPr>
        <w:t>核实和更新。</w:t>
      </w:r>
    </w:p>
    <w:p w:rsidR="00974E76" w:rsidRDefault="00974E76" w:rsidP="006F40B5">
      <w:pPr>
        <w:pStyle w:val="a7"/>
        <w:ind w:firstLine="420"/>
        <w:rPr>
          <w:rFonts w:ascii="仿宋_GB2312" w:eastAsia="仿宋_GB2312"/>
          <w:b w:val="0"/>
        </w:rPr>
      </w:pPr>
    </w:p>
    <w:p w:rsidR="00974E76" w:rsidRDefault="00974E76" w:rsidP="006F40B5">
      <w:pPr>
        <w:pStyle w:val="a7"/>
        <w:ind w:firstLine="420"/>
        <w:rPr>
          <w:rFonts w:ascii="仿宋_GB2312" w:eastAsia="仿宋_GB2312"/>
          <w:b w:val="0"/>
        </w:rPr>
      </w:pPr>
    </w:p>
    <w:p w:rsidR="00974E76" w:rsidRDefault="00974E76" w:rsidP="006F40B5">
      <w:pPr>
        <w:pStyle w:val="a7"/>
        <w:ind w:firstLine="420"/>
        <w:rPr>
          <w:rFonts w:ascii="仿宋_GB2312" w:eastAsia="仿宋_GB2312"/>
          <w:b w:val="0"/>
        </w:rPr>
      </w:pPr>
    </w:p>
    <w:p w:rsidR="002A41B7" w:rsidRDefault="002A41B7" w:rsidP="006F40B5">
      <w:pPr>
        <w:pStyle w:val="a7"/>
        <w:ind w:firstLine="420"/>
        <w:rPr>
          <w:rFonts w:ascii="仿宋_GB2312" w:eastAsia="仿宋_GB2312"/>
          <w:b w:val="0"/>
        </w:rPr>
      </w:pPr>
    </w:p>
    <w:p w:rsidR="002A41B7" w:rsidRDefault="002A41B7" w:rsidP="008158CF">
      <w:pPr>
        <w:pStyle w:val="a7"/>
        <w:rPr>
          <w:rFonts w:ascii="仿宋_GB2312" w:eastAsia="仿宋_GB2312"/>
          <w:b w:val="0"/>
        </w:rPr>
      </w:pPr>
      <w:r w:rsidRPr="002A41B7">
        <w:rPr>
          <w:rFonts w:ascii="仿宋_GB2312" w:eastAsia="仿宋_GB2312" w:hint="eastAsia"/>
          <w:b w:val="0"/>
        </w:rPr>
        <w:t>http://www.zjxxt.com/amass   前台</w:t>
      </w:r>
      <w:r w:rsidRPr="002A41B7">
        <w:rPr>
          <w:rFonts w:ascii="仿宋_GB2312" w:eastAsia="仿宋_GB2312" w:hint="eastAsia"/>
          <w:b w:val="0"/>
        </w:rPr>
        <w:cr/>
        <w:t>http://www.zjxxt.com/amass_admin 后台</w:t>
      </w:r>
    </w:p>
    <w:p w:rsidR="00974E76" w:rsidRDefault="00974E76" w:rsidP="006F40B5">
      <w:pPr>
        <w:pStyle w:val="a7"/>
        <w:ind w:firstLine="420"/>
        <w:rPr>
          <w:rFonts w:ascii="仿宋_GB2312" w:eastAsia="仿宋_GB2312"/>
          <w:b w:val="0"/>
        </w:rPr>
      </w:pPr>
    </w:p>
    <w:p w:rsidR="00974E76" w:rsidRDefault="00974E76" w:rsidP="006F40B5">
      <w:pPr>
        <w:pStyle w:val="a7"/>
        <w:ind w:firstLine="420"/>
        <w:rPr>
          <w:rFonts w:ascii="仿宋_GB2312" w:eastAsia="仿宋_GB2312"/>
          <w:b w:val="0"/>
        </w:rPr>
      </w:pPr>
    </w:p>
    <w:p w:rsidR="006F40B5" w:rsidRPr="00213346" w:rsidRDefault="006F40B5" w:rsidP="006F40B5">
      <w:pPr>
        <w:pStyle w:val="a7"/>
        <w:ind w:firstLine="420"/>
        <w:rPr>
          <w:rFonts w:ascii="仿宋_GB2312" w:eastAsia="仿宋_GB2312"/>
        </w:rPr>
      </w:pPr>
    </w:p>
    <w:p w:rsidR="006F40B5" w:rsidRDefault="006F40B5" w:rsidP="006F40B5">
      <w:pPr>
        <w:pStyle w:val="a7"/>
        <w:jc w:val="right"/>
        <w:rPr>
          <w:rFonts w:ascii="仿宋_GB2312" w:eastAsia="仿宋_GB2312"/>
          <w:b w:val="0"/>
        </w:rPr>
      </w:pPr>
    </w:p>
    <w:p w:rsidR="006F40B5" w:rsidRPr="00D81938" w:rsidRDefault="006F40B5" w:rsidP="006F40B5">
      <w:pPr>
        <w:pStyle w:val="a7"/>
        <w:jc w:val="right"/>
        <w:rPr>
          <w:rFonts w:ascii="仿宋_GB2312" w:eastAsia="仿宋_GB2312"/>
          <w:b w:val="0"/>
        </w:rPr>
      </w:pPr>
    </w:p>
    <w:p w:rsidR="00F7250D" w:rsidRPr="006F40B5" w:rsidRDefault="00F7250D" w:rsidP="006F40B5"/>
    <w:sectPr w:rsidR="00F7250D" w:rsidRPr="006F40B5" w:rsidSect="00A03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B6A" w:rsidRDefault="00BD6B6A" w:rsidP="001005AF">
      <w:r>
        <w:separator/>
      </w:r>
    </w:p>
  </w:endnote>
  <w:endnote w:type="continuationSeparator" w:id="0">
    <w:p w:rsidR="00BD6B6A" w:rsidRDefault="00BD6B6A" w:rsidP="0010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体">
    <w:altName w:val="宋体"/>
    <w:charset w:val="86"/>
    <w:family w:val="roman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B6A" w:rsidRDefault="00BD6B6A" w:rsidP="001005AF">
      <w:r>
        <w:separator/>
      </w:r>
    </w:p>
  </w:footnote>
  <w:footnote w:type="continuationSeparator" w:id="0">
    <w:p w:rsidR="00BD6B6A" w:rsidRDefault="00BD6B6A" w:rsidP="00100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C3E89"/>
    <w:multiLevelType w:val="hybridMultilevel"/>
    <w:tmpl w:val="A0CE95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345D35"/>
    <w:multiLevelType w:val="hybridMultilevel"/>
    <w:tmpl w:val="EF4A93EA"/>
    <w:lvl w:ilvl="0" w:tplc="88A45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212417"/>
    <w:multiLevelType w:val="hybridMultilevel"/>
    <w:tmpl w:val="A4723ED0"/>
    <w:lvl w:ilvl="0" w:tplc="335831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BF4DF2"/>
    <w:multiLevelType w:val="hybridMultilevel"/>
    <w:tmpl w:val="8840A99E"/>
    <w:lvl w:ilvl="0" w:tplc="378C7E10">
      <w:start w:val="1"/>
      <w:numFmt w:val="decimal"/>
      <w:lvlText w:val="（%1）"/>
      <w:lvlJc w:val="left"/>
      <w:pPr>
        <w:ind w:left="144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222BEB"/>
    <w:multiLevelType w:val="hybridMultilevel"/>
    <w:tmpl w:val="243EB436"/>
    <w:lvl w:ilvl="0" w:tplc="ABC41B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4C3E88"/>
    <w:multiLevelType w:val="hybridMultilevel"/>
    <w:tmpl w:val="FF923F0A"/>
    <w:lvl w:ilvl="0" w:tplc="9B047C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FBF7F23"/>
    <w:multiLevelType w:val="hybridMultilevel"/>
    <w:tmpl w:val="CBD894BC"/>
    <w:lvl w:ilvl="0" w:tplc="40F443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1954984"/>
    <w:multiLevelType w:val="hybridMultilevel"/>
    <w:tmpl w:val="CBD894BC"/>
    <w:lvl w:ilvl="0" w:tplc="40F443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E4C0BA3"/>
    <w:multiLevelType w:val="hybridMultilevel"/>
    <w:tmpl w:val="7232788E"/>
    <w:lvl w:ilvl="0" w:tplc="A38EEE9C">
      <w:start w:val="1"/>
      <w:numFmt w:val="japaneseCounting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5AF"/>
    <w:rsid w:val="0005154B"/>
    <w:rsid w:val="000A6318"/>
    <w:rsid w:val="001005AF"/>
    <w:rsid w:val="00104AC2"/>
    <w:rsid w:val="00157F81"/>
    <w:rsid w:val="001B4523"/>
    <w:rsid w:val="001F77EB"/>
    <w:rsid w:val="00236F70"/>
    <w:rsid w:val="00247512"/>
    <w:rsid w:val="00265ADF"/>
    <w:rsid w:val="00280634"/>
    <w:rsid w:val="002A3BD0"/>
    <w:rsid w:val="002A41B7"/>
    <w:rsid w:val="002E1FE8"/>
    <w:rsid w:val="003127FF"/>
    <w:rsid w:val="003F46C0"/>
    <w:rsid w:val="00481D7A"/>
    <w:rsid w:val="004C38CE"/>
    <w:rsid w:val="00536E69"/>
    <w:rsid w:val="00553F7E"/>
    <w:rsid w:val="0056169D"/>
    <w:rsid w:val="006218BC"/>
    <w:rsid w:val="00624F21"/>
    <w:rsid w:val="0069771A"/>
    <w:rsid w:val="006F40B5"/>
    <w:rsid w:val="00713F65"/>
    <w:rsid w:val="0075409A"/>
    <w:rsid w:val="00786A8A"/>
    <w:rsid w:val="007C12C0"/>
    <w:rsid w:val="007C4011"/>
    <w:rsid w:val="008158CF"/>
    <w:rsid w:val="00866699"/>
    <w:rsid w:val="00885372"/>
    <w:rsid w:val="008E1D27"/>
    <w:rsid w:val="008E4343"/>
    <w:rsid w:val="0091524B"/>
    <w:rsid w:val="0093466E"/>
    <w:rsid w:val="00974E76"/>
    <w:rsid w:val="0099626B"/>
    <w:rsid w:val="009C36DB"/>
    <w:rsid w:val="00A03546"/>
    <w:rsid w:val="00A45B5F"/>
    <w:rsid w:val="00AA332D"/>
    <w:rsid w:val="00B86FAD"/>
    <w:rsid w:val="00BB053C"/>
    <w:rsid w:val="00BD6B6A"/>
    <w:rsid w:val="00BE2205"/>
    <w:rsid w:val="00C4176B"/>
    <w:rsid w:val="00C474ED"/>
    <w:rsid w:val="00D41038"/>
    <w:rsid w:val="00D424E9"/>
    <w:rsid w:val="00D73935"/>
    <w:rsid w:val="00D75F1F"/>
    <w:rsid w:val="00D76A57"/>
    <w:rsid w:val="00D976C7"/>
    <w:rsid w:val="00DB17BB"/>
    <w:rsid w:val="00E126FF"/>
    <w:rsid w:val="00E15731"/>
    <w:rsid w:val="00E94673"/>
    <w:rsid w:val="00EA2EBA"/>
    <w:rsid w:val="00EA504F"/>
    <w:rsid w:val="00EF34E3"/>
    <w:rsid w:val="00F06A97"/>
    <w:rsid w:val="00F7250D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0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05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05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005A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005A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005AF"/>
    <w:pPr>
      <w:ind w:firstLineChars="200" w:firstLine="420"/>
    </w:pPr>
  </w:style>
  <w:style w:type="paragraph" w:styleId="a7">
    <w:name w:val="Body Text"/>
    <w:basedOn w:val="a"/>
    <w:link w:val="Char2"/>
    <w:rsid w:val="006F40B5"/>
    <w:pPr>
      <w:adjustRightInd w:val="0"/>
      <w:spacing w:line="600" w:lineRule="exact"/>
      <w:textAlignment w:val="baseline"/>
    </w:pPr>
    <w:rPr>
      <w:rFonts w:eastAsia="仿宋体"/>
      <w:b/>
      <w:kern w:val="0"/>
      <w:sz w:val="32"/>
      <w:szCs w:val="20"/>
    </w:rPr>
  </w:style>
  <w:style w:type="character" w:customStyle="1" w:styleId="Char2">
    <w:name w:val="正文文本 Char"/>
    <w:basedOn w:val="a0"/>
    <w:link w:val="a7"/>
    <w:rsid w:val="006F40B5"/>
    <w:rPr>
      <w:rFonts w:ascii="Times New Roman" w:eastAsia="仿宋体" w:hAnsi="Times New Roman" w:cs="Times New Roman"/>
      <w:b/>
      <w:kern w:val="0"/>
      <w:sz w:val="32"/>
      <w:szCs w:val="20"/>
    </w:rPr>
  </w:style>
  <w:style w:type="character" w:styleId="a8">
    <w:name w:val="Hyperlink"/>
    <w:rsid w:val="006F40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123321</cp:lastModifiedBy>
  <cp:revision>27</cp:revision>
  <cp:lastPrinted>2011-03-04T01:41:00Z</cp:lastPrinted>
  <dcterms:created xsi:type="dcterms:W3CDTF">2011-03-02T12:20:00Z</dcterms:created>
  <dcterms:modified xsi:type="dcterms:W3CDTF">2011-03-24T10:42:00Z</dcterms:modified>
</cp:coreProperties>
</file>