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社情民意第16-2824号</w:t>
      </w:r>
    </w:p>
    <w:p>
      <w:r>
        <w:t>2016-10-10 15:57:09</w:t>
      </w:r>
    </w:p>
    <w:p>
      <w:r>
        <w:t>反映单位或反映人:民建区委(黄列云)</w:t>
      </w:r>
    </w:p>
    <w:p>
      <w:r>
        <w:t>联系电话:13918735905</w:t>
      </w:r>
    </w:p>
    <w:p>
      <w:r>
        <w:t>工作单位和职务:上海家健电子商务有限公司</w:t>
      </w:r>
    </w:p>
    <w:p>
      <w:r>
        <w:t>标题:如何完善二手车交易市场监管机制</w:t>
      </w:r>
    </w:p>
    <w:p>
      <w:r>
        <w:t>情况反映:</w:t>
      </w:r>
    </w:p>
    <w:p>
      <w:r>
        <w:t>随着经济的不断发展，我国已经成为全球第一汽车消费大国，汽车保有量的增加使得二手车交易市场也蓬勃发展，不断壮大，但在快速的发展中，二手车交易市场的各种乱象也不断呈现，给买卖双方带来各种纠纷。</w:t>
        <w:br/>
        <w:br/>
        <w:t xml:space="preserve">        一是市场环境混乱，缺乏行业监管。部分从事二手车交易的单位或个人存在无证经营、无交易场地等问题，将盗抢车辆、银行抵押车辆、分期付款车辆进行交易情况时有发生，市场秩序混乱，不正当竞争现象严重。业监管涉及工商、税务、公安等多个部门，管理多头，缺乏制度上的统一监管。</w:t>
        <w:br/>
        <w:br/>
        <w:t xml:space="preserve">        二是不同征税标准催生不公平竞争。由于二手车流通行业尚未形成标准体系，二手车交易费收取标准由当地二手车交易市场或地方有关部门自行决定，导致各地二手车交易费标准不统一，造成不公平竞争。</w:t>
        <w:br/>
        <w:br/>
        <w:t xml:space="preserve">        三是买卖双方信息不对称。在二手车交易过程中，买方对交易车辆的身份档案及使用情况等信息不明确，如车辆的保险理赔记录、有无设定抵押、以前交易过户记录、涉案被盗情况等。</w:t>
        <w:br/>
        <w:br/>
        <w:t xml:space="preserve">        四是缺乏市场认可的鉴定评估体系。各地二手车价值评估标准尚未统一，多数评估机构评估手段和方式落后，估价师素质参差不齐，评估结论难以真正反映车辆的价值，随意性较大。</w:t>
      </w:r>
    </w:p>
    <w:p>
      <w:r>
        <w:t>建议:</w:t>
      </w:r>
    </w:p>
    <w:p>
      <w:r>
        <w:t>一是健全二手车评估体系。建立科学、完善、权威的二手车评估体系，针对不同品牌、不同年份、不同车况的二手车实施合理的价格评估。严格执行二手车从业人员凭借二手车评估师职业资格认证入行制度，加强二手车鉴定评估师的培训和再培训，并对从业企业实行年检，保证从业人员的专业技术水平。</w:t>
        <w:br/>
        <w:br/>
        <w:t xml:space="preserve">        二是完善配套服务体系，营造良好市场氛围。一方面建立二手车信息化网络平台，方便买方查询车辆的使用性质、落户日期、报废年限、来源等信息。另一方面，加强与金融机构间的协调、合作，搭建平台，吸纳更多金融企业直接开展代理业务，为二手车贷款提供支持。此外，相关部门应尽快建立二手车经营主体的审批和管理服务体系，制定行业标准和规范，明确所有车行出售的二手车须持有政府颁发的技术合格证书才能上路行驶，将二手车交易行业纳入管理范围。</w:t>
        <w:br/>
        <w:br/>
        <w:t xml:space="preserve">        三是调整税费标准，规范收费程序。应通过与上级法律政策、周边地区税收标准的纵横比较，兼顾车辆排量、使用年限、行驶里程、车况等因素，制定一套合理的税费标准，吸引更多消费者，留住更多经营者。</w:t>
        <w:br/>
        <w:br/>
        <w:t xml:space="preserve">        四是统一规划，实现产业化发展。相关部门应对二手车交易行业进行统一规划，开辟集中的二手车交易场所，引导商户入驻，并进一步完善销售服务体系，形成税收、评估鉴定、售后、交易过户等一条龙服务体系。同时，应借助电子商务手段，构筑更大范围乃至全国范围的二手车交易信息网络，实现跨区域二手车交易或二手车交易信息覆盖。</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